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jc w:val="center"/>
        <w:rPr>
          <w:rFonts w:ascii="Times New Roman;serif" w:hAnsi="Times New Roman;serif"/>
          <w:b/>
          <w:i w:val="false"/>
          <w:caps w:val="false"/>
          <w:smallCaps w:val="false"/>
          <w:sz w:val="24"/>
        </w:rPr>
      </w:pPr>
      <w:bookmarkStart w:id="0" w:name="_Hlk159880848"/>
      <w:bookmarkStart w:id="1" w:name="rdi-20231231x10k.htm"/>
      <w:bookmarkStart w:id="2" w:name="ksrdi20231231x10k"/>
      <w:bookmarkEnd w:id="0"/>
      <w:bookmarkEnd w:id="1"/>
      <w:bookmarkEnd w:id="2"/>
      <w:r>
        <w:rPr>
          <w:rFonts w:ascii="Times New Roman;serif" w:hAnsi="Times New Roman;serif"/>
          <w:b/>
          <w:i w:val="false"/>
          <w:caps w:val="false"/>
          <w:smallCaps w:val="false"/>
          <w:sz w:val="24"/>
        </w:rPr>
        <w:t>UNITED STATES SECURITIES AND EXCHANGE COMMISSION</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 10-K</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ANNUAL REPORT PURSUANT TO SECTION 13 OR 15(d) OF THE SECURITIES EXCHANGE ACT OF 1934</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For the fiscal year ended December 31, 2023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TRANSITION REPORT 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transition period from _______ to ______</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No. 1-8625</w:t>
      </w:r>
    </w:p>
    <w:p>
      <w:pPr>
        <w:pStyle w:val="TextBody"/>
        <w:bidi w:val="0"/>
        <w:spacing w:lineRule="auto" w:line="259"/>
        <w:jc w:val="center"/>
        <w:rPr>
          <w:caps w:val="false"/>
          <w:smallCaps w:val="false"/>
        </w:rPr>
      </w:pPr>
      <w:r>
        <w:rPr>
          <w:caps w:val="false"/>
          <w:smallCaps w:val="false"/>
        </w:rPr>
        <w:drawing>
          <wp:inline distT="0" distB="0" distL="0" distR="0">
            <wp:extent cx="1466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28650"/>
                    </a:xfrm>
                    <a:prstGeom prst="rect">
                      <a:avLst/>
                    </a:prstGeom>
                  </pic:spPr>
                </pic:pic>
              </a:graphicData>
            </a:graphic>
          </wp:inline>
        </w:drawing>
      </w:r>
    </w:p>
    <w:p>
      <w:pPr>
        <w:pStyle w:val="TextBody"/>
        <w:bidi w:val="0"/>
        <w:spacing w:lineRule="auto" w:line="259"/>
        <w:jc w:val="center"/>
        <w:rPr>
          <w:rFonts w:ascii="Neutraface Display Titling" w:hAnsi="Neutraface Display Titling"/>
          <w:b/>
          <w:i w:val="false"/>
          <w:caps w:val="false"/>
          <w:smallCaps w:val="false"/>
          <w:sz w:val="30"/>
          <w:u w:val="single"/>
        </w:rPr>
      </w:pPr>
      <w:r>
        <w:rPr>
          <w:rFonts w:ascii="Neutraface Display Titling" w:hAnsi="Neutraface Display Titling"/>
          <w:b/>
          <w:i w:val="false"/>
          <w:caps w:val="false"/>
          <w:smallCaps w:val="false"/>
          <w:sz w:val="3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(Exact name of registrant as specified in its charter)</w:t>
      </w:r>
    </w:p>
    <w:tbl>
      <w:tblPr>
        <w:tblW w:w="7277" w:type="dxa"/>
        <w:jc w:val="center"/>
        <w:tblInd w:w="0" w:type="dxa"/>
        <w:tblLayout w:type="fixed"/>
        <w:tblCellMar>
          <w:top w:w="0" w:type="dxa"/>
          <w:left w:w="0" w:type="dxa"/>
          <w:bottom w:w="0" w:type="dxa"/>
          <w:right w:w="0" w:type="dxa"/>
        </w:tblCellMar>
      </w:tblPr>
      <w:tblGrid>
        <w:gridCol w:w="4291"/>
        <w:gridCol w:w="2986"/>
      </w:tblGrid>
      <w:tr>
        <w:trPr/>
        <w:tc>
          <w:tcPr>
            <w:tcW w:w="429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New York</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New York</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986" w:type="dxa"/>
            <w:tcBorders/>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 (213) 235-2240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898" w:type="dxa"/>
        <w:jc w:val="center"/>
        <w:tblInd w:w="0" w:type="dxa"/>
        <w:tblLayout w:type="fixed"/>
        <w:tblCellMar>
          <w:top w:w="0" w:type="dxa"/>
          <w:left w:w="0" w:type="dxa"/>
          <w:bottom w:w="0" w:type="dxa"/>
          <w:right w:w="0" w:type="dxa"/>
        </w:tblCellMar>
      </w:tblPr>
      <w:tblGrid>
        <w:gridCol w:w="4426"/>
        <w:gridCol w:w="1246"/>
        <w:gridCol w:w="3226"/>
      </w:tblGrid>
      <w:tr>
        <w:trPr/>
        <w:tc>
          <w:tcPr>
            <w:tcW w:w="44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Title of each class</w:t>
            </w:r>
          </w:p>
        </w:tc>
        <w:tc>
          <w:tcPr>
            <w:tcW w:w="124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Trading Symbol</w:t>
            </w:r>
          </w:p>
        </w:tc>
        <w:tc>
          <w:tcPr>
            <w:tcW w:w="32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Name of each exchange on which registered</w:t>
            </w:r>
          </w:p>
        </w:tc>
      </w:tr>
      <w:tr>
        <w:trPr/>
        <w:tc>
          <w:tcPr>
            <w:tcW w:w="442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24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322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r>
        <w:trPr/>
        <w:tc>
          <w:tcPr>
            <w:tcW w:w="442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24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322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registered pursuant to Section 12(g) of the Act: None</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pacing w:val="0"/>
          <w:sz w:val="18"/>
        </w:rPr>
        <w:t xml:space="preserve">Indicate by check mark if the registrant is not required to file reports pursuant to Section 13 or 15(d) of the Securities Exchange Act of 1934. </w:t>
      </w:r>
      <w:r>
        <w:rPr>
          <w:rFonts w:ascii="Times New Roman;serif" w:hAnsi="Times New Roman;serif"/>
          <w:b w:val="false"/>
          <w:i w:val="false"/>
          <w:caps w:val="false"/>
          <w:smallCaps w:val="false"/>
          <w:sz w:val="18"/>
        </w:rPr>
        <w:t>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Large 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Non-Accelerated Filer</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Smaller Reporting Company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pacing w:val="0"/>
          <w:sz w:val="18"/>
        </w:rPr>
        <w:t>Emerging Growth Company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inherit" w:hAnsi="inherit"/>
          <w:b w:val="false"/>
          <w:i w:val="false"/>
          <w:caps w:val="false"/>
          <w:smallCaps w:val="false"/>
          <w:color w:val="000000"/>
          <w:sz w:val="20"/>
          <w:shd w:fill="FFFFFF" w:val="clear"/>
        </w:rPr>
        <w:t>. </w:t>
      </w:r>
      <w:r>
        <w:rPr>
          <w:rFonts w:ascii="Times New Roman;serif" w:hAnsi="Times New Roman;serif"/>
          <w:caps w:val="false"/>
          <w:smallCaps w:val="false"/>
          <w:color w:val="000000"/>
          <w:sz w:val="20"/>
          <w:shd w:fill="FFFFFF" w:val="clear"/>
        </w:rPr>
        <w:t></w:t>
      </w:r>
    </w:p>
    <w:p>
      <w:pPr>
        <w:pStyle w:val="TextBody"/>
        <w:bidi w:val="0"/>
        <w:spacing w:lineRule="auto" w:line="259" w:before="0" w:after="100"/>
        <w:jc w:val="left"/>
        <w:rPr>
          <w:rFonts w:ascii="Wingdings" w:hAnsi="Wingdings"/>
          <w:sz w:val="20"/>
        </w:rPr>
      </w:pPr>
      <w:r>
        <w:rPr>
          <w:rFonts w:ascii="Times New Roman;serif" w:hAnsi="Times New Roman;serif"/>
          <w:b w:val="false"/>
          <w:i w:val="false"/>
          <w:caps w:val="false"/>
          <w:smallCaps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hAnsi="Wingdings"/>
          <w:caps w:val="false"/>
          <w:smallCaps w:val="false"/>
          <w:color w:val="000000"/>
          <w:sz w:val="20"/>
          <w:shd w:fill="FFFFFF" w:val="clear"/>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hAnsi="Wingdings"/>
          <w:b/>
          <w:i w:val="false"/>
          <w:caps w:val="false"/>
          <w:smallCaps w:val="false"/>
          <w:color w:val="000000"/>
          <w:sz w:val="20"/>
          <w:shd w:fill="FFFFFF" w:val="clear"/>
        </w:rPr>
        <w:t>o</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hAnsi="Wingdings"/>
          <w:b/>
          <w:i w:val="false"/>
          <w:caps w:val="false"/>
          <w:smallCaps w:val="false"/>
          <w:color w:val="000000"/>
          <w:sz w:val="20"/>
          <w:shd w:fill="FFFFFF" w:val="clear"/>
        </w:rPr>
        <w:t>o</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jc w:val="left"/>
        <w:rPr>
          <w:rFonts w:ascii="Times New Roman;serif" w:hAnsi="Times New Roman;serif"/>
          <w:sz w:val="18"/>
        </w:rPr>
      </w:pPr>
      <w:r>
        <w:rPr>
          <w:rFonts w:ascii="TimesNewRoman" w:hAnsi="TimesNewRoman"/>
          <w:b w:val="false"/>
          <w:i w:val="false"/>
          <w:caps w:val="false"/>
          <w:smallCaps w:val="false"/>
          <w:color w:val="000000"/>
          <w:sz w:val="18"/>
        </w:rPr>
        <w:t xml:space="preserve">As of </w:t>
      </w:r>
      <w:r>
        <w:rPr>
          <w:rFonts w:ascii="TimesNewRoman" w:hAnsi="TimesNewRoman"/>
          <w:b w:val="false"/>
          <w:i w:val="false"/>
          <w:caps w:val="false"/>
          <w:smallCaps w:val="false"/>
          <w:sz w:val="18"/>
        </w:rPr>
        <w:t xml:space="preserve">June 30, 2023 (the last </w:t>
      </w:r>
      <w:r>
        <w:rPr>
          <w:rFonts w:ascii="Times New Roman;serif" w:hAnsi="Times New Roman;serif"/>
          <w:b w:val="false"/>
          <w:i w:val="false"/>
          <w:caps w:val="false"/>
          <w:smallCaps w:val="false"/>
          <w:sz w:val="18"/>
        </w:rPr>
        <w:t>business</w:t>
      </w:r>
      <w:r>
        <w:rPr>
          <w:rFonts w:ascii="Times New Roman;serif" w:hAnsi="Times New Roman;serif"/>
          <w:caps w:val="false"/>
          <w:smallCaps w:val="false"/>
          <w:sz w:val="18"/>
        </w:rPr>
        <w:t xml:space="preserve"> </w:t>
      </w:r>
      <w:r>
        <w:rPr>
          <w:rFonts w:ascii="TimesNewRoman" w:hAnsi="TimesNewRoman"/>
          <w:b w:val="false"/>
          <w:i w:val="false"/>
          <w:caps w:val="false"/>
          <w:smallCaps w:val="false"/>
          <w:sz w:val="18"/>
        </w:rPr>
        <w:t xml:space="preserve">day of the registrant’s most recently completed second fiscal quarter), the aggregate market value of the registrant's voting and non-voting common equity held by non-affiliates based on the closing price on that date as reported by the Nasdaq Stock Market was $55,076,350. </w:t>
      </w:r>
      <w:r>
        <w:rPr>
          <w:rFonts w:ascii="Times New Roman;serif" w:hAnsi="Times New Roman;serif"/>
          <w:b w:val="false"/>
          <w:i w:val="false"/>
          <w:caps w:val="false"/>
          <w:smallCaps w:val="false"/>
          <w:sz w:val="18"/>
        </w:rPr>
        <w:t>As of March 28, 2024, there were 20,675,185</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A non-voting common stock, par value $0.01 per share and 1,680,590</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B voting common stock, par value $0.01 per share, outstanding.</w:t>
      </w:r>
    </w:p>
    <w:p>
      <w:pPr>
        <w:pStyle w:val="TextBody"/>
        <w:bidi w:val="0"/>
        <w:spacing w:lineRule="auto" w:line="259" w:before="0" w:after="120"/>
        <w:jc w:val="center"/>
        <w:rPr>
          <w:rFonts w:ascii="Times New Roman;serif" w:hAnsi="Times New Roman;serif"/>
          <w:b w:val="false"/>
          <w:i w:val="false"/>
          <w:caps w:val="false"/>
          <w:smallCaps w:val="false"/>
          <w:sz w:val="18"/>
          <w:u w:val="single"/>
        </w:rPr>
      </w:pPr>
      <w:r>
        <w:rPr>
          <w:rFonts w:ascii="Times New Roman;serif" w:hAnsi="Times New Roman;serif"/>
          <w:b w:val="false"/>
          <w:i w:val="false"/>
          <w:caps w:val="false"/>
          <w:smallCaps w:val="false"/>
          <w:sz w:val="18"/>
          <w:u w:val="single"/>
        </w:rPr>
        <w:t>Documents Incorporated by Reference</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18"/>
        </w:rPr>
      </w:pPr>
      <w:r>
        <w:rPr>
          <w:rFonts w:ascii="Times New Roman;serif" w:hAnsi="Times New Roman;serif"/>
          <w:b w:val="false"/>
          <w:i w:val="false"/>
          <w:caps w:val="false"/>
          <w:smallCaps w:val="false"/>
          <w:sz w:val="18"/>
        </w:rPr>
        <w:t>Certain portions of the registrant’s definitive Proxy Statement for the 2024 annual meeting of the stockholders to be filed with the Securities and Exchange Commission within 120 days after the end of the fiscal year ended December 31, 2023</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are incorporated by reference into Part III of this Annual Report on Form 10-K.</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br/>
        <w:t>‎</w:t>
      </w:r>
    </w:p>
    <w:p>
      <w:pPr>
        <w:pStyle w:val="TextBody"/>
        <w:bidi w:val="0"/>
        <w:spacing w:lineRule="auto" w:line="259"/>
        <w:jc w:val="center"/>
        <w:rPr>
          <w:rFonts w:ascii="Times New Roman;serif" w:hAnsi="Times New Roman;serif"/>
          <w:sz w:val="20"/>
        </w:rPr>
      </w:pPr>
      <w:bookmarkStart w:id="3" w:name="_Hlk131158757"/>
      <w:bookmarkEnd w:id="3"/>
      <w:r>
        <w:rPr>
          <w:rFonts w:ascii="Times New Roman;serif" w:hAnsi="Times New Roman;serif"/>
          <w:b w:val="false"/>
          <w:i w:val="false"/>
          <w:caps w:val="false"/>
          <w:smallCaps w:val="false"/>
          <w:sz w:val="20"/>
        </w:rPr>
        <w: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Neutraface Display Titling" w:hAnsi="Neutraface Display Titling"/>
          <w:b/>
          <w:i w:val="false"/>
          <w:caps/>
          <w:sz w:val="30"/>
          <w:u w:val="single"/>
        </w:rPr>
      </w:pPr>
      <w:r>
        <w:rPr>
          <w:rFonts w:ascii="Neutraface Display Titling" w:hAnsi="Neutraface Display Titling"/>
          <w:b/>
          <w:i w:val="false"/>
          <w:caps/>
          <w:sz w:val="30"/>
          <w:u w:val="single"/>
        </w:rPr>
        <w:t>READING INTERNATIONAL, INC.</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ANNUAL REPORT ON FORM 10-K</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 DECEMBER 31, 2023</w:t>
      </w:r>
    </w:p>
    <w:p>
      <w:pPr>
        <w:pStyle w:val="TextBody"/>
        <w:bidi w:val="0"/>
        <w:spacing w:lineRule="auto" w:line="259"/>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INDEX</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Page</w:t>
            </w:r>
          </w:p>
        </w:tc>
      </w:tr>
      <w:tr>
        <w:trPr/>
        <w:tc>
          <w:tcPr>
            <w:tcW w:w="9694" w:type="dxa"/>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000FF"/>
                  <w:sz w:val="20"/>
                  <w:u w:val="single"/>
                </w:rPr>
                <w:t>PART I</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9694" w:type="dxa"/>
            <w:tcBorders/>
            <w:vAlign w:val="center"/>
          </w:tcPr>
          <w:p>
            <w:pPr>
              <w:pStyle w:val="TableContents"/>
              <w:bidi w:val="0"/>
              <w:spacing w:lineRule="auto" w:line="259" w:before="0" w:after="283"/>
              <w:jc w:val="left"/>
              <w:rPr/>
            </w:pPr>
            <w:hyperlink w:anchor="PartIitemI">
              <w:r>
                <w:rPr>
                  <w:rStyle w:val="InternetLink"/>
                  <w:rFonts w:ascii="Times New Roman;serif" w:hAnsi="Times New Roman;serif"/>
                  <w:b w:val="false"/>
                  <w:i w:val="false"/>
                  <w:caps w:val="false"/>
                  <w:smallCaps w:val="false"/>
                  <w:color w:val="0000FF"/>
                  <w:sz w:val="20"/>
                  <w:u w:val="single"/>
                </w:rPr>
                <w:t>Item 1 – Our Business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9694" w:type="dxa"/>
            <w:tcBorders/>
            <w:shd w:fill="CCEEFF" w:val="clear"/>
            <w:vAlign w:val="center"/>
          </w:tcPr>
          <w:p>
            <w:pPr>
              <w:pStyle w:val="TableContents"/>
              <w:bidi w:val="0"/>
              <w:spacing w:lineRule="auto" w:line="259" w:before="0" w:after="283"/>
              <w:jc w:val="left"/>
              <w:rPr/>
            </w:pPr>
            <w:hyperlink w:anchor="Part1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tc>
      </w:tr>
      <w:tr>
        <w:trPr/>
        <w:tc>
          <w:tcPr>
            <w:tcW w:w="9694" w:type="dxa"/>
            <w:tcBorders/>
            <w:vAlign w:val="center"/>
          </w:tcPr>
          <w:p>
            <w:pPr>
              <w:pStyle w:val="TableContents"/>
              <w:bidi w:val="0"/>
              <w:spacing w:lineRule="auto" w:line="259" w:before="0" w:after="283"/>
              <w:jc w:val="left"/>
              <w:rPr/>
            </w:pPr>
            <w:hyperlink w:anchor="Part1Item1B">
              <w:r>
                <w:rPr>
                  <w:rStyle w:val="InternetLink"/>
                  <w:rFonts w:ascii="Times New Roman;serif" w:hAnsi="Times New Roman;serif"/>
                  <w:b w:val="false"/>
                  <w:i w:val="false"/>
                  <w:caps w:val="false"/>
                  <w:smallCaps w:val="false"/>
                  <w:strike w:val="false"/>
                  <w:dstrike w:val="false"/>
                  <w:color w:val="0000FF"/>
                  <w:sz w:val="20"/>
                  <w:u w:val="single"/>
                  <w:effect w:val="none"/>
                </w:rPr>
                <w:t>Item 1B – Unresolved Staff Comments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r>
      <w:tr>
        <w:trPr/>
        <w:tc>
          <w:tcPr>
            <w:tcW w:w="9694" w:type="dxa"/>
            <w:tcBorders/>
            <w:shd w:fill="CCEEFF" w:val="clear"/>
            <w:vAlign w:val="center"/>
          </w:tcPr>
          <w:p>
            <w:pPr>
              <w:pStyle w:val="TableContents"/>
              <w:bidi w:val="0"/>
              <w:spacing w:lineRule="auto" w:line="259" w:before="0" w:after="283"/>
              <w:jc w:val="left"/>
              <w:rPr/>
            </w:pPr>
            <w:hyperlink w:anchor="Part1Item2">
              <w:r>
                <w:rPr>
                  <w:rStyle w:val="InternetLink"/>
                  <w:rFonts w:ascii="Times New Roman;serif" w:hAnsi="Times New Roman;serif"/>
                  <w:b w:val="false"/>
                  <w:i w:val="false"/>
                  <w:caps w:val="false"/>
                  <w:smallCaps w:val="false"/>
                  <w:strike w:val="false"/>
                  <w:dstrike w:val="false"/>
                  <w:color w:val="0000FF"/>
                  <w:sz w:val="20"/>
                  <w:u w:val="single"/>
                  <w:effect w:val="none"/>
                </w:rPr>
                <w:t>Item 2 – Properties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9694" w:type="dxa"/>
            <w:tcBorders/>
            <w:vAlign w:val="center"/>
          </w:tcPr>
          <w:p>
            <w:pPr>
              <w:pStyle w:val="TableContents"/>
              <w:bidi w:val="0"/>
              <w:spacing w:lineRule="auto" w:line="259" w:before="0" w:after="283"/>
              <w:jc w:val="left"/>
              <w:rPr/>
            </w:pPr>
            <w:hyperlink w:anchor="Part1Item3">
              <w:r>
                <w:rPr>
                  <w:rStyle w:val="InternetLink"/>
                  <w:rFonts w:ascii="Times New Roman;serif" w:hAnsi="Times New Roman;serif"/>
                  <w:b w:val="false"/>
                  <w:i w:val="false"/>
                  <w:caps w:val="false"/>
                  <w:smallCaps w:val="false"/>
                  <w:strike w:val="false"/>
                  <w:dstrike w:val="false"/>
                  <w:color w:val="0000FF"/>
                  <w:sz w:val="20"/>
                  <w:u w:val="single"/>
                  <w:effect w:val="none"/>
                </w:rPr>
                <w:t>Item 3 – Legal Proceedings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CCEEFF" w:val="clear"/>
            <w:vAlign w:val="center"/>
          </w:tcPr>
          <w:p>
            <w:pPr>
              <w:pStyle w:val="TableContents"/>
              <w:bidi w:val="0"/>
              <w:spacing w:lineRule="auto" w:line="259" w:before="0" w:after="283"/>
              <w:jc w:val="left"/>
              <w:rPr/>
            </w:pPr>
            <w:hyperlink w:anchor="Part1Item4MineSafety">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000FF"/>
                  <w:sz w:val="20"/>
                  <w:u w:val="single"/>
                  <w:effect w:val="none"/>
                </w:rPr>
                <w:t>PART II</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Market for Registrant’s Common Equity, Related Stockholder Matters and Issuer Purchases of Equity Securities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tc>
      </w:tr>
      <w:tr>
        <w:trPr/>
        <w:tc>
          <w:tcPr>
            <w:tcW w:w="9694" w:type="dxa"/>
            <w:tcBorders/>
            <w:vAlign w:val="center"/>
          </w:tcPr>
          <w:p>
            <w:pPr>
              <w:pStyle w:val="TableContents"/>
              <w:bidi w:val="0"/>
              <w:spacing w:lineRule="auto" w:line="259" w:before="0" w:after="283"/>
              <w:jc w:val="left"/>
              <w:rPr/>
            </w:pPr>
            <w:hyperlink w:anchor="Item6">
              <w:r>
                <w:rPr>
                  <w:rStyle w:val="InternetLink"/>
                  <w:rFonts w:ascii="Times New Roman;serif" w:hAnsi="Times New Roman;serif"/>
                  <w:b w:val="false"/>
                  <w:i w:val="false"/>
                  <w:caps w:val="false"/>
                  <w:smallCaps w:val="false"/>
                  <w:strike w:val="false"/>
                  <w:dstrike w:val="false"/>
                  <w:color w:val="0000FF"/>
                  <w:sz w:val="20"/>
                  <w:u w:val="single"/>
                  <w:effect w:val="none"/>
                </w:rPr>
                <w:t>Item 6 – Selected Financial Data</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r>
      <w:tr>
        <w:trPr/>
        <w:tc>
          <w:tcPr>
            <w:tcW w:w="9694" w:type="dxa"/>
            <w:tcBorders/>
            <w:shd w:fill="CCEEFF" w:val="clear"/>
            <w:vAlign w:val="center"/>
          </w:tcPr>
          <w:p>
            <w:pPr>
              <w:pStyle w:val="TableContents"/>
              <w:bidi w:val="0"/>
              <w:spacing w:lineRule="auto" w:line="259" w:before="0" w:after="283"/>
              <w:jc w:val="left"/>
              <w:rPr/>
            </w:pPr>
            <w:hyperlink w:anchor="Part2Item7">
              <w:r>
                <w:rPr>
                  <w:rStyle w:val="InternetLink"/>
                  <w:rFonts w:ascii="Times New Roman;serif" w:hAnsi="Times New Roman;serif"/>
                  <w:b w:val="false"/>
                  <w:i w:val="false"/>
                  <w:caps w:val="false"/>
                  <w:smallCaps w:val="false"/>
                  <w:strike w:val="false"/>
                  <w:dstrike w:val="false"/>
                  <w:color w:val="0000FF"/>
                  <w:sz w:val="20"/>
                  <w:u w:val="single"/>
                  <w:effect w:val="none"/>
                </w:rPr>
                <w:t>Item 7 – Management’s Discussion and Analysis of Financial Condition and Results of Operations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r>
      <w:tr>
        <w:trPr/>
        <w:tc>
          <w:tcPr>
            <w:tcW w:w="9694" w:type="dxa"/>
            <w:tcBorders/>
            <w:vAlign w:val="center"/>
          </w:tcPr>
          <w:p>
            <w:pPr>
              <w:pStyle w:val="TableContents"/>
              <w:bidi w:val="0"/>
              <w:spacing w:lineRule="auto" w:line="259" w:before="0" w:after="283"/>
              <w:jc w:val="left"/>
              <w:rPr/>
            </w:pPr>
            <w:hyperlink w:anchor="Part2Item7A">
              <w:r>
                <w:rPr>
                  <w:rStyle w:val="InternetLink"/>
                  <w:rFonts w:ascii="Times New Roman;serif" w:hAnsi="Times New Roman;serif"/>
                  <w:b w:val="false"/>
                  <w:i w:val="false"/>
                  <w:caps w:val="false"/>
                  <w:smallCaps w:val="false"/>
                  <w:strike w:val="false"/>
                  <w:dstrike w:val="false"/>
                  <w:color w:val="0000FF"/>
                  <w:sz w:val="20"/>
                  <w:u w:val="single"/>
                  <w:effect w:val="none"/>
                </w:rPr>
                <w:t>Item 7A – Quantitative and Qualitative Disclosure about Market Risk</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9694" w:type="dxa"/>
            <w:tcBorders/>
            <w:shd w:fill="CCEEFF" w:val="clear"/>
            <w:vAlign w:val="center"/>
          </w:tcPr>
          <w:p>
            <w:pPr>
              <w:pStyle w:val="TableContents"/>
              <w:bidi w:val="0"/>
              <w:spacing w:lineRule="auto" w:line="259" w:before="0" w:after="283"/>
              <w:jc w:val="left"/>
              <w:rPr/>
            </w:pPr>
            <w:hyperlink w:anchor="part2Item8">
              <w:r>
                <w:rPr>
                  <w:rStyle w:val="InternetLink"/>
                  <w:rFonts w:ascii="Times New Roman;serif" w:hAnsi="Times New Roman;serif"/>
                  <w:b w:val="false"/>
                  <w:i w:val="false"/>
                  <w:caps w:val="false"/>
                  <w:smallCaps w:val="false"/>
                  <w:strike w:val="false"/>
                  <w:dstrike w:val="false"/>
                  <w:color w:val="0000FF"/>
                  <w:sz w:val="20"/>
                  <w:u w:val="single"/>
                  <w:effect w:val="none"/>
                </w:rPr>
                <w:t>Item 8 – Financial Statements and Supplementary Data</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9694" w:type="dxa"/>
            <w:tcBorders/>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strike w:val="false"/>
                  <w:dstrike w:val="false"/>
                  <w:color w:val="0000FF"/>
                  <w:sz w:val="20"/>
                  <w:u w:val="single"/>
                  <w:effect w:val="none"/>
                </w:rPr>
                <w:t>Management’s Report on Internal Control over Financial Reporting</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9694" w:type="dxa"/>
            <w:tcBorders/>
            <w:shd w:fill="CCEEFF" w:val="clear"/>
            <w:vAlign w:val="center"/>
          </w:tcPr>
          <w:p>
            <w:pPr>
              <w:pStyle w:val="TableContents"/>
              <w:bidi w:val="0"/>
              <w:spacing w:lineRule="auto" w:line="259" w:before="0" w:after="283"/>
              <w:jc w:val="both"/>
              <w:rPr/>
            </w:pPr>
            <w:hyperlink w:anchor="AuditorsReportICFR">
              <w:r>
                <w:rPr>
                  <w:rStyle w:val="InternetLink"/>
                  <w:rFonts w:ascii="Times New Roman;serif" w:hAnsi="Times New Roman;serif"/>
                  <w:b w:val="false"/>
                  <w:i w:val="false"/>
                  <w:caps w:val="false"/>
                  <w:smallCaps w:val="false"/>
                  <w:strike w:val="false"/>
                  <w:dstrike w:val="false"/>
                  <w:color w:val="0000FF"/>
                  <w:sz w:val="20"/>
                  <w:u w:val="single"/>
                  <w:effect w:val="none"/>
                </w:rPr>
                <w:t>Report of Independent Registered Public Accounting Firm (Consolidated Financial Statements)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9694" w:type="dxa"/>
            <w:tcBorders/>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2023 and 2022</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9694" w:type="dxa"/>
            <w:tcBorders/>
            <w:shd w:fill="CCEEFF" w:val="clear"/>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9694" w:type="dxa"/>
            <w:tcBorders/>
            <w:vAlign w:val="center"/>
          </w:tcPr>
          <w:p>
            <w:pPr>
              <w:pStyle w:val="TableContents"/>
              <w:bidi w:val="0"/>
              <w:spacing w:lineRule="auto" w:line="259" w:before="0" w:after="283"/>
              <w:jc w:val="left"/>
              <w:rPr/>
            </w:pPr>
            <w:hyperlink w:anchor="ConsolidatedCI2">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9694" w:type="dxa"/>
            <w:tcBorders/>
            <w:shd w:fill="CCEEFF" w:val="clear"/>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9694" w:type="dxa"/>
            <w:tcBorders/>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9694" w:type="dxa"/>
            <w:tcBorders/>
            <w:shd w:fill="CCEEFF" w:val="clear"/>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9694" w:type="dxa"/>
            <w:tcBorders/>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r>
        <w:trPr/>
        <w:tc>
          <w:tcPr>
            <w:tcW w:w="9694" w:type="dxa"/>
            <w:tcBorders/>
            <w:shd w:fill="CCEEFF" w:val="clear"/>
            <w:vAlign w:val="center"/>
          </w:tcPr>
          <w:p>
            <w:pPr>
              <w:pStyle w:val="TableContents"/>
              <w:bidi w:val="0"/>
              <w:spacing w:lineRule="auto" w:line="259" w:before="0" w:after="283"/>
              <w:jc w:val="left"/>
              <w:rPr/>
            </w:pPr>
            <w:hyperlink w:anchor="Part2Item9">
              <w:r>
                <w:rPr>
                  <w:rStyle w:val="InternetLink"/>
                  <w:rFonts w:ascii="Times New Roman;serif" w:hAnsi="Times New Roman;serif"/>
                  <w:b w:val="false"/>
                  <w:i w:val="false"/>
                  <w:caps w:val="false"/>
                  <w:smallCaps w:val="false"/>
                  <w:strike w:val="false"/>
                  <w:dstrike w:val="false"/>
                  <w:color w:val="0000FF"/>
                  <w:sz w:val="20"/>
                  <w:u w:val="single"/>
                  <w:effect w:val="none"/>
                </w:rPr>
                <w:t>Item 9 – Change in and Disagreements with Accountants on Accounting and Financial Disclosure</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r>
      <w:tr>
        <w:trPr/>
        <w:tc>
          <w:tcPr>
            <w:tcW w:w="9694" w:type="dxa"/>
            <w:tcBorders/>
            <w:vAlign w:val="center"/>
          </w:tcPr>
          <w:p>
            <w:pPr>
              <w:pStyle w:val="TableContents"/>
              <w:bidi w:val="0"/>
              <w:spacing w:lineRule="auto" w:line="259" w:before="0" w:after="283"/>
              <w:jc w:val="left"/>
              <w:rPr/>
            </w:pPr>
            <w:hyperlink w:anchor="Part2Item9A">
              <w:r>
                <w:rPr>
                  <w:rStyle w:val="InternetLink"/>
                  <w:rFonts w:ascii="Times New Roman;serif" w:hAnsi="Times New Roman;serif"/>
                  <w:b w:val="false"/>
                  <w:i w:val="false"/>
                  <w:caps w:val="false"/>
                  <w:smallCaps w:val="false"/>
                  <w:strike w:val="false"/>
                  <w:dstrike w:val="false"/>
                  <w:color w:val="0000FF"/>
                  <w:sz w:val="20"/>
                  <w:u w:val="single"/>
                  <w:effect w:val="none"/>
                </w:rPr>
                <w:t>Item 9A – Controls and Procedures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r>
      <w:tr>
        <w:trPr/>
        <w:tc>
          <w:tcPr>
            <w:tcW w:w="9694" w:type="dxa"/>
            <w:tcBorders/>
            <w:shd w:fill="CCEEFF" w:val="clear"/>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Item 9B – Other Information</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r>
      <w:tr>
        <w:trPr/>
        <w:tc>
          <w:tcPr>
            <w:tcW w:w="9694" w:type="dxa"/>
            <w:tcBorders/>
            <w:vAlign w:val="center"/>
          </w:tcPr>
          <w:p>
            <w:pPr>
              <w:pStyle w:val="TableContents"/>
              <w:bidi w:val="0"/>
              <w:spacing w:lineRule="auto" w:line="259" w:before="0" w:after="283"/>
              <w:jc w:val="left"/>
              <w:rPr/>
            </w:pPr>
            <w:hyperlink w:anchor="Part3">
              <w:r>
                <w:rPr>
                  <w:rStyle w:val="InternetLink"/>
                  <w:rFonts w:ascii="Times New Roman;serif" w:hAnsi="Times New Roman;serif"/>
                  <w:b/>
                  <w:i w:val="false"/>
                  <w:caps w:val="false"/>
                  <w:smallCaps w:val="false"/>
                  <w:strike w:val="false"/>
                  <w:dstrike w:val="false"/>
                  <w:color w:val="0000FF"/>
                  <w:sz w:val="20"/>
                  <w:u w:val="single"/>
                  <w:effect w:val="none"/>
                </w:rPr>
                <w:t>PART III</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tc>
      </w:tr>
      <w:tr>
        <w:trPr/>
        <w:tc>
          <w:tcPr>
            <w:tcW w:w="9694" w:type="dxa"/>
            <w:tcBorders/>
            <w:shd w:fill="CCEEFF" w:val="clear"/>
            <w:vAlign w:val="center"/>
          </w:tcPr>
          <w:p>
            <w:pPr>
              <w:pStyle w:val="TableContents"/>
              <w:bidi w:val="0"/>
              <w:spacing w:lineRule="auto" w:line="259" w:before="0" w:after="283"/>
              <w:jc w:val="left"/>
              <w:rPr/>
            </w:pPr>
            <w:hyperlink w:anchor="Part4">
              <w:r>
                <w:rPr>
                  <w:rStyle w:val="InternetLink"/>
                  <w:rFonts w:ascii="Times New Roman;serif" w:hAnsi="Times New Roman;serif"/>
                  <w:b/>
                  <w:i w:val="false"/>
                  <w:caps w:val="false"/>
                  <w:smallCaps w:val="false"/>
                  <w:strike w:val="false"/>
                  <w:dstrike w:val="false"/>
                  <w:color w:val="0000FF"/>
                  <w:sz w:val="20"/>
                  <w:u w:val="single"/>
                  <w:effect w:val="none"/>
                </w:rPr>
                <w:t>PART IV</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r>
        <w:trPr/>
        <w:tc>
          <w:tcPr>
            <w:tcW w:w="9694" w:type="dxa"/>
            <w:tcBorders/>
            <w:vAlign w:val="center"/>
          </w:tcPr>
          <w:p>
            <w:pPr>
              <w:pStyle w:val="TableContents"/>
              <w:bidi w:val="0"/>
              <w:spacing w:lineRule="auto" w:line="259" w:before="0" w:after="283"/>
              <w:jc w:val="left"/>
              <w:rPr/>
            </w:pPr>
            <w:hyperlink w:anchor="Part4Item15">
              <w:r>
                <w:rPr>
                  <w:rStyle w:val="InternetLink"/>
                  <w:rFonts w:ascii="Times New Roman;serif" w:hAnsi="Times New Roman;serif"/>
                  <w:b w:val="false"/>
                  <w:i w:val="false"/>
                  <w:caps w:val="false"/>
                  <w:smallCaps w:val="false"/>
                  <w:strike w:val="false"/>
                  <w:dstrike w:val="false"/>
                  <w:color w:val="0000FF"/>
                  <w:sz w:val="20"/>
                  <w:u w:val="single"/>
                  <w:effect w:val="none"/>
                </w:rPr>
                <w:t>Item 15 – Exhibits, Financial Statement Schedules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r>
        <w:trPr/>
        <w:tc>
          <w:tcPr>
            <w:tcW w:w="9694"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bookmarkStart w:id="4" w:name="_Hlk162685046"/>
      <w:bookmarkEnd w:id="4"/>
      <w:r>
        <w:rPr>
          <w:rFonts w:ascii="Times New Roman;serif" w:hAnsi="Times New Roman;serif"/>
          <w:b w:val="false"/>
          <w:i w:val="false"/>
          <w:caps w:val="false"/>
          <w:smallCaps w:val="false"/>
          <w:sz w:val="20"/>
        </w:rPr>
        <w:t>- 3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left"/>
        <w:tblInd w:w="-15" w:type="dxa"/>
        <w:tblLayout w:type="fixed"/>
        <w:tblCellMar>
          <w:top w:w="28" w:type="dxa"/>
          <w:left w:w="108" w:type="dxa"/>
          <w:bottom w:w="28" w:type="dxa"/>
          <w:right w:w="10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259" w:before="120" w:after="120"/>
              <w:jc w:val="left"/>
              <w:rPr>
                <w:rFonts w:ascii="TimesNewRomanPS-ItalicMT" w:hAnsi="TimesNewRomanPS-ItalicMT"/>
                <w:b w:val="false"/>
                <w:i/>
                <w:sz w:val="14"/>
              </w:rPr>
            </w:pPr>
            <w:r>
              <w:rPr>
                <w:rFonts w:ascii="TimesNewRomanPS-ItalicMT" w:hAnsi="TimesNewRomanPS-ItalicMT"/>
                <w:b w:val="false"/>
                <w:i/>
                <w:sz w:val="14"/>
              </w:rPr>
              <w:t>The information in this Annual Report on Form 10-K for the year ended December 31, 2023 ("2023 Form 10-K" or “2023 Annual Report”) contains certain forward-looking statements, including statements related to trends in the Company's business. The Company's actual results may differ materially from the results discussed in the “Cautionary Statement Regarding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2023 Form 10-K.</w:t>
            </w:r>
          </w:p>
        </w:tc>
      </w:tr>
    </w:tbl>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w:t>
      </w:r>
      <w:bookmarkStart w:id="5" w:name="PartI"/>
      <w:bookmarkEnd w:id="5"/>
      <w:r>
        <w:rPr>
          <w:rFonts w:ascii="Times New Roman;serif" w:hAnsi="Times New Roman;serif"/>
          <w:b/>
          <w:i w:val="false"/>
          <w:caps w:val="false"/>
          <w:smallCaps w:val="false"/>
          <w:sz w:val="28"/>
          <w:u w:val="single"/>
        </w:rPr>
        <w:t>T 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 – Our Bu</w:t>
      </w:r>
      <w:bookmarkStart w:id="6" w:name="PartIitemI"/>
      <w:bookmarkEnd w:id="6"/>
      <w:r>
        <w:rPr>
          <w:rFonts w:ascii="Times New Roman;serif" w:hAnsi="Times New Roman;serif"/>
          <w:b/>
          <w:i w:val="false"/>
          <w:caps w:val="false"/>
          <w:smallCaps w:val="false"/>
          <w:sz w:val="24"/>
          <w:u w:val="single"/>
        </w:rPr>
        <w:t>siness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at 189 Second Avenue, Suite 2S, New York, New York, 10003.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corporate website address is </w:t>
      </w:r>
      <w:r>
        <w:rPr>
          <w:rFonts w:ascii="Times New Roman;serif" w:hAnsi="Times New Roman;serif"/>
          <w:b/>
          <w:i w:val="false"/>
          <w:caps w:val="false"/>
          <w:smallCaps w:val="false"/>
          <w:sz w:val="20"/>
          <w:u w:val="single"/>
        </w:rPr>
        <w:t>www.readingrdi.com</w:t>
      </w:r>
      <w:r>
        <w:rPr>
          <w:rFonts w:ascii="Times New Roman;serif" w:hAnsi="Times New Roman;serif"/>
          <w:b w:val="false"/>
          <w:i w:val="false"/>
          <w:caps w:val="false"/>
          <w:smallCaps w:val="false"/>
          <w:sz w:val="20"/>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Times New Roman;serif" w:hAnsi="Times New Roman;serif"/>
          <w:b w:val="false"/>
          <w:i w:val="false"/>
          <w:caps w:val="false"/>
          <w:smallCaps w:val="false"/>
          <w:sz w:val="20"/>
          <w:u w:val="single"/>
        </w:rPr>
        <w:t>www.sec.gov</w:t>
      </w:r>
      <w:r>
        <w:rPr>
          <w:rFonts w:ascii="Times New Roman;serif" w:hAnsi="Times New Roman;serif"/>
          <w:b w:val="false"/>
          <w:i w:val="false"/>
          <w:caps w:val="false"/>
          <w:smallCaps w:val="false"/>
          <w:sz w:val="20"/>
        </w:rPr>
        <w:t>). The contents of our Company website are not incorporated into this report. Our corporate governance charters for our Audit and Conflicts Committee and Compensation and Stock Options Committee are available on our website.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DESCRIPTION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Synergistic Diversification and Branding</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focused on the development, ownership and operation of entertainment and real property assets in three jurisdictions: (i) United States (“U.S.”), (ii) Australia, and (iii) New Zealand. We group our businesses in two operating segments, which are owned and operated through various operating subsidiaries: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Theatrical Motion Picture Exhibition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(“Cinema Exhibition”), through as of the date of this 2023 Annual Report, our 61 cinemas.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Real Estate</w:t>
      </w:r>
      <w:r>
        <w:rPr>
          <w:rFonts w:ascii="Times New Roman;serif" w:hAnsi="Times New Roman;serif"/>
          <w:b w:val="false"/>
          <w:i w:val="false"/>
          <w:caps w:val="false"/>
          <w:smallCaps w:val="false"/>
          <w:sz w:val="20"/>
        </w:rPr>
        <w:t xml:space="preserve">, including real estate development and the rental or licensing of retail, commercial and live theatre assets comprised, as of the date of this 2023 Annual Report, of approximately 9,904,000 square feet of land and approximately 662,000 square feet of net rentable area.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Impacts on our Business due to the 2023 Hollywood Strikes, the dramatic Interest Rate Rise and Increased Operating Costs, together with our Company’s Responses</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sz w:val="20"/>
        </w:rPr>
        <w:t xml:space="preserve">The last four years have been challenging for our business. Fortunately, however, recently released movies, such as </w:t>
      </w:r>
      <w:r>
        <w:rPr>
          <w:rFonts w:ascii="Times New Roman;serif" w:hAnsi="Times New Roman;serif"/>
          <w:b w:val="false"/>
          <w:i/>
          <w:sz w:val="20"/>
        </w:rPr>
        <w:t>Dune: Part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Kung Fu Panda 4</w:t>
      </w:r>
      <w:r>
        <w:rPr>
          <w:rFonts w:ascii="Times New Roman;serif" w:hAnsi="Times New Roman;serif"/>
          <w:b w:val="false"/>
          <w:i w:val="false"/>
          <w:caps w:val="false"/>
          <w:smallCaps w:val="false"/>
          <w:sz w:val="20"/>
        </w:rPr>
        <w:t xml:space="preserve">, and what we believe to be a strong slate of film through the end of 2025, and the renewed recognition by the motion picture industry of the importance of a theatrical release window, make us optimistic for the future of the cinema business. Accordingly, we are continuing to support our investment in the beyond the home entertainment industry, to maintain our key cinemas and live theatres, to improve the amenities offered, and to protect those of our real estate assets which we believe offer substantial upside potential. </w:t>
      </w:r>
    </w:p>
    <w:p>
      <w:pPr>
        <w:pStyle w:val="TextBody"/>
        <w:bidi w:val="0"/>
        <w:spacing w:lineRule="auto" w:line="254" w:before="0" w:after="1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COVID-19 pandemic is largely in the rear-view mirror, but it did significantly disrupt both the global economy and the cinema industry, profoundly affecting our Company's operations, and draining our liquidity. In March 2020, government mandates forced the temporary closure of all our cinemas and live theaters in the United States, Australia, and New Zealand, resulting in an immediate halt of cinema revenues and income and it made people cautious about leaving their homes for community-based entertainment. </w:t>
      </w:r>
    </w:p>
    <w:p>
      <w:pPr>
        <w:pStyle w:val="TextBody"/>
        <w:bidi w:val="0"/>
        <w:spacing w:lineRule="auto" w:line="254" w:before="0" w:after="1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2023, our cinema operations were, again, materially disrupted and materially adversely impacted by the 2023 strikes by the Writers Guild of America (WGA) and the American actors’ union SAG-AFTRA (Screen Actors Guild-American Federation of Television and Radio Artists) (SAG) over labor disputes with the Alliance of Motion Picture and Television Producers (AMPTP), described in greater detail below (the “2023 Hollywood Strikes”). Also, between March 2022 and July 2023, the Federal Reserve increased the Federal Funds rate from 0.25% to 5.5%, which represented the fastest interest rate tightening in U.S. history. This increased our interest expense by $6.6 million in 2022 and by a further $1.6 million in 2023, from what our interest expense would have been in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4" w:before="0" w:after="1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absence of such rate increases. During this two-year period, our total interest bearing debt decreased by $26.6 million from $236.9 million to $210.3 million. </w:t>
      </w:r>
    </w:p>
    <w:p>
      <w:pPr>
        <w:pStyle w:val="TextBody"/>
        <w:bidi w:val="0"/>
        <w:spacing w:lineRule="auto" w:line="254" w:before="0" w:after="160"/>
        <w:jc w:val="both"/>
        <w:rPr>
          <w:rFonts w:ascii="Times New Roman;serif" w:hAnsi="Times New Roman;serif"/>
          <w:b w:val="false"/>
          <w:i w:val="false"/>
          <w:caps w:val="false"/>
          <w:smallCaps w:val="false"/>
          <w:sz w:val="20"/>
        </w:rPr>
      </w:pPr>
      <w:bookmarkStart w:id="7" w:name="_Hlk159407754"/>
      <w:bookmarkEnd w:id="7"/>
      <w:r>
        <w:rPr>
          <w:rFonts w:ascii="Times New Roman;serif" w:hAnsi="Times New Roman;serif"/>
          <w:b w:val="false"/>
          <w:i w:val="false"/>
          <w:caps w:val="false"/>
          <w:smallCaps w:val="false"/>
          <w:sz w:val="20"/>
        </w:rPr>
        <w:t xml:space="preserve">Additionally, over the last two years, our global cinema divisions have experienced (i) increased labor costs which have been legislated post-COVID-19 pandemic and (ii) increases in our cost of goods sold, utilities, and insurance. The legislatively mandated increased labor costs have impacted not only hourly compensation rates, but also leave time, the calculation of overtime pay, and the amount of administration and record keeping required to maintain and to document regulatory compliance. The Company has, to some extent, balanced the overall increased expense regime with strategic increases in ticket and food and beverage prices, which take into account the Company’s goal of not increasing prices to the extent that they present cost barriers and deter the generation of revenues.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To address our liquidity challenges created by the above headwinds, the Company implemented a series of measures, including, without limitation, the following: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(i)Monetizing seven non-core assets from 2021 through the end of the first quarter of 2024;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(ii)Negotiating loan term extensions and covenant waivers with various lenders;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(iii)Closing unprofitable cinemas: one in the U.S. in 2022 and three in 2023, and one in New Zealand in 2023;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(iv)Negotiated rent abatements and deferrals with various of our cinema landlords; and</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(v)Implemented cash preservation strategies such as delaying non-essential capital expenditures.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However, where we have been able to negotiate rent deferrals, we still face the burden of paying back those deferrals which totaled approximately $10 million as of date of December 31, 2023. Our loan extension and covenant waivers have, in some cases, necessitated our agreement to pay increased interest margins.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Due to our status as a public company, together with only three other U.S. publicly traded exhibitors (Marcus, Cinemark, and AMC), we were excluded from certain U.S. federal pandemic relief programs (i.e. Payroll Protection Program and U.S. Shuttered Venue Grant Program). This exclusion exacerbated our financial strain compared to other U.S. exhibitors. In some markets, we also face competition from competitors who have been able to make use of U.S. bankruptcy laws to renegotiate their lease and other liabilities.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In this post-Covid environment, we have focused on key strategic operational initiatives to generate better operational margins. Each of our global cinema divisions has delivered a record high annual Food &amp; Beverage per capita in 2023. All of our domestic cinemas and 63% of our cinemas in Australia and New Zealand now have liquor licenses. Also, the implementation of our mobile ticketing and food and beverage apps have allowed us to generate higher Food &amp; Beverage revenues, while reducing the employee head counts without, we believe, adversely impacting the quality of our service offering. In many locations we have been able to eliminate the need for a physical box office presence. And, we are dynamically adjusting our hours of operation to better reflect moviegoers demand.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Our non-core real estate dispositions, beginning in 2021 and continuing through the date of this 2023 Annual Report, have produced $156.1 million in net cash, which permitted us to pay down $75.6 million in debt and to invest $33.9 million in capital improvements, while over the same period sustaining our operations and retaining our key employees and stabilizing our workforce. In early 2024, understanding that our corporate need for administrative space had reduced, we decreased our overall general and administrative expense by selling our administrative building in Culver City, California, freeing up cash of approximately $1.3 million (after paying off our mortgage, brokerage commissions and transactional fees). We are currently negotiating replacement office space and believe that the disposition of this asset will save us approximately $2.0 million in operating and holding costs between now and the end of 2025.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Additional cash will likely be required to maintain our liquidity through 2025, as the movie release schedule supporting the global cinema business normalizes following the 2023 Hollywood Strikes and we pay back deferred rents and pay down interest bearing debt. In addition to working with our existing lenders for financing relief, we believe we can reasonably look to certain real estate assets to provide a source of funding. While no assurances can be given as to the amounts that ultimately could be raised from the disposition of such assets, we believe that based on independent appraisals and our track record of successful monetizations, we can raise sufficient funding to provide the Company the additional liquidity that we anticipate will be needed for 2024 and 2025. Our focus will be to look to real estate assets that will not likely provide core long-term growth opportunities for our stockholders into the future. </w:t>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One of those long-term growth opportunities is the redevelopment of our Courtenay Central building in Wellington, New Zealand, that has been temporarily closed since January 2019 when we discovered a seismic issue that could pose risks to the health and safety of Wellingtonians. Prior to the COVID-19 pandemic, our real estate team had developed a comprehensive plan featuring a variety of uses to complement and build upon the “destination quality” of the Courtenay Central location. Notwithstanding the COVID-19 pandemic, our real estate team is continuing to work with our consultants, tenants, potential tenants, and city representatives to advance our redevelopment plans for this property. We anticipate that this redevelopment opportunity will be a principal focus over the next few years. We remain optimistic about the development potential for our Courtenay Central property, in light of, among other things, (i) the successful June 3,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4"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2023 opening of Takina (wcec.co.nz), this capital city’s first premium conference and exhibition space, (ii) the loosening of certain height and density restrictions, and (iii) the lack of comparable building sites.</w:t>
      </w:r>
    </w:p>
    <w:p>
      <w:pPr>
        <w:pStyle w:val="TextBody"/>
        <w:bidi w:val="0"/>
        <w:spacing w:lineRule="auto" w:line="254"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Throughout 2021, although many cinemas reopened, admissions remained below pre-pandemic levels due to a lack of major studio releases and shifting preferences of certain consumers. Supply chain disruptions and inflationary pressures further compounded operational challenges, leading to increased expenses. In 2022, the cinema industry continued to grapple with the effects of COVID-19, including reduced film releases and alternative distribution methods. Despite these obstacles, easing health restrictions and the release of blockbuster films, such as </w:t>
      </w:r>
      <w:r>
        <w:rPr>
          <w:rFonts w:ascii="Times New Roman;serif" w:hAnsi="Times New Roman;serif"/>
          <w:b w:val="false"/>
          <w:i/>
          <w:color w:val="000000"/>
          <w:spacing w:val="0"/>
          <w:sz w:val="20"/>
          <w:shd w:fill="FFFFFF" w:val="clear"/>
        </w:rPr>
        <w:t>Top Gun: Maverick</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color w:val="000000"/>
          <w:spacing w:val="0"/>
          <w:sz w:val="20"/>
          <w:shd w:fill="FFFFFF" w:val="clear"/>
        </w:rPr>
        <w:t>Avatar: The Way of Water</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color w:val="000000"/>
          <w:spacing w:val="0"/>
          <w:sz w:val="20"/>
          <w:shd w:fill="FFFFFF" w:val="clear"/>
        </w:rPr>
        <w:t>Jurassic World Dominion</w:t>
      </w:r>
      <w:r>
        <w:rPr>
          <w:rFonts w:ascii="Times New Roman;serif" w:hAnsi="Times New Roman;serif"/>
          <w:b w:val="false"/>
          <w:i w:val="false"/>
          <w:caps w:val="false"/>
          <w:smallCaps w:val="false"/>
          <w:color w:val="000000"/>
          <w:spacing w:val="0"/>
          <w:sz w:val="20"/>
          <w:shd w:fill="FFFFFF" w:val="clear"/>
        </w:rPr>
        <w:t xml:space="preserve">, and </w:t>
      </w:r>
      <w:r>
        <w:rPr>
          <w:rFonts w:ascii="Times New Roman;serif" w:hAnsi="Times New Roman;serif"/>
          <w:b w:val="false"/>
          <w:i/>
          <w:color w:val="000000"/>
          <w:spacing w:val="0"/>
          <w:sz w:val="20"/>
          <w:shd w:fill="FFFFFF" w:val="clear"/>
        </w:rPr>
        <w:t>Doctor Strange in The Multiverse of Madness</w:t>
      </w:r>
      <w:r>
        <w:rPr>
          <w:rFonts w:ascii="Times New Roman;serif" w:hAnsi="Times New Roman;serif"/>
          <w:b w:val="false"/>
          <w:i w:val="false"/>
          <w:caps w:val="false"/>
          <w:smallCaps w:val="false"/>
          <w:color w:val="000000"/>
          <w:spacing w:val="0"/>
          <w:sz w:val="20"/>
          <w:shd w:fill="FFFFFF" w:val="clear"/>
        </w:rPr>
        <w:t>, bolstered audience turnout. All of our cinemas are now open, with the exception of our cinema currently closed but slated for reconstruction as a part of our Courtaney Central project in New Zealand. The cinematic momentum gained in 2022 had set a promising stage for the cinema industry, igniting a renewed enthusiasm among audiences for the big screen experience. In 2023, original franchise films dominated the box office, captivating audiences with fresh new storylines. Total revenues for the years ended December 31, 2020, 2021, 2022, and 2023 were $77.9 million, $139.1 million, $203.1 million, and $222.7 million, respectively, compared to $276.8 million for the year ended December 31, 2019, the last pre-pandemic year.</w:t>
      </w:r>
    </w:p>
    <w:p>
      <w:pPr>
        <w:pStyle w:val="TextBody"/>
        <w:bidi w:val="0"/>
        <w:spacing w:lineRule="auto" w:line="254"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After navigating the fallout from an unprecedented pandemic, starting on May 2, 2023 and lasting until September 27, 2023, the WGA went on strike. While the WGA was on strike, SAG also went on strike, commencing on July 14, 2023 and lasting until November 9, 2023. This was the first time in 63 years, SAG and the WGA were on strike at the same time. While the strikes are now over, “Preliminary estimates place the economic cost at more than $6 billion in lost wages and business impacts across California and other production-heavy states such as Georgia and New Mexico, as most scripted film and television production ground to a halt” according to Reuters.com. The gross box office of major films released after July 2023 did not meet their potential due, we believe, to the lack of publicity, promotion or marketing from any screen actors. Because of the lack of effective marketing, the gross box office of cast driven movies, such as </w:t>
      </w:r>
      <w:r>
        <w:rPr>
          <w:rFonts w:ascii="Times New Roman;serif" w:hAnsi="Times New Roman;serif"/>
          <w:b w:val="false"/>
          <w:i/>
          <w:color w:val="000000"/>
          <w:spacing w:val="0"/>
          <w:sz w:val="20"/>
          <w:shd w:fill="FFFFFF" w:val="clear"/>
        </w:rPr>
        <w:t>Blue Beetle</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color w:val="000000"/>
          <w:spacing w:val="0"/>
          <w:sz w:val="20"/>
          <w:shd w:fill="FFFFFF" w:val="clear"/>
        </w:rPr>
        <w:t>Expendables</w:t>
      </w:r>
      <w:r>
        <w:rPr>
          <w:rFonts w:ascii="Times New Roman;serif" w:hAnsi="Times New Roman;serif"/>
          <w:caps w:val="false"/>
          <w:smallCaps w:val="false"/>
          <w:color w:val="000000"/>
          <w:spacing w:val="0"/>
          <w:sz w:val="20"/>
        </w:rPr>
        <w:t xml:space="preserve"> </w:t>
      </w:r>
      <w:r>
        <w:rPr>
          <w:rFonts w:ascii="Times New Roman;serif" w:hAnsi="Times New Roman;serif"/>
          <w:b w:val="false"/>
          <w:i/>
          <w:color w:val="000000"/>
          <w:spacing w:val="0"/>
          <w:sz w:val="20"/>
          <w:shd w:fill="FFFFFF" w:val="clear"/>
        </w:rPr>
        <w:t>4</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color w:val="000000"/>
          <w:spacing w:val="0"/>
          <w:sz w:val="20"/>
          <w:shd w:fill="FFFFFF" w:val="clear"/>
        </w:rPr>
        <w:t>Strays</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and </w:t>
      </w:r>
      <w:r>
        <w:rPr>
          <w:rFonts w:ascii="Times New Roman;serif" w:hAnsi="Times New Roman;serif"/>
          <w:b w:val="false"/>
          <w:i/>
          <w:color w:val="000000"/>
          <w:spacing w:val="0"/>
          <w:sz w:val="20"/>
          <w:shd w:fill="FFFFFF" w:val="clear"/>
        </w:rPr>
        <w:t>Dumb Money</w:t>
      </w:r>
      <w:r>
        <w:rPr>
          <w:rFonts w:ascii="Times New Roman;serif" w:hAnsi="Times New Roman;serif"/>
          <w:b w:val="false"/>
          <w:i w:val="false"/>
          <w:caps w:val="false"/>
          <w:smallCaps w:val="false"/>
          <w:color w:val="000000"/>
          <w:spacing w:val="0"/>
          <w:sz w:val="20"/>
          <w:shd w:fill="FFFFFF" w:val="clear"/>
        </w:rPr>
        <w:t>, underperformed. The major studios and distributors of films moved certain films out of the 2023 theatrical release schedule because their cast could not market and promote their films.</w:t>
      </w:r>
    </w:p>
    <w:p>
      <w:pPr>
        <w:pStyle w:val="TextBody"/>
        <w:bidi w:val="0"/>
        <w:spacing w:lineRule="auto" w:line="254"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The end of the 2023 Hollywood strikes provided a huge relief to the cinema industry allowing production to finally resume. However, the global industry is feeling the impacts of the production delays and movie release date changes. The movie theater industry will continue to feel these impacts during the first half of 2024 due to the lack of movies resulting from the 2023 Hollywood Strikes. Not one wide release picture opened during the weekend of January 26, 2024. Only one wide release picture, </w:t>
      </w:r>
      <w:r>
        <w:rPr>
          <w:rFonts w:ascii="Times New Roman;serif" w:hAnsi="Times New Roman;serif"/>
          <w:b w:val="false"/>
          <w:i/>
          <w:color w:val="000000"/>
          <w:spacing w:val="0"/>
          <w:sz w:val="20"/>
          <w:shd w:fill="FFFFFF" w:val="clear"/>
        </w:rPr>
        <w:t>Argylle</w:t>
      </w:r>
      <w:r>
        <w:rPr>
          <w:rFonts w:ascii="Times New Roman;serif" w:hAnsi="Times New Roman;serif"/>
          <w:b w:val="false"/>
          <w:i w:val="false"/>
          <w:caps w:val="false"/>
          <w:smallCaps w:val="false"/>
          <w:color w:val="000000"/>
          <w:spacing w:val="0"/>
          <w:sz w:val="20"/>
          <w:shd w:fill="FFFFFF" w:val="clear"/>
        </w:rPr>
        <w:t xml:space="preserve">, opened on the weekend of February 2, 2024. This temporary market condition will result in significant strain on the global exhibition industry throughout 2024. According to the </w:t>
      </w:r>
      <w:r>
        <w:rPr>
          <w:rFonts w:ascii="Times New Roman;serif" w:hAnsi="Times New Roman;serif"/>
          <w:b w:val="false"/>
          <w:i/>
          <w:color w:val="000000"/>
          <w:spacing w:val="0"/>
          <w:sz w:val="20"/>
          <w:shd w:fill="FFFFFF" w:val="clear"/>
        </w:rPr>
        <w:t>Hollywood Reporter</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the strikes could possibly total around $2 billion in losses. Some of the titles that have been moved from 2024 into 2025 due to the Strikes include </w:t>
      </w:r>
      <w:r>
        <w:rPr>
          <w:rFonts w:ascii="Times New Roman;serif" w:hAnsi="Times New Roman;serif"/>
          <w:b w:val="false"/>
          <w:i/>
          <w:color w:val="000000"/>
          <w:spacing w:val="0"/>
          <w:sz w:val="20"/>
          <w:shd w:fill="FFFFFF" w:val="clear"/>
        </w:rPr>
        <w:t>Captain America: Brave New World, Thunderbolts, Disney’s Snow White, Elio, Dirty Dancing, Mission: Impossible 8, SpongeBob SquarePants and James Cameron’s new Avatar</w:t>
      </w:r>
      <w:r>
        <w:rPr>
          <w:rFonts w:ascii="Times New Roman;serif" w:hAnsi="Times New Roman;serif"/>
          <w:b w:val="false"/>
          <w:i w:val="false"/>
          <w:caps w:val="false"/>
          <w:smallCaps w:val="false"/>
          <w:color w:val="000000"/>
          <w:spacing w:val="0"/>
          <w:sz w:val="20"/>
          <w:shd w:fill="FFFFFF" w:val="clear"/>
        </w:rPr>
        <w:t>. There have also been multiple films that while they will still open in 2024, have been pushed back much later into the calendar year, meaning that the grosses will not all be captured in the 2024 calendar year and will spill over into 2025.</w:t>
      </w:r>
    </w:p>
    <w:p>
      <w:pPr>
        <w:pStyle w:val="TextBody"/>
        <w:bidi w:val="0"/>
        <w:spacing w:lineRule="auto" w:line="254" w:before="0" w:after="160"/>
        <w:jc w:val="left"/>
        <w:rPr>
          <w:rFonts w:ascii="Times New Roman;serif" w:hAnsi="Times New Roman;serif"/>
          <w:sz w:val="20"/>
        </w:rPr>
      </w:pPr>
      <w:r>
        <w:rPr>
          <w:rFonts w:ascii="Times New Roman;serif" w:hAnsi="Times New Roman;serif"/>
          <w:b w:val="false"/>
          <w:i w:val="false"/>
          <w:caps w:val="false"/>
          <w:smallCaps w:val="false"/>
          <w:sz w:val="20"/>
        </w:rPr>
        <w:t xml:space="preserve">In spite of the challenges ahead, we feel confident that the aftermath of the 2023 Hollywood Strikes will have only a short-term impact on our cinema business. We believe that our Company will overcome the obstacles that may lie ahead. As of the date of this 2023 Annual Report, audience levels are rebounding, and the box office success of films in 2023, such as </w:t>
      </w:r>
      <w:r>
        <w:rPr>
          <w:rFonts w:ascii="Times New Roman;serif" w:hAnsi="Times New Roman;serif"/>
          <w:b w:val="false"/>
          <w:i/>
          <w:sz w:val="20"/>
        </w:rPr>
        <w:t>Barbie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Oppenheimer</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The Super Mario Bros. Movie</w:t>
      </w:r>
      <w:r>
        <w:rPr>
          <w:rFonts w:ascii="Times New Roman;serif" w:hAnsi="Times New Roman;serif"/>
          <w:b w:val="false"/>
          <w:i w:val="false"/>
          <w:caps w:val="false"/>
          <w:smallCaps w:val="false"/>
          <w:sz w:val="20"/>
        </w:rPr>
        <w:t xml:space="preserve">, and 2024 films such as </w:t>
      </w:r>
      <w:r>
        <w:rPr>
          <w:rFonts w:ascii="Times New Roman;serif" w:hAnsi="Times New Roman;serif"/>
          <w:b w:val="false"/>
          <w:i/>
          <w:sz w:val="20"/>
        </w:rPr>
        <w:t>Dune: Part Two and Kung Fu Panda</w:t>
      </w:r>
      <w:r>
        <w:rPr>
          <w:rFonts w:ascii="Times New Roman;serif" w:hAnsi="Times New Roman;serif"/>
          <w:caps w:val="false"/>
          <w:smallCaps w:val="false"/>
          <w:sz w:val="20"/>
        </w:rPr>
        <w:t xml:space="preserve"> </w:t>
      </w:r>
      <w:r>
        <w:rPr>
          <w:rFonts w:ascii="Times New Roman;serif" w:hAnsi="Times New Roman;serif"/>
          <w:b w:val="false"/>
          <w:i/>
          <w:sz w:val="20"/>
        </w:rPr>
        <w:t>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reaffirm our confidence that moviegoers remain enthusiastic about the cinematic experience. Additionally, in 2024, audiences will be treated again to highly anticipated releases, </w:t>
      </w:r>
      <w:r>
        <w:rPr>
          <w:rFonts w:ascii="Times New Roman;serif" w:hAnsi="Times New Roman;serif"/>
          <w:b w:val="false"/>
          <w:i/>
          <w:sz w:val="20"/>
        </w:rPr>
        <w:t xml:space="preserve">Inside Out 2, Deadpool &amp; Wolverine, Joker: Folie a Deux, Wicked and Gladiator 2. </w:t>
      </w:r>
    </w:p>
    <w:p>
      <w:pPr>
        <w:pStyle w:val="TextBody"/>
        <w:bidi w:val="0"/>
        <w:spacing w:lineRule="auto" w:line="254" w:before="0" w:after="1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our cinemas are recovering from the pandemic and the 2023 Hollywood strikes, our real estate business exhibited greater resilience. Most of our tenants in Australia continued operations and met rental obligations, providing a stable revenue stream. With regard to our architectural award winning 44 Union Square redevelopment project in New York City, in January 2022 we secured a long-term lease for the cellar, ground floor, and second floor of the building with an affiliate of Petco Health and Wellness Company, Inc. (NASDAQ: WOOF), a leading pet health and wellness company (“Petco”). Petco opened to the public on June 1, 2023 and is in the premises on a full rent cash paying basis. In Australia and New Zealand, our third party (or non-cinema) rental space is 97% leased on a full rent paying basis.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COMMERCIAL BRANDS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 forth below is a brief description of the various brands under which we organize our business operations:</w:t>
      </w:r>
    </w:p>
    <w:tbl>
      <w:tblPr>
        <w:tblW w:w="10205" w:type="dxa"/>
        <w:jc w:val="center"/>
        <w:tblInd w:w="0" w:type="dxa"/>
        <w:tblLayout w:type="fixed"/>
        <w:tblCellMar>
          <w:top w:w="0" w:type="dxa"/>
          <w:left w:w="0" w:type="dxa"/>
          <w:bottom w:w="28" w:type="dxa"/>
          <w:right w:w="0" w:type="dxa"/>
        </w:tblCellMar>
      </w:tblPr>
      <w:tblGrid>
        <w:gridCol w:w="991"/>
        <w:gridCol w:w="560"/>
        <w:gridCol w:w="2168"/>
        <w:gridCol w:w="298"/>
        <w:gridCol w:w="391"/>
        <w:gridCol w:w="398"/>
        <w:gridCol w:w="2126"/>
        <w:gridCol w:w="2174"/>
        <w:gridCol w:w="1099"/>
      </w:tblGrid>
      <w:tr>
        <w:trPr/>
        <w:tc>
          <w:tcPr>
            <w:tcW w:w="991" w:type="dxa"/>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3026" w:type="dxa"/>
            <w:gridSpan w:val="3"/>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789" w:type="dxa"/>
            <w:gridSpan w:val="2"/>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4300" w:type="dxa"/>
            <w:gridSpan w:val="2"/>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1099" w:type="dxa"/>
            <w:tcBorders>
              <w:bottom w:val="single" w:sz="18" w:space="0" w:color="000000"/>
            </w:tcBorders>
            <w:vAlign w:val="center"/>
          </w:tcPr>
          <w:p>
            <w:pPr>
              <w:pStyle w:val="TableContents"/>
              <w:bidi w:val="0"/>
              <w:spacing w:before="0" w:after="283"/>
              <w:jc w:val="left"/>
              <w:rPr>
                <w:sz w:val="4"/>
                <w:szCs w:val="4"/>
              </w:rPr>
            </w:pPr>
            <w:r>
              <w:rPr>
                <w:sz w:val="4"/>
                <w:szCs w:val="4"/>
              </w:rPr>
            </w:r>
          </w:p>
        </w:tc>
      </w:tr>
      <w:tr>
        <w:trPr/>
        <w:tc>
          <w:tcPr>
            <w:tcW w:w="991" w:type="dxa"/>
            <w:tcBorders>
              <w:top w:val="single" w:sz="18" w:space="0" w:color="000000"/>
            </w:tcBorders>
            <w:tcMar>
              <w:top w:w="28"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3026" w:type="dxa"/>
            <w:gridSpan w:val="3"/>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89" w:type="dxa"/>
            <w:gridSpan w:val="2"/>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300" w:type="dxa"/>
            <w:gridSpan w:val="2"/>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099" w:type="dxa"/>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991" w:type="dxa"/>
            <w:vMerge w:val="restart"/>
            <w:tcBorders/>
            <w:tcMar>
              <w:bottom w:w="0"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Cinema Exhibition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All Countries</w:t>
            </w:r>
          </w:p>
        </w:tc>
        <w:tc>
          <w:tcPr>
            <w:tcW w:w="3026" w:type="dxa"/>
            <w:gridSpan w:val="3"/>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904875"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1104900"/>
                          </a:xfrm>
                          <a:prstGeom prst="rect">
                            <a:avLst/>
                          </a:prstGeom>
                        </pic:spPr>
                      </pic:pic>
                    </a:graphicData>
                  </a:graphic>
                </wp:inline>
              </w:drawing>
            </w:r>
          </w:p>
        </w:tc>
        <w:tc>
          <w:tcPr>
            <w:tcW w:w="789" w:type="dxa"/>
            <w:gridSpan w:val="2"/>
            <w:tcBorders>
              <w:top w:val="single" w:sz="8" w:space="0" w:color="000000"/>
              <w:bottom w:val="single" w:sz="8" w:space="0" w:color="000000"/>
            </w:tcBorders>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 Australia</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4300" w:type="dxa"/>
            <w:gridSpan w:val="2"/>
            <w:tcBorders>
              <w:top w:val="single" w:sz="8" w:space="0" w:color="000000"/>
              <w:bottom w:val="single" w:sz="8" w:space="0" w:color="000000"/>
            </w:tcBorders>
            <w:tcMar>
              <w:top w:w="28" w:type="dxa"/>
            </w:tcM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Our </w:t>
            </w:r>
            <w:r>
              <w:rPr>
                <w:rFonts w:ascii="Times New Roman;serif" w:hAnsi="Times New Roman;serif"/>
                <w:b/>
                <w:i w:val="false"/>
                <w:caps w:val="false"/>
                <w:smallCaps w:val="false"/>
                <w:sz w:val="16"/>
              </w:rPr>
              <w:t>Reading Cinemas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tradename is derived from our over 185-year history as the “Reading Railroad” featured on the </w:t>
            </w:r>
            <w:r>
              <w:rPr>
                <w:rFonts w:ascii="Times New Roman;serif" w:hAnsi="Times New Roman;serif"/>
                <w:b w:val="false"/>
                <w:i/>
                <w:sz w:val="16"/>
              </w:rPr>
              <w:t>Monopoly</w:t>
            </w:r>
            <w:r>
              <w:rPr>
                <w:rFonts w:ascii="Times New Roman;serif" w:hAnsi="Times New Roman;serif"/>
                <w:b w:val="false"/>
                <w:i w:val="false"/>
                <w:caps w:val="false"/>
                <w:smallCaps w:val="false"/>
                <w:position w:val="5"/>
                <w:sz w:val="13"/>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game board. Under this brand, we deliver beyond-the-home entertainment (principally mainstream movies and alternative content and food and beverage) across our three operating jurisdictions. All our cinemas are equipped with the latest, state-of-the-art digital screens, 33 Reading Cinemas feature at least one TITAN LUXE, TITAN XC or IMAX premium auditorium, and 195 of our Reading Cinemas screens feature luxury recliner seating as of December 31, 2023. </w:t>
            </w:r>
          </w:p>
        </w:tc>
        <w:tc>
          <w:tcPr>
            <w:tcW w:w="1099" w:type="dxa"/>
            <w:tcBorders>
              <w:top w:val="single" w:sz="8" w:space="0" w:color="000000"/>
              <w:bottom w:val="single" w:sz="8" w:space="0" w:color="000000"/>
            </w:tcBorders>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US</w:t>
            </w:r>
          </w:p>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AU</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NZ</w:t>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64335" cy="4025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4335" cy="402590"/>
                          </a:xfrm>
                          <a:prstGeom prst="rect">
                            <a:avLst/>
                          </a:prstGeom>
                        </pic:spPr>
                      </pic:pic>
                    </a:graphicData>
                  </a:graphic>
                </wp:inline>
              </w:drawing>
            </w:r>
          </w:p>
        </w:tc>
        <w:tc>
          <w:tcPr>
            <w:tcW w:w="789" w:type="dxa"/>
            <w:gridSpan w:val="2"/>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300" w:type="dxa"/>
            <w:gridSpan w:val="2"/>
            <w:tcBorders>
              <w:top w:val="single" w:sz="8" w:space="0" w:color="000000"/>
              <w:bottom w:val="single" w:sz="8" w:space="0" w:color="000000"/>
            </w:tcBorders>
            <w:tcMar>
              <w:top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In 2023, our </w:t>
            </w:r>
            <w:r>
              <w:rPr>
                <w:rFonts w:ascii="Times New Roman;serif" w:hAnsi="Times New Roman;serif"/>
                <w:b/>
                <w:i w:val="false"/>
                <w:caps w:val="false"/>
                <w:smallCaps w:val="false"/>
                <w:sz w:val="16"/>
              </w:rPr>
              <w:t>Consolidated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celebrated 106 years of providing cinematic entertainment in the state of Hawaii. We are the oldest and largest circuit in Hawaii with six cinemas on the island of Oahu.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Our Consolidated Theatre at the Kahala Mall underwent a “Top-to-Bottom” renovation and reopened on November 5, 2021, with recliner seating throughout along with a state-of-the-art kitchen and an elevated F&amp;B menu.</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Our Consolidated Theatre at Kapolei commenced renovation during the second quarter of 2021 and reopened March 3, 2022, with recliner seating in half of the auditoriums and an elevated F&amp;B menu.</w:t>
            </w:r>
          </w:p>
        </w:tc>
        <w:tc>
          <w:tcPr>
            <w:tcW w:w="1099" w:type="dxa"/>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Consolidated Theatres</w:t>
            </w:r>
          </w:p>
        </w:tc>
      </w:tr>
      <w:tr>
        <w:trPr/>
        <w:tc>
          <w:tcPr>
            <w:tcW w:w="991" w:type="dxa"/>
            <w:vMerge w:val="continue"/>
            <w:tcBorders/>
            <w:tcMar>
              <w:bottom w:w="0" w:type="dxa"/>
            </w:tcMar>
            <w:vAlign w:val="center"/>
          </w:tcPr>
          <w:p>
            <w:pPr>
              <w:pStyle w:val="Normal"/>
              <w:bidi w:val="0"/>
              <w:jc w:val="left"/>
              <w:rPr/>
            </w:pPr>
            <w:r>
              <w:rPr/>
            </w:r>
          </w:p>
        </w:tc>
        <w:tc>
          <w:tcPr>
            <w:tcW w:w="9214" w:type="dxa"/>
            <w:gridSpan w:val="8"/>
            <w:tcBorders>
              <w:top w:val="single" w:sz="8"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lineRule="auto" w:line="259"/>
              <w:jc w:val="center"/>
              <w:rPr>
                <w:caps w:val="false"/>
                <w:smallCaps w:val="false"/>
              </w:rPr>
            </w:pPr>
            <w:r>
              <w:rPr>
                <w:caps w:val="false"/>
                <w:smallCaps w:val="false"/>
              </w:rPr>
              <w:drawing>
                <wp:inline distT="0" distB="0" distL="0" distR="0">
                  <wp:extent cx="1414145" cy="8394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4145" cy="839470"/>
                          </a:xfrm>
                          <a:prstGeom prst="rect">
                            <a:avLst/>
                          </a:prstGeom>
                        </pic:spPr>
                      </pic:pic>
                    </a:graphicData>
                  </a:graphic>
                </wp:inline>
              </w:drawing>
            </w:r>
          </w:p>
          <w:p>
            <w:pPr>
              <w:pStyle w:val="TableContents"/>
              <w:bidi w:val="0"/>
              <w:spacing w:lineRule="auto" w:line="259"/>
              <w:jc w:val="center"/>
              <w:rPr>
                <w:caps w:val="false"/>
                <w:smallCaps w:val="false"/>
              </w:rPr>
            </w:pPr>
            <w:r>
              <w:rPr>
                <w:caps w:val="false"/>
                <w:smallCaps w:val="false"/>
              </w:rPr>
              <w:drawing>
                <wp:inline distT="0" distB="0" distL="0" distR="0">
                  <wp:extent cx="1866900" cy="1181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1181100"/>
                          </a:xfrm>
                          <a:prstGeom prst="rect">
                            <a:avLst/>
                          </a:prstGeom>
                        </pic:spPr>
                      </pic:pic>
                    </a:graphicData>
                  </a:graphic>
                </wp:inline>
              </w:drawing>
            </w:r>
          </w:p>
          <w:p>
            <w:pPr>
              <w:pStyle w:val="TableContents"/>
              <w:bidi w:val="0"/>
              <w:spacing w:lineRule="auto" w:line="259" w:before="0" w:after="283"/>
              <w:jc w:val="center"/>
              <w:rPr>
                <w:caps w:val="false"/>
                <w:smallCaps w:val="false"/>
              </w:rPr>
            </w:pPr>
            <w:r>
              <w:rPr>
                <w:caps w:val="false"/>
                <w:smallCaps w:val="false"/>
              </w:rPr>
              <w:drawing>
                <wp:inline distT="0" distB="0" distL="0" distR="0">
                  <wp:extent cx="1733550" cy="169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33550" cy="1695450"/>
                          </a:xfrm>
                          <a:prstGeom prst="rect">
                            <a:avLst/>
                          </a:prstGeom>
                        </pic:spPr>
                      </pic:pic>
                    </a:graphicData>
                  </a:graphic>
                </wp:inline>
              </w:drawing>
            </w:r>
          </w:p>
        </w:tc>
        <w:tc>
          <w:tcPr>
            <w:tcW w:w="789" w:type="dxa"/>
            <w:gridSpan w:val="2"/>
            <w:tcBorders/>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300" w:type="dxa"/>
            <w:gridSpan w:val="2"/>
            <w:tcBorders/>
            <w:tcMar>
              <w:bottom w:w="0" w:type="dxa"/>
            </w:tcM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Several of our cinemas are arthouses or specialty theaters operating under our Angelika brand. These cinemas feature specialty films, such as independent films, international films, and documentaries. </w:t>
            </w:r>
          </w:p>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Since its opening in 1989, our New York City </w:t>
            </w:r>
            <w:r>
              <w:rPr>
                <w:rFonts w:ascii="Times New Roman;serif" w:hAnsi="Times New Roman;serif"/>
                <w:b/>
                <w:i w:val="false"/>
                <w:caps w:val="false"/>
                <w:smallCaps w:val="false"/>
                <w:sz w:val="16"/>
              </w:rPr>
              <w:t>Angelika Film Center</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has been and consistently continues to be one of the most popular and influential arthouse cinemas in the U.S., featuring principally independent and foreign films. To date, we have expanded our Angelika Film Center Group to include ten other Angelika Film Centers: two in Dallas, TX, two in the Washington DC area, three in New York, NY, one in Sacramento, CA, one in San Diego, CA and one in Queensland, Australia. Each of our Angelika Film Centers also offers a curated food and beverage experience.</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In early 2021, we announced that our Cinemas 1,2,3, Village East, and Tower Theatre cinemas would be operated as Angelika brand cinemas: (i) the Cinemas 1,2,3 by Angelika, (ii) the Village East by Angelika and (iii) the Tower Theatre by Angelika. </w:t>
            </w:r>
          </w:p>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In December 2019, we acquired the iconic 100-year-old </w:t>
            </w:r>
            <w:r>
              <w:rPr>
                <w:rFonts w:ascii="Times New Roman;serif" w:hAnsi="Times New Roman;serif"/>
                <w:b/>
                <w:i w:val="false"/>
                <w:caps w:val="false"/>
                <w:smallCaps w:val="false"/>
                <w:sz w:val="16"/>
              </w:rPr>
              <w:t>State Cinema</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in Hobart, Tasmania, Australia, which has been ranked the fifth highest grossing arthouse in Australia for the last decade. The cinema, which features 10 screens, a rooftop cinema and bar, a large café, and an independent bookstore, is and has been a major cultural destination in North Hobart for decades. In early 2021, the cinema was also rebranded as State Cinema by Angelika.</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On August 24, 2023, we opened our first “Angelika” Film Centre in Queensland, Australia.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We continue to look to expand our specialty theater portfolio by looking for more specialty theater sites in the U.S., Australia, and New Zealand. </w:t>
            </w:r>
          </w:p>
        </w:tc>
        <w:tc>
          <w:tcPr>
            <w:tcW w:w="1099" w:type="dxa"/>
            <w:tcBorders/>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Film Center</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State Cinema</w:t>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tcBorders/>
            <w:tcMar>
              <w:bottom w:w="0" w:type="dxa"/>
            </w:tcMar>
            <w:vAlign w:val="center"/>
          </w:tcPr>
          <w:p>
            <w:pPr>
              <w:pStyle w:val="TableContents"/>
              <w:bidi w:val="0"/>
              <w:spacing w:before="0" w:after="283"/>
              <w:jc w:val="left"/>
              <w:rPr>
                <w:sz w:val="4"/>
                <w:szCs w:val="4"/>
              </w:rPr>
            </w:pPr>
            <w:r>
              <w:rPr>
                <w:sz w:val="4"/>
                <w:szCs w:val="4"/>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tcBorders/>
            <w:tcMar>
              <w:bottom w:w="0" w:type="dxa"/>
            </w:tcMar>
            <w:vAlign w:val="center"/>
          </w:tcPr>
          <w:p>
            <w:pPr>
              <w:pStyle w:val="TableContents"/>
              <w:bidi w:val="0"/>
              <w:spacing w:before="0" w:after="283"/>
              <w:jc w:val="left"/>
              <w:rPr>
                <w:sz w:val="4"/>
                <w:szCs w:val="4"/>
              </w:rPr>
            </w:pPr>
            <w:r>
              <w:rPr>
                <w:sz w:val="4"/>
                <w:szCs w:val="4"/>
              </w:rPr>
            </w:r>
          </w:p>
        </w:tc>
        <w:tc>
          <w:tcPr>
            <w:tcW w:w="3026" w:type="dxa"/>
            <w:gridSpan w:val="3"/>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89"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300"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99"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1551"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168" w:type="dxa"/>
            <w:tcBorders/>
            <w:tcMar>
              <w:bottom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3273" w:type="dxa"/>
            <w:gridSpan w:val="2"/>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860"/>
        <w:gridCol w:w="2656"/>
        <w:gridCol w:w="750"/>
        <w:gridCol w:w="4897"/>
        <w:gridCol w:w="1042"/>
      </w:tblGrid>
      <w:tr>
        <w:trPr/>
        <w:tc>
          <w:tcPr>
            <w:tcW w:w="860"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860"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656"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50"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897"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042"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60" w:type="dxa"/>
            <w:tcBorders>
              <w:top w:val="single" w:sz="1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656" w:type="dxa"/>
            <w:tcBorders>
              <w:top w:val="single" w:sz="1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09700" cy="428625"/>
                          </a:xfrm>
                          <a:prstGeom prst="rect">
                            <a:avLst/>
                          </a:prstGeom>
                        </pic:spPr>
                      </pic:pic>
                    </a:graphicData>
                  </a:graphic>
                </wp:inline>
              </w:drawing>
            </w:r>
          </w:p>
        </w:tc>
        <w:tc>
          <w:tcPr>
            <w:tcW w:w="750" w:type="dxa"/>
            <w:tcBorders>
              <w:top w:val="single" w:sz="18" w:space="0" w:color="000000"/>
              <w:bottom w:val="single" w:sz="8" w:space="0" w:color="000000"/>
            </w:tcBorders>
            <w:tcMar>
              <w:top w:w="28" w:type="dxa"/>
              <w:bottom w:w="28"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97" w:type="dxa"/>
            <w:tcBorders>
              <w:top w:val="single" w:sz="1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 launched Angelika Anywhere, an art focused streaming platform available in the U.S. in December 2020. We then launched the service in Australia in 2022. Our goal was to offer cinephiles easy and curated access to the type of product that has made our Angelika Film Center in NYC the most recognized, dedicated arthouse in North America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In an effort to streamline our operations and human resources, we terminated the Angelika Anywhere service in Australia in January 2024. In addition, in the U.S., we are reviewing the long-term viability of Angelika Anywhere in the U.S. and may consider terminating or pausing the Angelika Anywhere service in the U.S. </w:t>
            </w:r>
          </w:p>
        </w:tc>
        <w:tc>
          <w:tcPr>
            <w:tcW w:w="1042" w:type="dxa"/>
            <w:tcBorders>
              <w:top w:val="single" w:sz="1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Anywhere</w:t>
            </w:r>
          </w:p>
        </w:tc>
      </w:tr>
      <w:tr>
        <w:trPr/>
        <w:tc>
          <w:tcPr>
            <w:tcW w:w="86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Real Estate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Leasing</w:t>
            </w:r>
          </w:p>
        </w:tc>
        <w:tc>
          <w:tcPr>
            <w:tcW w:w="26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036320" cy="9817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36320" cy="981710"/>
                          </a:xfrm>
                          <a:prstGeom prst="rect">
                            <a:avLst/>
                          </a:prstGeom>
                        </pic:spPr>
                      </pic:pic>
                    </a:graphicData>
                  </a:graphic>
                </wp:inline>
              </w:drawing>
            </w:r>
          </w:p>
        </w:tc>
        <w:tc>
          <w:tcPr>
            <w:tcW w:w="75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8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Historically known as Tammany Hall, this approximately 73,000 square foot building overlooking Manhattan’s </w:t>
            </w:r>
            <w:r>
              <w:rPr>
                <w:rFonts w:ascii="Times New Roman;serif" w:hAnsi="Times New Roman;serif"/>
                <w:b/>
                <w:i w:val="false"/>
                <w:caps w:val="false"/>
                <w:smallCaps w:val="false"/>
                <w:sz w:val="16"/>
              </w:rPr>
              <w:t>Union Square</w:t>
            </w:r>
            <w:r>
              <w:rPr>
                <w:rFonts w:ascii="Times New Roman;serif" w:hAnsi="Times New Roman;serif"/>
                <w:b w:val="false"/>
                <w:i w:val="false"/>
                <w:caps w:val="false"/>
                <w:smallCaps w:val="false"/>
                <w:sz w:val="16"/>
              </w:rPr>
              <w:t xml:space="preserve">, now has its first tenant Petco Animal Supplies Stores. Inc (“Petco”) who occupies most of the ground floor, the cellar and the second floor, on a full rent cash paying basis. Petco opened its flagship store to the public on June 1, 2023.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Hailed as a dramatic pièce de résistance with its first in the city, over 800-piece, glass dome, this building brings the future to New York’s fabled past. The building has received multiple awards starting in 2017. Most recently, in 2022, the building was selected for the following awards: (i) 2022 The American Architecture Award for Restoration and Renovation; (ii) 2022 ACEC NY Engineering Excellence Award; and (iii) 2022 Building/Technology Systems Diamond Award.</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Union Square is one of a very limited number of locations in Manhattan that will provide potential tenant(s) with a “brandable” site, and the only such location on Union Square.</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mid-March 2024, our Company retained George Comfort &amp; Sons, as our exclusive leasing agent for this property: https://www.gcomfort.com.</w:t>
            </w:r>
          </w:p>
        </w:tc>
        <w:tc>
          <w:tcPr>
            <w:tcW w:w="10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44 Union Square</w:t>
            </w:r>
          </w:p>
        </w:tc>
      </w:tr>
      <w:tr>
        <w:trPr/>
        <w:tc>
          <w:tcPr>
            <w:tcW w:w="860" w:type="dxa"/>
            <w:tcBorders/>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31950" cy="5391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31950" cy="539115"/>
                          </a:xfrm>
                          <a:prstGeom prst="rect">
                            <a:avLst/>
                          </a:prstGeom>
                        </pic:spPr>
                      </pic:pic>
                    </a:graphicData>
                  </a:graphic>
                </wp:inline>
              </w:drawing>
            </w:r>
          </w:p>
        </w:tc>
        <w:tc>
          <w:tcPr>
            <w:tcW w:w="75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Located on 203,287 square feet of land in suburban Brisbane, </w:t>
            </w:r>
            <w:r>
              <w:rPr>
                <w:rFonts w:ascii="Times New Roman;serif" w:hAnsi="Times New Roman;serif"/>
                <w:b/>
                <w:i w:val="false"/>
                <w:caps w:val="false"/>
                <w:smallCaps w:val="false"/>
                <w:sz w:val="16"/>
              </w:rPr>
              <w:t>Newmarket Village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currently comprised of approximately 144,247 square feet of net rentable area, including a Coles Supermarket and 46 other third-party tenants, offering community level F&amp;B, retail, and professional services.</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At the end of 2017, we completed a major expansion that added an eight-screen Reading Cinemas with TITAN LUXE, an additional 10,000 square feet of restaurant tenant space and 124 parking spaces.</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Adjacent to our Newmarket Village, we own a three-level, 22,000 square foot office building. Taken together with the retail components, the center is 99% leased as of December 31, 2023.</w:t>
            </w:r>
          </w:p>
        </w:tc>
        <w:tc>
          <w:tcPr>
            <w:tcW w:w="10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Newmarket Village</w:t>
            </w:r>
          </w:p>
        </w:tc>
      </w:tr>
      <w:tr>
        <w:trPr/>
        <w:tc>
          <w:tcPr>
            <w:tcW w:w="860" w:type="dxa"/>
            <w:tcBorders/>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72895" cy="4083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72895" cy="408305"/>
                          </a:xfrm>
                          <a:prstGeom prst="rect">
                            <a:avLst/>
                          </a:prstGeom>
                        </pic:spPr>
                      </pic:pic>
                    </a:graphicData>
                  </a:graphic>
                </wp:inline>
              </w:drawing>
            </w:r>
          </w:p>
        </w:tc>
        <w:tc>
          <w:tcPr>
            <w:tcW w:w="75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six-screen Reading Cinemas, and 16 other third party tenants offering F&amp;B or other retail offers, </w:t>
            </w:r>
            <w:r>
              <w:rPr>
                <w:rFonts w:ascii="Times New Roman;serif" w:hAnsi="Times New Roman;serif"/>
                <w:b/>
                <w:i w:val="false"/>
                <w:caps w:val="false"/>
                <w:smallCaps w:val="false"/>
                <w:sz w:val="16"/>
              </w:rPr>
              <w:t>Cannon Park</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located in Townsville, Australia, and is currently comprised of 408,372 square feet of land and 132,731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December 31, 2023, this property was 94% leased.</w:t>
            </w:r>
          </w:p>
        </w:tc>
        <w:tc>
          <w:tcPr>
            <w:tcW w:w="10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Cannon Park Townsville</w:t>
            </w:r>
          </w:p>
        </w:tc>
      </w:tr>
      <w:tr>
        <w:trPr/>
        <w:tc>
          <w:tcPr>
            <w:tcW w:w="860" w:type="dxa"/>
            <w:tcBorders/>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225550" cy="5943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25550" cy="594360"/>
                          </a:xfrm>
                          <a:prstGeom prst="rect">
                            <a:avLst/>
                          </a:prstGeom>
                        </pic:spPr>
                      </pic:pic>
                    </a:graphicData>
                  </a:graphic>
                </wp:inline>
              </w:drawing>
            </w:r>
          </w:p>
        </w:tc>
        <w:tc>
          <w:tcPr>
            <w:tcW w:w="75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10-screen Reading Cinemas and six F&amp;B or third-party tenants, </w:t>
            </w:r>
            <w:r>
              <w:rPr>
                <w:rFonts w:ascii="Times New Roman;serif" w:hAnsi="Times New Roman;serif"/>
                <w:b/>
                <w:i w:val="false"/>
                <w:caps w:val="false"/>
                <w:smallCaps w:val="false"/>
                <w:sz w:val="16"/>
              </w:rPr>
              <w:t>The Belmont Common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located in Perth, Australia, and is currently comprised of 103,204 square feet of land and 60,117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December 31, 2023, this property was 100% leased.</w:t>
            </w:r>
          </w:p>
        </w:tc>
        <w:tc>
          <w:tcPr>
            <w:tcW w:w="104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The Belmont Common</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69" w:type="dxa"/>
        <w:jc w:val="center"/>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0" w:type="dxa"/>
          <w:left w:w="0" w:type="dxa"/>
          <w:bottom w:w="0" w:type="dxa"/>
          <w:right w:w="0" w:type="dxa"/>
        </w:tblCellMar>
      </w:tblPr>
      <w:tblGrid>
        <w:gridCol w:w="809"/>
        <w:gridCol w:w="2456"/>
        <w:gridCol w:w="741"/>
        <w:gridCol w:w="5289"/>
        <w:gridCol w:w="910"/>
      </w:tblGrid>
      <w:tr>
        <w:trPr/>
        <w:tc>
          <w:tcPr>
            <w:tcW w:w="8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28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809"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456"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41"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5289"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910" w:type="dxa"/>
            <w:tcBorders>
              <w:top w:val="single" w:sz="18" w:space="0" w:color="000000"/>
              <w:bottom w:val="single" w:sz="1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09" w:type="dxa"/>
            <w:tcBorders>
              <w:top w:val="single" w:sz="1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456" w:type="dxa"/>
            <w:tcBorders>
              <w:top w:val="single" w:sz="1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04950" cy="581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04950" cy="581025"/>
                          </a:xfrm>
                          <a:prstGeom prst="rect">
                            <a:avLst/>
                          </a:prstGeom>
                        </pic:spPr>
                      </pic:pic>
                    </a:graphicData>
                  </a:graphic>
                </wp:inline>
              </w:drawing>
            </w:r>
          </w:p>
        </w:tc>
        <w:tc>
          <w:tcPr>
            <w:tcW w:w="741" w:type="dxa"/>
            <w:tcBorders>
              <w:top w:val="single" w:sz="1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5289" w:type="dxa"/>
            <w:tcBorders>
              <w:top w:val="single" w:sz="1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Located in the heart of Wellington – New Zealand’s capital city – this center is comprised, on a consolidated basis through various subsidiaries, of 161,082 square feet of land, including three developable parking lot parcels totaling 84,195 square feet.</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Courtenay Central is located a block from the Te Papa Tongarewa Museum (attracting over 1.5 million visitors annually, pre-COVID), and across the street from Takina, the Wellington Convention &amp; Exhibition Centre, which opened in June 2023.</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Damage from the 2016 earthquake necessitated demolition of our nine-story parking garage at the site. In January 2019, unrelated seismic issues caused us to close major portions of the existing cinema and retail structure in Courtenay Central while we move forward with plans to redevelop the center as an entertainment themed urban center with major food beverage components. </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 continues to be rated as one of the top cities in the world in which to live, and we continue to believe that our assets in Wellington are located in one of the most vibrant areas of New Zealand.</w:t>
            </w:r>
          </w:p>
        </w:tc>
        <w:tc>
          <w:tcPr>
            <w:tcW w:w="910" w:type="dxa"/>
            <w:tcBorders>
              <w:top w:val="single" w:sz="1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Courtenay Central</w:t>
            </w:r>
          </w:p>
        </w:tc>
      </w:tr>
      <w:tr>
        <w:trPr/>
        <w:tc>
          <w:tcPr>
            <w:tcW w:w="80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Live Theatre</w:t>
            </w:r>
          </w:p>
        </w:tc>
        <w:tc>
          <w:tcPr>
            <w:tcW w:w="24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361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09700" cy="361950"/>
                          </a:xfrm>
                          <a:prstGeom prst="rect">
                            <a:avLst/>
                          </a:prstGeom>
                        </pic:spPr>
                      </pic:pic>
                    </a:graphicData>
                  </a:graphic>
                </wp:inline>
              </w:drawing>
            </w:r>
          </w:p>
        </w:tc>
        <w:tc>
          <w:tcPr>
            <w:tcW w:w="7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5289" w:type="dxa"/>
            <w:tcBorders>
              <w:top w:val="single" w:sz="8" w:space="0" w:color="000000"/>
              <w:bottom w:val="single" w:sz="8" w:space="0" w:color="000000"/>
            </w:tcBorders>
            <w:tcMar>
              <w:top w:w="28" w:type="dxa"/>
              <w:bottom w:w="28" w:type="dxa"/>
            </w:tcMar>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We operate two off-Broadway live theatres in Manhattan under the </w:t>
            </w:r>
            <w:r>
              <w:rPr>
                <w:rFonts w:ascii="Times New Roman;serif" w:hAnsi="Times New Roman;serif"/>
                <w:b/>
                <w:i w:val="false"/>
                <w:caps w:val="false"/>
                <w:smallCaps w:val="false"/>
                <w:sz w:val="16"/>
              </w:rPr>
              <w:t>Liberty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tradename. </w:t>
            </w:r>
          </w:p>
          <w:p>
            <w:pPr>
              <w:pStyle w:val="TableContents"/>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16"/>
              </w:rPr>
              <w:t>Since 2018, the Minetta Lane Theatre has been operated pursuant to a license agreement with Audible, a subsidiary of Amazon. The parties are currently discussing an extension of their license agreement to March 2026. Dead Outlaw by Audible Theatre is currently on sale at the Minetta Lane.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16"/>
              </w:rPr>
              <w:t>We are currently in negotiations with Audible regarding an extension of the term of their current license to use our Minetta Lane Theatre for their productions. Their current license has expired and, while they currently have a production in process, no assurances can be given that acceptable terms will be reached regarding an extension. Fortunately, based on our recent experience with Off Broadway theaters, we are of the view that the market for such venues is strong and, if we cannot reach an agreement with Audible on terms satisfactory to us, we will be making the theatre available to other producers.</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Following STOMP’s almost 30 year historical run at the Orpheum, we have licensed a variety of new shows. We believe that there is ongoing substantial demand for off-broadway venues like our Orpheum and Minetta Lane.</w:t>
            </w:r>
          </w:p>
        </w:tc>
        <w:tc>
          <w:tcPr>
            <w:tcW w:w="91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Liberty Theatres</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bookmarkStart w:id="8" w:name="_Hlk68013238"/>
      <w:bookmarkEnd w:id="8"/>
      <w:r>
        <w:rPr>
          <w:rFonts w:ascii="Times New Roman;serif" w:hAnsi="Times New Roman;serif"/>
          <w:b w:val="false"/>
          <w:i w:val="false"/>
          <w:caps w:val="false"/>
          <w:smallCaps w:val="false"/>
          <w:sz w:val="20"/>
        </w:rPr>
        <w:t>Our business plan has been to coordinate cinema-based entertainment and real estate to create a powerful and mutually beneficial partnership. Our historically strong and consistent cash flows from our cinemas have, prior to the pandemic and the 2023 Hollywood Strikes, enabled us to be strategic and proactive in acquiring and holding long-term real estate assets, including non-income producing land, fueling our real estate development endeavors. However, while we are on the rebound, the uncertainty as to the current U.S. cinema cash flows has required that we continue to constrain our activities on both the cinema and real estate sides of our business.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our real estate portfolio has provided us with a solid foundation and has helped us weather unforeseeable events. Historically, this has given us financial leverage providing us with a collateral base to support comparatively long term and stable real estate based borrowing. Our core competency of combining cinema and real estate has offered many favorable advantages that we believe will continue to pay dividends as unpredictable events continue to impact the cinema industry. More specifically, the combination of these two segments can provide a variety of business advantages. Over the past four years of the COVID-19 pandemic, the 2023 Hollywood Strikes, and spiking interest rates, our real estate base has helped us to sustain our key operations and assets. We have monetized approximately $153 million in non-core real estate assets over this period, which we have used to paydown debt, sustain operations, pay interest and satisfy pre-pandemic capital commitments. We anticipate that strategic monetization of real estate assets which, in our view, do not offer significant opportunities for future enhancement, will sustain us while the cinema industry returns to normal and while, in the meantime, we pay back rent deferrals and reduce interest bearing debt.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hybrid, multi-country strategy emphasizes diversification, and the building of long-term hard asset values. We believe that this business strategy is proving its worth as we have progressed through and are emerging from the aftermath of the COVID-19 pandemic 2023 Hollywood Strikes and recent spikes in interest rates.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our principal tangible assets included:</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interests in 61 cinemas comprising of 491 screens;</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 our 44 Union Square property in Manhattan comprised of retail and office space which is currently in the lease-up phase. The cellar, ground floor, and second floor of the building are fully leased to Petco, which is in occupancy of its premises on a full rent paying basis;</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 and operate four ETCs known as Newmarket Village (in a suburb of Brisbane), The Belmont Common (in a suburb of Perth), and Cannon Park (in Townsville) in Australia, and Courtenay Central (in Wellington) in New Zealand;</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owned and operated our administrative office building in Culver City, California, which was sold on February 23, 2024;</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 and operate the fee interests in two developed commercial properties in Manhattan improved with live theatres comprised of a single stage in each location;</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 an approximately 26.6-acre rail access industrial property in Williamsport, Pennsylvania, which is currently being held for sale;</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comprising over 6 acres in downtown Philadelphia;</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have exercised our option to purchase the improvements and ground lease comprising our Village East by Angelika cinema and headquarters building at 189 Second Avenue in Manhattan; and</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held cash and cash equivalents, aggregating $12.9 million.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breakdown of our real estate assets, please refer to </w:t>
      </w:r>
      <w:r>
        <w:rPr>
          <w:rFonts w:ascii="Times New Roman;serif" w:hAnsi="Times New Roman;serif"/>
          <w:b w:val="false"/>
          <w:i/>
          <w:sz w:val="20"/>
        </w:rPr>
        <w:t>Part I, Item 2 – Properties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now present an overview of our business segments.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dedicated to creating engaging cinema experiences for our guests through hospitality-styled comfort and service, state-of-the-art cinematic presentation, uniquely designed venues, curated film and event programming, and crafted food and beverage options. As discussed previously, we manage our worldwide cinema exhibition business under various brands.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theater circuit in each country, by state/territory/region, our cinema brands, and our interest in the underlying asset as of December 31, 2023:</w:t>
      </w:r>
    </w:p>
    <w:tbl>
      <w:tblPr>
        <w:tblW w:w="10205" w:type="dxa"/>
        <w:jc w:val="center"/>
        <w:tblInd w:w="0" w:type="dxa"/>
        <w:tblLayout w:type="fixed"/>
        <w:tblCellMar>
          <w:top w:w="0" w:type="dxa"/>
          <w:left w:w="0" w:type="dxa"/>
          <w:bottom w:w="0" w:type="dxa"/>
          <w:right w:w="0" w:type="dxa"/>
        </w:tblCellMar>
      </w:tblPr>
      <w:tblGrid>
        <w:gridCol w:w="1295"/>
        <w:gridCol w:w="109"/>
        <w:gridCol w:w="1403"/>
        <w:gridCol w:w="109"/>
        <w:gridCol w:w="751"/>
        <w:gridCol w:w="109"/>
        <w:gridCol w:w="586"/>
        <w:gridCol w:w="109"/>
        <w:gridCol w:w="788"/>
        <w:gridCol w:w="142"/>
        <w:gridCol w:w="807"/>
        <w:gridCol w:w="109"/>
        <w:gridCol w:w="3888"/>
      </w:tblGrid>
      <w:tr>
        <w:trPr/>
        <w:tc>
          <w:tcPr>
            <w:tcW w:w="12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8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8" w:type="dxa"/>
            <w:tcBorders/>
            <w:shd w:fill="FFFFFF" w:val="clear"/>
            <w:vAlign w:val="center"/>
          </w:tcPr>
          <w:p>
            <w:pPr>
              <w:pStyle w:val="TableContents"/>
              <w:bidi w:val="0"/>
              <w:spacing w:before="0" w:after="283"/>
              <w:jc w:val="left"/>
              <w:rPr>
                <w:sz w:val="4"/>
                <w:szCs w:val="4"/>
              </w:rPr>
            </w:pPr>
            <w:r>
              <w:rPr>
                <w:sz w:val="4"/>
                <w:szCs w:val="4"/>
              </w:rPr>
            </w:r>
          </w:p>
        </w:tc>
      </w:tr>
      <w:tr>
        <w:trPr/>
        <w:tc>
          <w:tcPr>
            <w:tcW w:w="1295"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0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88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12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03"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295"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03"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0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29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29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03"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8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29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198</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4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2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Angelika Film</w:t>
            </w:r>
            <w:r>
              <w:rPr>
                <w:rFonts w:ascii="Times New Roman;serif" w:hAnsi="Times New Roman;serif"/>
                <w:caps w:val="false"/>
                <w:smallCaps w:val="false"/>
                <w:color w:val="000000"/>
                <w:position w:val="5"/>
                <w:sz w:val="13"/>
                <w:sz w:val="16"/>
              </w:rPr>
              <w:t xml:space="preserve"> </w:t>
            </w:r>
            <w:r>
              <w:rPr>
                <w:rFonts w:ascii="Times New Roman;serif" w:hAnsi="Times New Roman;serif"/>
                <w:b w:val="false"/>
                <w:i w:val="false"/>
                <w:caps w:val="false"/>
                <w:smallCaps w:val="false"/>
                <w:color w:val="000000"/>
                <w:sz w:val="16"/>
              </w:rPr>
              <w:t>Center, Event Cinemas</w:t>
            </w:r>
            <w:r>
              <w:rPr>
                <w:rFonts w:ascii="Times New Roman;serif" w:hAnsi="Times New Roman;serif"/>
                <w:b w:val="false"/>
                <w:i w:val="false"/>
                <w:caps w:val="false"/>
                <w:smallCaps w:val="false"/>
                <w:color w:val="000000"/>
                <w:position w:val="5"/>
                <w:sz w:val="13"/>
                <w:sz w:val="16"/>
              </w:rPr>
              <w:t>(1)</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8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2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29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w:t>
            </w:r>
          </w:p>
        </w:tc>
        <w:tc>
          <w:tcPr>
            <w:tcW w:w="109" w:type="dxa"/>
            <w:tcBorders/>
            <w:vAlign w:val="center"/>
          </w:tcPr>
          <w:p>
            <w:pPr>
              <w:pStyle w:val="TableContents"/>
              <w:bidi w:val="0"/>
              <w:spacing w:before="0" w:after="283"/>
              <w:jc w:val="left"/>
              <w:rPr>
                <w:sz w:val="4"/>
                <w:szCs w:val="4"/>
              </w:rPr>
            </w:pPr>
            <w:r>
              <w:rPr>
                <w:sz w:val="4"/>
                <w:szCs w:val="4"/>
              </w:rPr>
            </w:r>
          </w:p>
        </w:tc>
        <w:tc>
          <w:tcPr>
            <w:tcW w:w="388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8" w:type="dxa"/>
            <w:tcBorders/>
            <w:shd w:fill="CCEEFF" w:val="clear"/>
            <w:vAlign w:val="center"/>
          </w:tcPr>
          <w:p>
            <w:pPr>
              <w:pStyle w:val="TableContents"/>
              <w:bidi w:val="0"/>
              <w:spacing w:before="0" w:after="283"/>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8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3"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7"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8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2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2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0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61</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491</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52</w:t>
            </w:r>
          </w:p>
        </w:tc>
        <w:tc>
          <w:tcPr>
            <w:tcW w:w="142"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88"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totaling 13 screens. We are responsible for the booking of these cinemas and our joint venture partner, Event Cinemas, manages their day-to-day operations.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(3)Our total location counts as of December 31, 2023, reflects all operating cinemas, taking into account the following: (i) Angelika Cinemas at South City Square in Australia, which opened on August 24, 2023, (ii) the Reading Cinemas at Busselton in Australia, which opened on September 22, 2023, (iii) the Reading Cinemas at Courtenay Central in New Zealand, which remains closed while we address certain seismic issues, (iv) the closure of two underperforming Consolidated Theatres in Hawaii, as of July 9, 2023 and July 31, 2023, (v) the closure in November 2023 of an underperforming Reading Cinema in Rohnert Park, California with a lease expiration, and (vi) the permanent closure on May 7, 2023 of our 3-screen Hutt Pop Up cinema in Wellington, New Zealand.</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to current cash flow constraints, we continue to focus on upgrading our existing cinemas, obtaining liquor licenses in Australia and New Zealand, and developing new cinema opportunities to provide our customers with premium offerings, including luxury recliner seating, state-of-the-art presentation including sound, lounges, cafés and bar service, and other amenities. Currently, 195 of our auditoriums feature recliner seating (excluding our joint ventures). In addition, 33 of our auditoriums now feature large format TITAN XC, TITAN LUXE, or IMAX screens. Our circuit has been completely converted to digital projection and sound systems. However, in certain cinemas we have, as a point of differentiation, retained the ability to show films in the U.S. in both 35MM and 70MM formats preferred by some directors.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we operate cinemas in three countries, the general nature of our operations and operating strategies do not vary materially from jurisdiction-to-jurisdiction.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generated approximately 58% of their 2023 revenue from box office receipts. Ticket prices vary by location, and in selected locations we offer reduced rates for senior citizens, children and, in certain markets, military and students.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Showtimes and features are placed in advertisements on our various websites, on internet sites and, in some markets, in limited instances, local newspapers. We are continually increasing our presence in social media, thereby, reducing our dependency on print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advertising. Film distributors may also advertise certain feature films in various print, radio and television media, as well as on the internet, and distributors generally pay those costs.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F&amp;B sales accounted for approximately 34% of our total 2023 cinema revenue. Although substantially all of our global cinemas have licenses for the sale and on-premises consumption of alcoholic beverages, historically F&amp;B products have been primarily popcorn, candy, and soda. This is changing, as more of our theaters are offering expanded F&amp;B offerings. One of our strategic focuses is to upgrade our existing cinemas with expanded F&amp;B offerings consistent with what we believe to be aligned with moviegoers’ desires and trends. We use spend per patron (“SPP”) as a measure of our performance as compared to the performance of our competitors, as well as a measure of the performance of our F&amp;B operations. While ultimately, the profitability of our F&amp;B operations depends on a variety of factors, including labor cost and cost of goods sold, we think that this calculation is important to show how well we are doing on a top line basis.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Screen advertising and other revenue contributed approximately 8% to our total 2023 cinema revenue. Except for certain rights that we have retained to sell screen advertising to local advertisers, generally speaking, we are not in the screen advertising business and nationally recognized screen-advertising companies’ contract with us for the right to show such advertising on our screens.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Management of Cinemas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the exception of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in the booking of these two cinemas, our joint venture partner, Event Cinemas, manages their day-to-day operations. Our one-third interest in a 16-screen Brisbane cinema is passive in nature. That cinema is also managed by Event Cinemas.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 xml:space="preserve">Licensing and Pricing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Movies are available from a variety of sources, ranging from the major film distributors, such as Paramount Pictures, Warner Bros, Disney, Sony Pictures, Universal Pictures, and Lionsgate, to a variety of smaller independent film distributors. In Australia and New Zealand, some of those major distributors distribute through local unaffiliated distributors. Worldwide, the major film distributors dominate the market for mainstream conventional films. In the U.S., art and specialty film is distributed through the art and specialty divisions of these major distributors, such as Searchlight Pictures and Sony Pictures Classics, and through independent distributors such as A24 and Neon. Film payment terms are generally based on an agreed-upon percentage of box office receipts that will vary from film-to-film.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t>Competition</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bookmarkStart w:id="9" w:name="_Hlk125841742"/>
      <w:bookmarkEnd w:id="9"/>
      <w:r>
        <w:rPr>
          <w:rFonts w:ascii="Times New Roman;serif" w:hAnsi="Times New Roman;serif"/>
          <w:b w:val="false"/>
          <w:i w:val="false"/>
          <w:caps w:val="false"/>
          <w:smallCaps w:val="false"/>
          <w:sz w:val="20"/>
        </w:rPr>
        <w:t>Film is allocated by the applicable distributor among competitive cinemas and in an increasingly material number of situations to streaming services. Accordingly, from time to time, we may be unable to license every film that we desire to play. In the Australian and New Zealand markets, we generally have access to all movies in the market. Due at least in part to the COVID-19 pandemic, we have seen a rise in streaming services with greater quantity and quality of films offered. We have also seen certain major distributors skip the traditional theatrical window and go straight to streaming, PVOD or Video on Demand (“VOD”). Over the last few years, videos have become an essential component of internet usage, with their prevalence increasing across all online platforms as part of digital marketing strategies. Whether it is through social media, websites, emails, or other communication channels, both short and long videos have emerged as the primary mode of connecting with audiences.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Moreover, the surge in popularity of video-on-demand platforms such as Netflix, Amazon Prime, and Hulu is evident. Apple+ has been very active in acquiring movie rights in 2023. Apple+ partnered with Universal to receive streaming rights for </w:t>
      </w:r>
      <w:r>
        <w:rPr>
          <w:rFonts w:ascii="Times New Roman;serif" w:hAnsi="Times New Roman;serif"/>
          <w:b w:val="false"/>
          <w:i/>
          <w:sz w:val="20"/>
        </w:rPr>
        <w:t>Argylle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along with having distribution rights to </w:t>
      </w:r>
      <w:r>
        <w:rPr>
          <w:rFonts w:ascii="Times New Roman;serif" w:hAnsi="Times New Roman;serif"/>
          <w:b w:val="false"/>
          <w:i/>
          <w:sz w:val="20"/>
        </w:rPr>
        <w:t>Napolean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Killers of the Flower Moon</w:t>
      </w:r>
      <w:r>
        <w:rPr>
          <w:rFonts w:ascii="Times New Roman;serif" w:hAnsi="Times New Roman;serif"/>
          <w:b w:val="false"/>
          <w:i w:val="false"/>
          <w:caps w:val="false"/>
          <w:smallCaps w:val="false"/>
          <w:sz w:val="20"/>
        </w:rPr>
        <w:t xml:space="preserve">. Netflix’s </w:t>
      </w:r>
      <w:r>
        <w:rPr>
          <w:rFonts w:ascii="Times New Roman;serif" w:hAnsi="Times New Roman;serif"/>
          <w:b w:val="false"/>
          <w:i/>
          <w:sz w:val="20"/>
        </w:rPr>
        <w:t>Maestro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streamed on their platform after having a limited theatrical release. Amazon Prime is exclusively streaming </w:t>
      </w:r>
      <w:r>
        <w:rPr>
          <w:rFonts w:ascii="Times New Roman;serif" w:hAnsi="Times New Roman;serif"/>
          <w:b w:val="false"/>
          <w:i/>
          <w:sz w:val="20"/>
        </w:rPr>
        <w:t>Saltburn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The Beekeeper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after having been out in our worldwide cinemas.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Competition for films may be intense, depending upon the number of cinemas in a particularly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Regal, and Cinemark, who between them control over 60% of the North American market, these mega-exhibition companies can offer distributors access to many more screens in major markets than we can. Also, the major exhibitors have a significant number of markets where they operate without material competition, meaning that the distributors have no alternative exhibitor for their films in these markets. Accordingly, distributors may decide to give preference to these mega-exhibitors when it comes to licensing top-grossing films, rather than deal with independent exhibitors such as us. The situation is different in Australia and New Zealand, where typically every major multiplex cinema has access to all the film currently in distribution, regardless of the ownership of that multiplex cinema. However, on the reverse side, we have suffered somewhat in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markets from competition from boutique operators, who are able to book top grossing commercial films for limited runs, thus increasing competition for customers wishing to view such top grossing films.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availability of state-of-the-art technology and/or luxury recliner seating can also be a factor in the preference of one cinema over another. In recent periods, a few cinemas have opened or reopened featuring luxury recliner seating and/or expanded food and beverage service, including the sale of alcoholic beverages and food served to the seat. After significant investment in our cinema portfolio since 2015, we believe our circuit is well positioned for a post COVID-19, post Hollywood Strike recovery. 56% of our US screens feature Luxury Recliner Seating. 32% of our AU/NZ screens feature Luxury Recliner Seating. 35% of our US theaters feature at least one Premium Large Format auditorium (IMAX, TITAN LUXE or TITAN XC) and 53% of our AU/NZ theaters feature a PLF Auditorium (TITAN XC or TITAN LUXE). Lastly, 85% of our US cinemas offer enhanced F&amp;B menus (including liquor), while 58% of AU/NZ cinemas offer enhanced F&amp;B menus, and 76% of our global cinemas serve liquor.</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film exhibition markets in the United States, Australia, and New Zealand are to a certain extent dominated by a limited number of major exhibition companies who have substantial financial resources which could allow them to operate in a more competitive manner than us. Based on information contained in filings made with the SEC, as of December 31, 2023, the principal exhibitors in the United States are AMC (with 7,369 screens in 562 cinemas); Regal (with 6,853 screens in 511 cinemas), owned by Cineworld Group, the U.K.’s largest cinema operator; and Cinemark (with 5,719 screens in 501 cinemas). As of December 31, 2023, we were the 15th largest exhibitor with 1% of the box office in the United States with 198 screens in 20 cinemas.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Australia are Greater Union, which does business under the Event Cinemas name (a subsidiary of Event Hospitality and Entertainment, Limited) (“Event”), Hoyts Cinemas (“Hoyts”), and Village Cinemas (“Village”). The major exhibitors control approximately 66% of the total cinema box office: Event 28%, Hoyts 26%, and Village 12%. Event has 497 screens nationally, Hoyts 435 screens, and Village 229 screens. By comparison, our 210 screens (excluding our joint venture theaters) represent approximately 8% of the total box office making us the fourth largest exhibitor in Australia. The industry is somewhat vertically integrated in Australia and New Zealand, in that Roadshow Film Distributors, a subsidiary of Village, serves as a distributor of film in Australia and New Zealand.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New Zealand are Event Cinemas with 134 screens and Hoyts with 76 screens, nationally. The major exhibitors in New Zealand control approximately 56% of the total box office: Event 35% and Hoyts 21%. We have 54 screens (excluding its interests in unconsolidated joint ventures). We have 9% of the market (Event and Reading market share figures exclude any partnership theaters) and are the third largest exhibitor in New Zealand.</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In-Home, Streaming and Mobile Device Competition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(like Netflix, Hulu, AppleTV, Disney+, HBO Max, Peacock, and Amazon Prime Video) and the entry of new specially curated product for the home and streaming markets are competing with films produced for theatrical release which puts additional pressure on film distributors to reduce and/or eliminate the time period between theatrical and secondary release dates.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responding to these challenges generally by increasing the comfort and service levels available at our cinemas, by offering convenient online ticket reservation services with guaranteed seating, by investing in larger screens and enhanced sound, by offering more specialized and alternative product to our audiences, and by providing value for the moviegoer’s dollar. We are focusing on the fact that going to the movies is a special social experience, and we are working to make that experience the best that it can be. We must differentiate ourselves from other forms of video entertainment by emphasizing the special nature of seeing film and alternative content in a cinema environment and by developing ways to position ourselves to take advantage of the increased output of film and feature product. These are issues common to both our U.S. and international cinema operations. We are proactively adjusting our operating, programming, and marketing strategies to consider the wide-ranging impacts of the pandemic. In the future, we expect to grow our cinema-based business through a disciplined approach to renovations and new opportunities globally.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Currently, our U.S. based website and mobile app have a function which allows guests to instantly book Private Watch Parties online. Our Australia and New Zealand, customers can also book Private VIP via online. As of December 31, 2023, we had around 114,000 members signed up for our free to join Angelika Membership program in the U.S.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Further competitive issues are discussed under Item 1A –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Seasonality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Major films are generally released to coincide with holidays. Historically, this has provided us with some balancing of our revenue because, with the exception of Christmas and New Years, there is no material overlap between holidays in the United States and those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Australia and New Zealand. Distributors may delay, in certain cases, releases in Australia and New Zealand to take advantage of Australian and New Zealand holidays that are not celebrated in the United States. However, the deferral of releases is becoming increasingly less common, given the need to address internet and other channels of distribution that operate on a worldwide basis and are less tied to holiday schedules.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2023 saw some successful releases including </w:t>
      </w:r>
      <w:r>
        <w:rPr>
          <w:rFonts w:ascii="Times New Roman;serif" w:hAnsi="Times New Roman;serif"/>
          <w:b w:val="false"/>
          <w:i/>
          <w:sz w:val="20"/>
        </w:rPr>
        <w:t>Barbie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The Super Mario Bros. Movie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reaching the $1 billion mark. Other movies with great success included </w:t>
      </w:r>
      <w:r>
        <w:rPr>
          <w:rFonts w:ascii="Times New Roman;serif" w:hAnsi="Times New Roman;serif"/>
          <w:b w:val="false"/>
          <w:i/>
          <w:sz w:val="20"/>
        </w:rPr>
        <w:t>Spider-Man: Across the Spider-Verse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Guardians of the Galaxy Vol. 3</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Oppenheimer</w:t>
      </w:r>
      <w:r>
        <w:rPr>
          <w:rFonts w:ascii="Times New Roman;serif" w:hAnsi="Times New Roman;serif"/>
          <w:b w:val="false"/>
          <w:i w:val="false"/>
          <w:caps w:val="false"/>
          <w:smallCaps w:val="false"/>
          <w:sz w:val="20"/>
        </w:rPr>
        <w:t xml:space="preserve">. At the time it won the Academy’s Best Picture award, </w:t>
      </w:r>
      <w:r>
        <w:rPr>
          <w:rFonts w:ascii="Times New Roman;serif" w:hAnsi="Times New Roman;serif"/>
          <w:b w:val="false"/>
          <w:i/>
          <w:sz w:val="20"/>
        </w:rPr>
        <w:t>Oppenheimer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had grossed over $960 million. After a difficult January and February 2024 has begun to build momentum with major films such as </w:t>
      </w:r>
      <w:r>
        <w:rPr>
          <w:rFonts w:ascii="Times New Roman;serif" w:hAnsi="Times New Roman;serif"/>
          <w:b w:val="false"/>
          <w:i/>
          <w:sz w:val="20"/>
        </w:rPr>
        <w:t>Dune: Part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($509 million on March 21, 2024) and </w:t>
      </w:r>
      <w:r>
        <w:rPr>
          <w:rFonts w:ascii="Times New Roman;serif" w:hAnsi="Times New Roman;serif"/>
          <w:b w:val="false"/>
          <w:i/>
          <w:sz w:val="20"/>
        </w:rPr>
        <w:t>Kung Fu Panda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($200 million at March 21, 2024). Yet to come are </w:t>
      </w:r>
      <w:r>
        <w:rPr>
          <w:rFonts w:ascii="Times New Roman;serif" w:hAnsi="Times New Roman;serif"/>
          <w:b w:val="false"/>
          <w:i/>
          <w:sz w:val="20"/>
        </w:rPr>
        <w:t>Inside Out 2, Deadpool &amp; Wolverine, Joker: Folie a Deux, Wicked, and Gladiator 2</w:t>
      </w:r>
      <w:r>
        <w:rPr>
          <w:rFonts w:ascii="Times New Roman;serif" w:hAnsi="Times New Roman;serif"/>
          <w:b w:val="false"/>
          <w:i w:val="false"/>
          <w:caps w:val="false"/>
          <w:smallCaps w:val="false"/>
          <w:sz w:val="20"/>
        </w:rPr>
        <w:t>. However, due to the 2023 Hollywood Strikes, many titles have pushed out of the 2024 film slate into 2025.</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engage in the real estate business through the development and our ownership and rental or licensing to third parties of retail, commercial and live theatre assets. We own the fee interests in both of our live theatres, and in 9 of our cinemas (as presented in the preceding table within the “Cinema Exhibition” section). We believe that our real estate business creates long-term value for our stockholders through the continuous improvement and development of our investment and operating properties, including our ETCs.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activities have historically consisted principally of: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the ownership of fee or long-term leasehold interests in properties used in our cinema exhibition activities or which were acquired for the development of cinemas or cinema-based real estate development projects;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the acquisition of fee interests in land for general real estate development;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licensing to production companies of our live theatres;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redevelopment of our existing fee-owned cinema or live theatre sites to their highest and best use.</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of our leasehold interests are cinema operating properties. We utilize office space at the Village East cinema building for our corporate headquarters.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brought all of our Australia, New Zealand and U.S. real estate operations in-house, except operational support from a third-party for 44 Union Square.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to our principal properties as set out below, we own certain historic railroad properties (such as our Reading Viaduct and adjacent commercial properties in Philadelphia, which together comprise approximately 6.5 acres of land in Philadelphia).</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United States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Live Theatres – Minetta Lane and Orpheum</w:t>
      </w:r>
    </w:p>
    <w:p>
      <w:pPr>
        <w:pStyle w:val="TextBody"/>
        <w:bidi w:val="0"/>
        <w:spacing w:lineRule="auto" w:line="259" w:before="10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Included among our real estate holdings are two Off-Broadway style live theatres, operated through our Liberty Theatres subsidiary. We license theatre auditoriums to the producers of Off-Broadway theatrical productions and provide various box office, concessions and merchandise services. The terms of our licenses are, naturally, principally dependent upon the commercial success of our licensees. While we attempt to choose productions that we believe will be successful, we have no control over the production itself. At the current time, we have two single-auditorium theatres in Manhattan: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Minetta Lane (399 seats);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the Orpheum (347 seats).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Rental revenues, expenses, and profits are reported as part of the real estate segment of our business.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44 Union Square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the end of 2019, we substantially completed the construction phase of our 44 Union Square redevelopment project, achieving approximately 73,000 square feet of net rentable area (calculated inclusive of anticipated BOMA adjustments) comprised of retail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office space. We have leased all the retail space to Petco for a flagship, state-of-the-art facility. As of the date of this report, we are working with George Comfort &amp; Sons, as our exclusive leasing broker, to lease or otherwise monetize the upper floors of the project. 44 Union Square/Tammany Hall, hailed as a dramatic pièce de résistance with its first in the city, over 800-piece, glass dome, brings the future to New York’s fabled past and in 2022 was awarded the (i) The American Architecture Award for Restoration and Renovation, (ii) the ACEC NY Engineering Excellence Award, (iii) and the Building/Technology Systems Diamond Award. Please refer to </w:t>
      </w:r>
      <w:r>
        <w:rPr>
          <w:rFonts w:ascii="Times New Roman;serif" w:hAnsi="Times New Roman;serif"/>
          <w:b w:val="false"/>
          <w:i/>
          <w:sz w:val="20"/>
        </w:rPr>
        <w:t>Item 7 – Recent Developments.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5995 Sepulveda Boulevard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As of December 31, 2023, we owned an approximately 24,000 square foot office building with 72 parking spaces located at 5995 Sepulveda Boulevard in Culver City, California. We occupied approximately 12,000 square feet of our Culver City office building for administrative purposes. The property was sold on February 23, 2024 for $10 million. An update on this property is provided in </w:t>
      </w:r>
      <w:r>
        <w:rPr>
          <w:rFonts w:ascii="Times New Roman;serif" w:hAnsi="Times New Roman;serif"/>
          <w:b w:val="false"/>
          <w:i/>
          <w:sz w:val="20"/>
        </w:rPr>
        <w:t>Item 7 – Recent Developments.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Cinemas 1,2,3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pStyle w:val="TextBody"/>
        <w:bidi w:val="0"/>
        <w:spacing w:lineRule="auto" w:line="259"/>
        <w:jc w:val="both"/>
        <w:rPr>
          <w:rFonts w:ascii="Times New Roman;serif" w:hAnsi="Times New Roman;serif"/>
          <w:b w:val="false"/>
          <w:i/>
          <w:sz w:val="20"/>
        </w:rPr>
      </w:pPr>
      <w:bookmarkStart w:id="10" w:name="_Hlk162017195"/>
      <w:bookmarkEnd w:id="10"/>
      <w:r>
        <w:rPr>
          <w:rFonts w:ascii="Times New Roman;serif" w:hAnsi="Times New Roman;serif"/>
          <w:b w:val="false"/>
          <w:i/>
          <w:sz w:val="20"/>
        </w:rPr>
        <w:t>Philadelphia Properties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Picking up in 2023, we have resumed work to develop and realize the value of our real estate holdings in the City of Philadelphia. Our properties include the 0.7-mile-long Reading Viaduct – a raised rail bed and bridges reaching through the Callowhill and Poplar neighborhoods of Philadelphia and reaching to Vine Street in the City’s Central Business District near the proposed site for the new home of the Philadelphia 76ers. Calculated inclusive of our contiguous properties, the Reading Viaduct comprises approximately 6.5 acres of land, plus various bridges passing over various public streets and sidewalks connecting our various parcels into one continuous land holding, unimpaired by any public thoroughfares.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Representatives of the City of Philadelphia and the City Center District have expressed an interest in acquiring the Reading Viaduct for park purposes as an extension to the existing Rail Park and in December 2023, the City legislature adopted an ordinance enabling the condemnation of the Reading Viaduct, and the transfer of the property to a not-for-profit for use as a public park. However, insofar as we are aware, no action has been taken by the City to advance any such condemnation.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on our ongoing research, we are evaluating whether a dedicated public park is the highest and best use of the Reading Viaduct. While a connecting public park pedestrian way (akin to the New York Highline) would likely be an important component of the development of the Reading Viaduct, we are in the process of determining the highest and best use, which may include a mixed-use development featuring residential, retail and entertainment uses. As the development strategies evolve, we believe that a park and pedestrian corridor would be complementary to the overall development of our property.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recent area developments, an announcement was made in mid-March 2024 about a $158 million federal grant for the Chinatown Stitch project, which involves reconnecting the Chinatown community and surrounding to neighborhoods by capping the Vine Street Expressway I-676, which is directly across the street to the Reading Viaduct at Vine Street. In our opinion, capping the Vine Street Expressway at the subject property would greatly enhance the desirability of the Reading Viaduct.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the Reading Viaduct offers a substantial long-term opportunity for our Company through potentially selling or joint venturing (in whole or in part) part or all of the property. The properties adjoining our Reading Viaduct include a number of free standing legal parcels that could be monetized separately and/or apart from the main body of our Reading Viaduct.</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Australia</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and operate three ETCs in Australia. Our revenues from these sites consist of rental income and other ancillary charges from our various tenants.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Newmarket Village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Located on 226,539 square feet of land in suburban Brisbane, Newmarket Village is currently comprised of approximately 165,830 square feet of net rentable area, including a Coles Supermarket and 46 other third-party tenants. We added a state-of-the-art eight-screen Reading Cinemas with TITAN LUXE in December 2017. In 2023, we also executed 2 new leases and 4 renewal leases.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Cannon Park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Comprising 9.4-acres across two properties, Cannon Park City Center and Cannon Park Discount Center. Cannon Park was acquired in December 2015. Our multiplex cinema is one of the anchor tenants for Cannon Park City Center, which features 11 third-party F&amp;B and leisure tenants. In 2023, we executed 4 new leases.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The Belmont Common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Anchored by our 10-screen Reading Cinemas with TITAN XC and six F&amp;B or third-party tenants, The Belmont Common is located in Perth, Australia, and is currently comprised of 103,204 square feet of land and 60,117 square feet of net rentable area.</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 Zealand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Courtenay Central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Located in the heart of Wellington – New Zealand’s capital city – our Courtenay Central ETC is currently under redevelopment and is comprised, on a consolidated basis through various subsidiaries, of four parcels aggregating 161,082 square feet of land situated (i) proximate to the Te Papa Tongarewa Museum (attracting over 1.5 million visitors annually, pre-COVID), and (ii) across the street from Takina, Wellington’s Convention and Exhibition Centre (wcec.co.nz), the capital’s first premium conference and exhibition space, which opened in June 2023, and (iii) across the street from the St. James Theatre which was recently renovated and has strengthened Wellington’s theatre scene. One of the parcels is improved with our existing Courteny Central building. The remaining three parcels are currently being used for parking, but it is our intention to develop them following the redevelopment of our Courtenay Central building (“Phase 1”).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previously reported, damage from the 2016 Kaikoura earthquake necessitated demolition of our nine-story parking garage at the site, and unrelated seismic issues caused us to close major portions of the existing cinema and retail structure in early 2019.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Wellington continues to be rated as one of the top cities in the world in which to live, and we continue to believe that the Courtenay Central site is located in one of the most vibrant and growing commercial and entertainment precinct areas of Wellington. In 2022, the University of Canterbury hailed Wellington as New Zealand’s most walkable city as 35% of all residents lived within a 10-minute walk of all amenities and the Keep New Zealand Beautiful Society designated it as “The Most Beautiful Large City in Aotearoa”.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real estate holdings are described in further detail in </w:t>
      </w:r>
      <w:r>
        <w:rPr>
          <w:rFonts w:ascii="Times New Roman;serif" w:hAnsi="Times New Roman;serif"/>
          <w:b w:val="false"/>
          <w:i/>
          <w:sz w:val="20"/>
        </w:rPr>
        <w:t>Item 2 – Properties</w:t>
      </w:r>
      <w:r>
        <w:rPr>
          <w:rFonts w:ascii="Times New Roman;serif" w:hAnsi="Times New Roman;serif"/>
          <w:b w:val="false"/>
          <w:i w:val="false"/>
          <w:caps w:val="false"/>
          <w:smallCaps w:val="false"/>
          <w:sz w:val="20"/>
        </w:rPr>
        <w:t xml:space="preserve">. Our real estate developments are described in </w:t>
      </w:r>
      <w:r>
        <w:rPr>
          <w:rFonts w:ascii="Times New Roman;serif" w:hAnsi="Times New Roman;serif"/>
          <w:b w:val="false"/>
          <w:i/>
          <w:sz w:val="20"/>
        </w:rPr>
        <w:t>Item 7 – Recent Developments.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Competition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discussion of our view as to the competitive aspects of the markets where we own real estate properties is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Demand for office space has declined since the onset of the COVID-19 pandemic with the increase in remote working. However, our 44 Union Square office space is not generic in nature, given its key Union Square location, its boutique size and brandability. The retail portion of our 44 Union Square property is now fully leased to Petco.</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 the past few years, there has been a noted stabilization in real estate market activity resulting in some increases to commercial and retail property values in Australia and to a lesser extent in New Zealand. Both countries have relatively stable economies with varying degrees of economic growth that are mostly influenced by global trends. Also, we have noted that our Australian and New Zealand developed properties have had consistent growth in rentals and values, despite the COVID effects. This is in part a product of the fact that our tenancies have focused on entertainment services (cinemas, food and beverage) and essentials (such as groceries and pharmacies), which has to some extent insulated us from internet competition. We have lesser exposure to the office market in Australia, as we have one office building (21,582 sf) at Newmarket Village (which is 100% leased) and we own an office building (8,945 sf) in South Melbourne (which is 100% leased) that serves as our corporate headquarters in Australia. We remain optimistic that our Australian and New Zealand holdings will continue to provide value and cash flows to our operations.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MIX AND FOREIGN CURRENCY IMPACT</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At December 31, 2023, the book value of our assets was $533.1 million, and our consolidated stockholders’ book equity was $33.0 million. Calculated based on book value, $230.3 million, or 43% of our assets, relate to our cinema exhibition activities and $236.2 million, or 44%, of our assets, relate to our real estate activities. </w:t>
      </w:r>
    </w:p>
    <w:p>
      <w:pPr>
        <w:pStyle w:val="TextBody"/>
        <w:bidi w:val="0"/>
        <w:spacing w:lineRule="auto" w:line="259"/>
        <w:jc w:val="center"/>
        <w:rPr/>
      </w:pPr>
      <w:r>
        <w:rPr>
          <w:caps w:val="false"/>
          <w:smallCaps w:val="false"/>
        </w:rPr>
        <w:drawing>
          <wp:inline distT="0" distB="0" distL="0" distR="0">
            <wp:extent cx="1878330" cy="1733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878330" cy="1733550"/>
                    </a:xfrm>
                    <a:prstGeom prst="rect">
                      <a:avLst/>
                    </a:prstGeom>
                  </pic:spPr>
                </pic:pic>
              </a:graphicData>
            </a:graphic>
          </wp:inline>
        </w:drawing>
      </w:r>
      <w:r>
        <w:rPr>
          <w:caps w:val="false"/>
          <w:smallCaps w:val="false"/>
        </w:rPr>
        <w:t xml:space="preserve"> </w:t>
      </w:r>
      <w:r>
        <w:rPr>
          <w:caps w:val="false"/>
          <w:smallCaps w:val="false"/>
        </w:rPr>
        <w:drawing>
          <wp:inline distT="0" distB="0" distL="0" distR="0">
            <wp:extent cx="1788795" cy="1781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88795" cy="1781175"/>
                    </a:xfrm>
                    <a:prstGeom prst="rect">
                      <a:avLst/>
                    </a:prstGeom>
                  </pic:spPr>
                </pic:pic>
              </a:graphicData>
            </a:graphic>
          </wp:inline>
        </w:drawing>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For additional segment financial information, please see </w:t>
      </w:r>
      <w:r>
        <w:rPr>
          <w:rFonts w:ascii="Times New Roman;serif" w:hAnsi="Times New Roman;serif"/>
          <w:b w:val="false"/>
          <w:i/>
          <w:color w:val="000000"/>
          <w:sz w:val="20"/>
        </w:rPr>
        <w:t>Part II, Item 8 – Financial Statements and Supplementary Data—Notes to Consolidated Financial Statements-- Note 1 – Description of Business and Segment Reporting.</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diversified our assets among three countries: the United States, Australia, and New Zealand. Based on book value, at December 31, 2023, we had approximately 55% of our assets in the United States, 36% in Australia and 9% in New Zealand compared to 58%, 34%, and 8%, respectively, at the end of 2022. This shift in the ratio is principally due to the combination of cinemas closures in the United States, the sale of our property in Maitland (Australia) and new cinemas opening in Australia.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We have worked to maintain a balance both between our cinema and real estate assets and between our U.S. and our Australian and New Zealand assets. In 2023, we invested approximately $1.5 million in our U.S. assets for the improvements of our cinema assets (principally the renovations of our cinema at Kapolei, Angelika Film Center in Dallas, and upgrades of certain other cinemas). We invested approximately $3.4 million in our Australian assets, primarily for the development of our cinema assets (principally for our new eight screen Angelika Cinemas in South City Square). We invested approximately $0.3 million in our New Zealand assets.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Due to a variety of factors, including the COVID-19 pandemic, the 2023 Hollywood Strikes and spiking interest rates, we have strategically monetized certain real estate assets, and may continue to do so in order to support our liquidity while the global cinema returns to normal. We have monetized approximately $153 million in real estate over the past three years.</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At December 31, 2023, we had cash and cash equivalents of $12.9 million, which are treated as corporate assets. Our cash included $7.1 million denominated in U.S. dollars, $5.2 million (AU$7.6 million) in Australian dollars, and $0.7 million (NZ$1.0 million) in New Zealand dollars. We had total worldwide non-current assets of $494.3 million, distributed as follows: $264.3 million in the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 $184.8 million (AU$308.3 million) in Australia and $45.2 million (NZ$71.3 million) in New Zealand. We had no unrestricted unused capacity of available corporate credit facilities on December 31, 2023.</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2023, our gross revenues in the United States, Australia, and New Zealand were $120.0 million, $88.1 million, and $14.6 million, respectively, compared to $100.1 million, $87.8 million, and $15.2 million for 2022. Our total gross revenues increased in 2023 primarily as a result of an increase in the number and quality of movie releases in 2023 compared to 2022.</w:t>
      </w:r>
    </w:p>
    <w:p>
      <w:pPr>
        <w:pStyle w:val="TextBody"/>
        <w:bidi w:val="0"/>
        <w:spacing w:lineRule="auto" w:line="259"/>
        <w:jc w:val="center"/>
        <w:rPr/>
      </w:pPr>
      <w:r>
        <w:rPr>
          <w:caps w:val="false"/>
          <w:smallCaps w:val="false"/>
        </w:rPr>
        <w:drawing>
          <wp:inline distT="0" distB="0" distL="0" distR="0">
            <wp:extent cx="2154555" cy="161417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54555" cy="1614170"/>
                    </a:xfrm>
                    <a:prstGeom prst="rect">
                      <a:avLst/>
                    </a:prstGeom>
                  </pic:spPr>
                </pic:pic>
              </a:graphicData>
            </a:graphic>
          </wp:inline>
        </w:drawing>
      </w:r>
      <w:r>
        <w:rPr>
          <w:caps w:val="false"/>
          <w:smallCaps w:val="false"/>
        </w:rPr>
        <w:drawing>
          <wp:inline distT="0" distB="0" distL="0" distR="0">
            <wp:extent cx="2005965" cy="16097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005965" cy="1609725"/>
                    </a:xfrm>
                    <a:prstGeom prst="rect">
                      <a:avLst/>
                    </a:prstGeom>
                  </pic:spPr>
                </pic:pic>
              </a:graphicData>
            </a:graphic>
          </wp:inline>
        </w:drawing>
      </w:r>
      <w:r>
        <w:rPr>
          <w:caps w:val="false"/>
          <w:smallCaps w:val="false"/>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shown in the chart set forth in the International Business Risks section, exchange rates for the currencies of these jurisdictions have varied, sometimes materially. These ratios, naturally, have an impact on our revenues and asset values, which are reported in USD. The U.S. dollar has been appreciating compared to the Australian and New Zealand Dollar, which has the effect of reducing the value of our Australia and New Zealand earnings and cash flow from a U.S. point of view. Notwithstanding these fluctuations, we continue to believe that, over the long term, operating in Australia and New Zealand is a prudent diversification of risk. Over the years, Australia and New Zealand have continued to be ranked among the best countries to live by U.S. News in terms of quality of life. In our view, the economies of Australia and New Zealand are stable economies, and their lifestyles support our entertainment/lifestyle focus.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HUMAN CAPITAL RESOURCES</w:t>
      </w:r>
    </w:p>
    <w:p>
      <w:pPr>
        <w:pStyle w:val="TextBody"/>
        <w:bidi w:val="0"/>
        <w:spacing w:lineRule="auto" w:line="259"/>
        <w:jc w:val="left"/>
        <w:rPr>
          <w:rFonts w:ascii="Times New Roman;serif" w:hAnsi="Times New Roman;serif"/>
          <w:b w:val="false"/>
          <w:i w:val="false"/>
          <w:caps w:val="false"/>
          <w:smallCaps w:val="false"/>
          <w:sz w:val="20"/>
        </w:rPr>
      </w:pPr>
      <w:bookmarkStart w:id="11" w:name="_Hlk63180543"/>
      <w:bookmarkStart w:id="12" w:name="_Hlk61954723"/>
      <w:bookmarkEnd w:id="11"/>
      <w:bookmarkEnd w:id="12"/>
      <w:r>
        <w:rPr>
          <w:rFonts w:ascii="Times New Roman;serif" w:hAnsi="Times New Roman;serif"/>
          <w:b w:val="false"/>
          <w:i w:val="false"/>
          <w:caps w:val="false"/>
          <w:smallCaps w:val="false"/>
          <w:sz w:val="20"/>
        </w:rPr>
        <w:t xml:space="preserve">Our Company is committed to diversity and does not discriminate on the basis of sex, race, gender, ethnicity, religious beliefs or practices or any other protected characteristics. We strive to recruit and retain a diverse group of employees.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typically employ persons from the communities that they serve and accordingly, we believe that they reasonably reflect the diversification of such communities. Many of our jobs are entry level positions and offer comparatively flexible hours attractive to students and others seeking part-time employment. We believe that we provide a starting point for younger people entering the job market for the first time, as well as an opportunity for individuals with other life commitments and interests and who are not seeking full-time employment. Finding and retaining cinema staff has been a challenge in the post COVID period.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we had approximately (i) 89 executive/administrative and 8 real estate employees who were primarily full-time and (ii) 20 live theatre and 1,908 cinema employees worldwide who were predominantly part-time/casual employees. A small number of our cinema employees in New Zealand are union members, as are our projectionists in Hawaii. None of our Australian-based employees or other employees are subject to union contracts. Overall, we are of the view that the existence of these collective bargaining agreements does not materially increase our costs of labor or our ability to compete.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offer our employees what we believe to be a competitive benefits package. In the U.S., we offer a 401(k)-retirement savings plan (our “401(k) Plan”) that allows eligible U.S. employees to defer a portion of their compensation, within limits prescribed by the Internal Revenue 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401(k)-plan due to COVID-19. For our employees in Australia and New Zealand, we offer superannuation plans in line with the requirements as they pertain to each government.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adopted a Code of Business Conduct and Ethics (the “Code of Conduct”) designed to help our Directors and employees resolve ethical issues. Our Code of Conduct applies to all Directors and employees and is posted on our website. Our Board has established a means for employees to report a violation or suspected violation of the Code of Conduct anonymously. 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 Each of our subsidiaries which has employees has adopted an Anti-</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Discrimination, Anti-Harassment and Anti-Bullying Policy, which likewise includes a process by which employees may anonymously disclose conduct which they believe to be in violation of such policy. We are firm supporters of equal rights and diversity. A copy of our corporate Anti-Discrimination, Anti-Harassment and Anti-Bullying Policy is also posted on our website.</w:t>
      </w:r>
    </w:p>
    <w:p>
      <w:pPr>
        <w:pStyle w:val="TextBody"/>
        <w:bidi w:val="0"/>
        <w:spacing w:lineRule="auto" w:line="259"/>
        <w:jc w:val="left"/>
        <w:rPr>
          <w:rFonts w:ascii="Times New Roman;serif" w:hAnsi="Times New Roman;serif"/>
          <w:sz w:val="20"/>
        </w:rPr>
      </w:pPr>
      <w:r>
        <w:rPr>
          <w:rFonts w:ascii="Times New Roman;serif" w:hAnsi="Times New Roman;serif"/>
          <w:b/>
          <w:i/>
          <w:sz w:val="20"/>
        </w:rPr>
        <w:t>Our Green Initiatives.</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strive to do our part in the fight against climate change. </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United States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U.S. theaters we are exploring options to transition to paper straws and bamboo biodegradable cutlery in the immediate future. We provide recycling bins and eco-friendly popcorn bags and to go containers at all our theaters. And, as we continue to recover from the pandemic our capex and maintenance budgets have been limited, but we have continued our energy enhancements programs, including the installation of (i) LED fixtures/bulbs to lower KWH usage and reduce our energy consumption across all the existing theatres (ii) budgeting and planning to continue modernizing our energy management systems, to efficiently control the current HVAC systems, and (iii) selective replacement HVAC package units, as warranted to improve our carbon footprint. </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Australia and New Zealand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our theaters in Australia and New Zealand, we have fully transitioned to (i) using commercially compostable bamboo takeaway cutlery nationally, (ii) using commercially compostable paper straws, and (iii) using commercially compostable soft drink cold cups, coffee cups, popcorn boxes, takeaway pizza boxes and takeaway clamshell hot food boxes. Further development will result in the compostable range meeting the household compostable standard by the end of 2024. Additional environmental initiatives include (i) the transition of all lighting from halogen to LED, (ii) a paperless objective including the new AWS (cloud) storage, and (iii) the purchase of laser projectors with significant operational energy savings and the removal of xenon bulb purchasing and disposal needs. Film delivery has moved from physical DCP delivery to e-delivery, reducing our weekly carbon footprint. In addition, new BMS and HVAC innovations are allowing us to structure our energy consumption, as solely dictated by film programming.</w:t>
      </w:r>
    </w:p>
    <w:p>
      <w:pPr>
        <w:pStyle w:val="TextBody"/>
        <w:bidi w:val="0"/>
        <w:spacing w:lineRule="auto" w:line="259" w:before="0" w:after="200"/>
        <w:jc w:val="both"/>
        <w:rPr>
          <w:rFonts w:ascii="Times New Roman;serif" w:hAnsi="Times New Roman;serif"/>
          <w:sz w:val="20"/>
        </w:rPr>
      </w:pPr>
      <w:r>
        <w:rPr>
          <w:rFonts w:ascii="Times New Roman;serif" w:hAnsi="Times New Roman;serif"/>
          <w:b/>
          <w:i/>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annual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beliefs regarding the appeal of the Courtenay Central site and the neighboring areas in Wellington; our expectations regarding our ability to enter into an extension agreement with Audible on terms acceptable to us; our expectations regarding the impact of streaming and mobile video services on the cinema exhibition industry; our belief regarding the attractiveness of 44 Union Square to potential tenants and ability to lease space on acceptable terms; our expectations regarding the timing of the completions our renovation projects, our expectations regarding credit facility covenant compliance and our ability to continue to obtain necessary covenant waivers; and our expectations of our liquidity and capital requirements and the allocation of funds.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reduced consumer demand due to inflationary pressures;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adverse continuing impact of external events of past pandemic and strikes, on our cinema operations, liquidity, cash flows, financial condition, and access to credit markets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decrease in attendance at our cinemas and theatres due to (i) increased ticket prices (ii) a change in consumer behavior in favor of alternative forms or mediums of entertainment, and (iii) limited availability of wide release content;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reduction in operating margins (or negative operating margins) due to (i) decreased attendance, (ii) limited availability of wide release content, and (iii.) increased operating expenses;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unwillingness of employees to report to work due to illness or diseases or to otherwise conduct work under any revised work environment protocols;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uncertainty as to the scope and extent of government responses to future outbreak of infectious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films on alternative channels, (ii) disruptions of film production, or (iii.) rescheduling of movie releases into later periods, as most currently experienced due to the implications of the Hollywood Strikes;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amount of money allocated and spent by film distributors to promote their motion pictures;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1080" w:right="0" w:hanging="0"/>
        <w:jc w:val="left"/>
        <w:rPr>
          <w:caps w:val="false"/>
          <w:smallCaps w:val="false"/>
        </w:rPr>
      </w:pPr>
      <w:r>
        <w:rPr>
          <w:caps w:val="false"/>
          <w:smallCaps w:val="false"/>
        </w:rPr>
        <w:t>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as certain of our operations are in geologically active areas;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protests, demonstrations, and civil unrest on, among other things, government policy, consumer willingness to go to the movies, and</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 costly labor laws and regulations applicable to part time non-exempt workers.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on tenants from inflationary</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pressures;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2024 and beyond, and the impact of increasing interest rates;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that we experienced during the COVID-19 pandemic;</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1080" w:right="0" w:hanging="0"/>
        <w:jc w:val="left"/>
        <w:rPr>
          <w:caps w:val="false"/>
          <w:smallCaps w:val="false"/>
        </w:rPr>
      </w:pPr>
      <w:r>
        <w:rPr>
          <w:caps w:val="false"/>
          <w:smallCaps w:val="false"/>
        </w:rPr>
        <w:t>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changes in applicable accounting policies and practices;</w:t>
      </w:r>
    </w:p>
    <w:p>
      <w:pPr>
        <w:pStyle w:val="TextBody"/>
        <w:bidi w:val="0"/>
        <w:spacing w:lineRule="auto" w:line="259"/>
        <w:ind w:left="1080" w:right="0" w:hanging="360"/>
        <w:jc w:val="left"/>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in Israel and the threats of potential conflicts in the Asia-Pacific region.</w:t>
      </w:r>
    </w:p>
    <w:p>
      <w:pPr>
        <w:pStyle w:val="TextBody"/>
        <w:bidi w:val="0"/>
        <w:spacing w:lineRule="auto" w:line="259"/>
        <w:ind w:left="108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annual report are based only on information currently available to us and are current only as of the date of this 2023 Annual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certain of the presentations included in this annual report may contain “non-GAAP financial measures.” In such case, a reconciliation of this information to our GAAP financial statements will be made available in connection with such statements.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1A – Risk Fa</w:t>
      </w:r>
      <w:bookmarkStart w:id="13" w:name="Part1Item1A"/>
      <w:bookmarkEnd w:id="13"/>
      <w:r>
        <w:rPr>
          <w:rFonts w:ascii="Times New Roman;serif" w:hAnsi="Times New Roman;serif"/>
          <w:b/>
          <w:i w:val="false"/>
          <w:caps w:val="false"/>
          <w:smallCaps w:val="false"/>
          <w:sz w:val="24"/>
          <w:u w:val="single"/>
        </w:rPr>
        <w:t>ctors</w:t>
      </w:r>
      <w:r>
        <w:rPr>
          <w:rFonts w:ascii="Times New Roman;serif" w:hAnsi="Times New Roman;serif"/>
          <w:caps w:val="false"/>
          <w:smallCaps w:val="false"/>
          <w:sz w:val="24"/>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RISK FACTORS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 and Live Theatre Business Risk Factors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cinema and live theatre businesses are dependent upon attendance, the availability of attractive entertainment product and employees willing to work in a public environment and, accordingly, are vulnerable to the adverse effects of any future pandemics which may result in government ordered closures, imposition of social distancing requirements, and changes in film release patterns. </w:t>
      </w:r>
      <w:r>
        <w:rPr>
          <w:rFonts w:ascii="Times New Roman;serif" w:hAnsi="Times New Roman;serif"/>
          <w:b w:val="false"/>
          <w:i w:val="false"/>
          <w:caps w:val="false"/>
          <w:smallCaps w:val="false"/>
          <w:sz w:val="20"/>
        </w:rPr>
        <w:t>As demonstrated by the governmental and public response to the COVID-19 pandemic, businesses that bring large numbers of unrelated people together in an enclosed environment are particularly vulnerable to business disruption in the face of contagious diseases with life threatening potential. Not only may government authorities order closures or reduce operating capacities, but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are dependent upon third parties to supply the entertainment product we need for our cinemas and live theatres to attract customers. </w:t>
      </w:r>
      <w:r>
        <w:rPr>
          <w:rFonts w:ascii="Times New Roman;serif" w:hAnsi="Times New Roman;serif"/>
          <w:b w:val="false"/>
          <w:i w:val="false"/>
          <w:caps w:val="false"/>
          <w:smallCaps w:val="false"/>
          <w:sz w:val="20"/>
        </w:rPr>
        <w:t>We do not produce the films we show at our cinemas and, generally speaking, we do not produce the plays that are performed at our live theatres. Film distributors have no obligation to supply us with film and producers have no obligation to make use of our live theatres. Any disruption in the production of these films (including by reason of a strike) could hurt our business and results of operations. The Hollywood Strikes in 2023 halted production of films for several months, and are expected to delay or otherwise affect the supply of certain films. The disruption in film production may also cause delays for currently scheduled film release dates. It is difficult to anticipate the scope and timing of such delays. It is difficult to predict the full extent of the adverse impact of the strikes on our business and results of operations in future reporting periods.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face competition from other sources of entertainment and other entertainment delivery systems. </w:t>
      </w:r>
      <w:r>
        <w:rPr>
          <w:rFonts w:ascii="Times New Roman;serif" w:hAnsi="Times New Roman;serif"/>
          <w:b w:val="false"/>
          <w:i w:val="false"/>
          <w:caps w:val="false"/>
          <w:smallCaps w:val="false"/>
          <w:sz w:val="20"/>
        </w:rPr>
        <w:t xml:space="preserve">Both our cinema and live theatre operations face competition from “in-home” and mobile device sources of entertainment. These include competition from network, cable and satellite television, and Video on Demand, internet streaming video services such as Netflix, Hulu, Disney+, HBO Max, Peacock, and Amazon Prime, and social media or user generated internet programing such as, YouTube, TikTok, Reddit, Instagram, and Snapchat, video games and other sources of entertainment. The quality of “in-home” and mobile entertainment systems, as well as programming available on an in-home and mobile basis, has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products is made available to “in-home” or mobile forms of distribution. During the COVID-19 pandemic, many distributors moved product onto their proprietary streaming service platforms or onto third party platforms (like Netflix) either in lieu of or simultaneously with a cinema release. Even before the recent pandemic, some traditional in-home and mobile distributors had begun to produce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face competition from various other forms of “beyond-the-home” entertainment, including sporting events, concerts, restaurants, casinos, video game arcades, and nightclubs. Our cinemas also face competition from live theatres and vice versa.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Supply chain disruptions may negatively impact our operating results. </w:t>
      </w:r>
      <w:r>
        <w:rPr>
          <w:rFonts w:ascii="Times New Roman;serif" w:hAnsi="Times New Roman;serif"/>
          <w:b w:val="false"/>
          <w:i w:val="false"/>
          <w:caps w:val="false"/>
          <w:smallCaps w:val="false"/>
          <w:sz w:val="20"/>
        </w:rPr>
        <w:t xml:space="preserve">We rely on certain suppliers for a number of our products, supplies and services. Shortages, delays, or interruptions in the availability of food and beverage items and other supplies to our theatres and restaurants may be caused by adverse weather conditions; natural disasters; governmental regulation; recalls; commodity availability; seasonality; public health crises or pandemics; labor issues or other operational disruptions; the inability of our suppliers to manage adverse business conditions, obtain credit or remain solvent; or other conditions beyond our control. Such shortages, delays or interruptions could adversely affect the availability, quality, and cost of the items we buy and the operations of our business. Supply chain risk could increase our costs and limit the availability of products that are critical to our operations. We expect these issues to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continue for the foreseeable future and plan to minimize the impact by focusing on the supply of those items with the greatest impact on our sales and operations.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operate in a highly competitive environment with many competitors who are significantly larger and may have significantly better access to films and to funds than we do. </w:t>
      </w:r>
      <w:r>
        <w:rPr>
          <w:rFonts w:ascii="Times New Roman;serif" w:hAnsi="Times New Roman;serif"/>
          <w:b w:val="false"/>
          <w:i w:val="false"/>
          <w:caps w:val="false"/>
          <w:smallCaps w:val="false"/>
          <w:sz w:val="20"/>
        </w:rPr>
        <w:t>We are a comparatively small cinema operator and face competition from much larger exhibitors who are able to offer distributors more screens in more markets – including markets where they may be the exclusive exhibitor – than can we. This may adversely impact our access to films, which may adversely affect our revenue and 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 Access to reasonably priced funding is increasingly important as cinema operators need to upgrade their presentation and food and beverage in order to compete with in-home entertainment options.</w:t>
      </w:r>
      <w:r>
        <w:rPr>
          <w:rFonts w:ascii="Times New Roman;serif" w:hAnsi="Times New Roman;serif"/>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case of our live theatres, we compete for shows not only with other “for-profit” Off-Broadway theatres, but also with “not-for-profit” operators and, increasingly, with Broadway theatres. We believe our live theatres are generally competitive with other Off-Broadway venues. However, due to the increased cost of staging live theatre productions, we are seeing an increasing tendency for plays that would historically have been staged in an Off-Broadway theatre moving directly to larger Broadway venues.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We are vulnerable to a variety of factors which are beyond our control.</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 xml:space="preserve">Our cinema and live theatre businesses may be vulnerable to fears of terrorism and random shooter incidents which could cause customers to avoid public assembly venues. </w:t>
      </w:r>
      <w:r>
        <w:rPr>
          <w:rFonts w:ascii="Times New Roman;serif" w:hAnsi="Times New Roman;serif"/>
          <w:b w:val="false"/>
          <w:i w:val="false"/>
          <w:caps w:val="false"/>
          <w:smallCaps w:val="false"/>
          <w:sz w:val="20"/>
        </w:rPr>
        <w:t>Events, such as terrorist attacks and random shooter incidents may discourage patrons from attending our cinemas. We believe that recent shooting incidents have resulted in material increases in insurance premiums for cinema operators.</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 xml:space="preserve">Our cinema business may be vulnerable to natural disasters. </w:t>
      </w:r>
      <w:r>
        <w:rPr>
          <w:rFonts w:ascii="Times New Roman;serif" w:hAnsi="Times New Roman;serif"/>
          <w:b w:val="false"/>
          <w:i w:val="false"/>
          <w:caps w:val="false"/>
          <w:smallCaps w:val="false"/>
          <w:sz w:val="20"/>
        </w:rPr>
        <w:t>Natural disasters, such as tropical storms, floods, fires, and earthquakes, have damaged and forced the temporary closure, and are likely in the future to similarly impact our cinema operations. A material portion of our cinemas are located in seismically active areas, such as California, Hawaii and New Zealand.</w:t>
      </w:r>
    </w:p>
    <w:p>
      <w:pPr>
        <w:pStyle w:val="TextBody"/>
        <w:bidi w:val="0"/>
        <w:spacing w:lineRule="auto" w:line="259"/>
        <w:ind w:left="720" w:right="0" w:hanging="360"/>
        <w:jc w:val="left"/>
        <w:rPr/>
      </w:pPr>
      <w:r>
        <w:rPr>
          <w:caps w:val="false"/>
          <w:smallCaps w:val="false"/>
        </w:rPr>
        <w:t></w:t>
      </w:r>
      <w:r>
        <w:rPr>
          <w:rFonts w:ascii="Times New Roman;serif" w:hAnsi="Times New Roman;serif"/>
          <w:b/>
          <w:i/>
          <w:sz w:val="20"/>
        </w:rPr>
        <w:t xml:space="preserve">We may be more subject to general economic conditions than some other businesses. </w:t>
      </w:r>
      <w:r>
        <w:rPr>
          <w:rFonts w:ascii="Times New Roman;serif" w:hAnsi="Times New Roman;serif"/>
          <w:b w:val="false"/>
          <w:i w:val="false"/>
          <w:caps w:val="false"/>
          <w:smallCaps w:val="false"/>
          <w:sz w:val="20"/>
        </w:rPr>
        <w:t>Going to a movie or a play is a luxury, not a necessity. Furthermore, consumer demand for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high-net-worth individuals (or groups of such individuals) and that are very risky due to the absence of any ability to recoup investment in secondary markets like – cable, satellite or internet distribution.</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i/>
          <w:sz w:val="20"/>
        </w:rPr>
        <w:t xml:space="preserve">We face competition from competitors offering food and beverage and luxury seating as an integral part of their cinema offerings. </w:t>
      </w:r>
      <w:r>
        <w:rPr>
          <w:rFonts w:ascii="Times New Roman;serif" w:hAnsi="Times New Roman;serif"/>
          <w:b w:val="false"/>
          <w:i w:val="false"/>
          <w:caps w:val="false"/>
          <w:smallCaps w:val="false"/>
          <w:sz w:val="20"/>
        </w:rPr>
        <w:t>The number of our competitors offering expanded food and beverage menus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pStyle w:val="TextBody"/>
        <w:bidi w:val="0"/>
        <w:spacing w:lineRule="auto" w:line="259"/>
        <w:jc w:val="left"/>
        <w:rPr>
          <w:rFonts w:ascii="Times New Roman;serif" w:hAnsi="Times New Roman;serif"/>
          <w:sz w:val="20"/>
        </w:rPr>
      </w:pPr>
      <w:r>
        <w:rPr>
          <w:rFonts w:ascii="Times New Roman;serif" w:hAnsi="Times New Roman;serif"/>
          <w:b/>
          <w:i/>
          <w:color w:val="000000"/>
          <w:sz w:val="20"/>
          <w:shd w:fill="FFFFFF" w:val="clear"/>
        </w:rPr>
        <w:t xml:space="preserve">Our failure to obtain and maintain liquor licenses at any of our cinemas could adversely affect our ability to compete. </w:t>
      </w:r>
      <w:r>
        <w:rPr>
          <w:rFonts w:ascii="Times New Roman;serif" w:hAnsi="Times New Roman;serif"/>
          <w:b w:val="false"/>
          <w:i w:val="false"/>
          <w:caps w:val="false"/>
          <w:smallCaps w:val="false"/>
          <w:color w:val="000000"/>
          <w:sz w:val="20"/>
          <w:shd w:fill="FFFFFF" w:val="clear"/>
        </w:rPr>
        <w:t>Each of our cinemas offering alcoholic beverages, is subject to licensing and regulation.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may be subject to increased labor and benefits costs generally. </w:t>
      </w:r>
      <w:r>
        <w:rPr>
          <w:rFonts w:ascii="Times New Roman;serif" w:hAnsi="Times New Roman;serif"/>
          <w:b w:val="false"/>
          <w:i w:val="false"/>
          <w:caps w:val="false"/>
          <w:smallCaps w:val="false"/>
          <w:sz w:val="20"/>
        </w:rPr>
        <w:t xml:space="preserve">We are subject to inflationary pressures which have resulted in increased costs of goods and increased cost of film. Our labor costs more as post COVID-19 worker shortages continue, particularly in the minimum wage sector where we operate. In venues that have alcohol licenses, there are higher labor, inventory, and insurance costs. Our cinemas are a major user of electricity, and utility costs are also rising. Given competitive pressures and other forces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adversely impacting movie attendances, it may not be possible to pass all or any material portion of these increased costs on to consumers. In addition, we are subject to a variety of changing laws governing such matters as minimum wages, access to benefits and paid or unpaid leave, working conditions and overtime under which minor violations can result in material liabilities. In California and New York, in particular, law firms have developed which advertise for plaintiffs and bring such cases on a class action, contingent fee basis, where typically between 25% and 40% of any recovery goes to the law firm. Moreover, given the statutory basis of such claims, insurance is not available to cover such exposure. In recent periods, legislatures have been actively increasing minimum wages, mandating minimum hours or imposing notice and leave provisions that make it increasingly difficult to adjust staffing levels to accommodate fluctuating cinema attendance levels, all of which have resulted in increased operating costs as we work to maintain a high level of amenity to our customers.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 Development and Ownership Business Risks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Specific Risks Related to Our Real Estate Business.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real estate business suffered effects from the coronavirus outbreak from which it has not fully recovered. </w:t>
      </w:r>
      <w:r>
        <w:rPr>
          <w:rFonts w:ascii="Times New Roman;serif" w:hAnsi="Times New Roman;serif"/>
          <w:b w:val="false"/>
          <w:i w:val="false"/>
          <w:caps w:val="false"/>
          <w:smallCaps w:val="false"/>
          <w:sz w:val="20"/>
        </w:rPr>
        <w:t xml:space="preserve">The COVID-19 pandemic resulted in the closure or reduced capacity of certain of our retail tenants. All of our ETCs are anchored by our cinemas, which suffered temporary closures and/or reductions in seating capacities during the COVID-19 Pandemic, thereby reducing foot traffic to our ETCs. In some cases, we have been compelled to provide our tenants with rent abatements or deferrals and some tenants continue to be impacted.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Competition from the Digital Economy may adversely impact our ability to lease and obtain reasonable rents for our properties. </w:t>
      </w:r>
      <w:r>
        <w:rPr>
          <w:rFonts w:ascii="Times New Roman;serif" w:hAnsi="Times New Roman;serif"/>
          <w:b w:val="false"/>
          <w:i w:val="false"/>
          <w:caps w:val="false"/>
          <w:smallCaps w:val="false"/>
          <w:sz w:val="20"/>
        </w:rPr>
        <w:t>An increasing amount of shopping is being done online, a trend that has been given momentum by the stay-at-home admonitions and restrictions associated with our previous battle against the COVID virus.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Many of our Properties are located in areas prone to natural disasters. </w:t>
      </w:r>
      <w:r>
        <w:rPr>
          <w:rFonts w:ascii="Times New Roman;serif" w:hAnsi="Times New Roman;serif"/>
          <w:b w:val="false"/>
          <w:i w:val="false"/>
          <w:caps w:val="false"/>
          <w:smallCaps w:val="false"/>
          <w:sz w:val="20"/>
        </w:rPr>
        <w:t xml:space="preserve">Many of our properties are located in areas subject to a risk of fires such as California and Australia; of hurricanes, tropical storms and/or flooding, such as Australia, California, Hawaii and New York, New Jersey; or earthquakes in New Zealand, Hawaii and California. The availability of insurance for natural disasters (particularly earthquake) may be limited.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entertainment properties may be more subject to access litigation than other properties. </w:t>
      </w:r>
      <w:r>
        <w:rPr>
          <w:rFonts w:ascii="Times New Roman;serif" w:hAnsi="Times New Roman;serif"/>
          <w:b w:val="false"/>
          <w:i w:val="false"/>
          <w:caps w:val="false"/>
          <w:smallCaps w:val="false"/>
          <w:sz w:val="20"/>
        </w:rPr>
        <w:t>Substantially all our properties consist of, or include as a material component, entertainment venues. These facilities may attract more access-based litigation (for example, claims under the Americans with Disabilities Act) than other types of real estate.</w:t>
      </w:r>
    </w:p>
    <w:p>
      <w:pPr>
        <w:pStyle w:val="TextBody"/>
        <w:bidi w:val="0"/>
        <w:spacing w:lineRule="auto" w:line="259"/>
        <w:jc w:val="left"/>
        <w:rPr>
          <w:rFonts w:ascii="Times New Roman;serif" w:hAnsi="Times New Roman;serif"/>
          <w:sz w:val="20"/>
        </w:rPr>
      </w:pPr>
      <w:bookmarkStart w:id="14" w:name="_Hlk31656221"/>
      <w:bookmarkEnd w:id="14"/>
      <w:r>
        <w:rPr>
          <w:rFonts w:ascii="Times New Roman;serif" w:hAnsi="Times New Roman;serif"/>
          <w:b/>
          <w:i/>
          <w:sz w:val="20"/>
        </w:rPr>
        <w:t xml:space="preserve">We operate in a highly competitive environment in which we must compete against companies with much greater financial and human resources than we have. </w:t>
      </w:r>
      <w:r>
        <w:rPr>
          <w:rFonts w:ascii="Times New Roman;serif" w:hAnsi="Times New Roman;serif"/>
          <w:b w:val="false"/>
          <w:i w:val="false"/>
          <w:caps w:val="false"/>
          <w:smallCaps w:val="false"/>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the Real Estate Industry Generally</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Our financial performance will be affected by risks associated with the real estate industry generally. </w:t>
      </w:r>
      <w:r>
        <w:rPr>
          <w:rFonts w:ascii="Times New Roman;serif" w:hAnsi="Times New Roman;serif"/>
          <w:b w:val="false"/>
          <w:i w:val="false"/>
          <w:caps w:val="false"/>
          <w:smallCaps w:val="false"/>
          <w:sz w:val="20"/>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sz w:val="20"/>
        </w:rPr>
        <w:t>Risk of Reliance on Appraisals</w:t>
      </w:r>
      <w:r>
        <w:rPr>
          <w:rFonts w:ascii="Times New Roman;serif" w:hAnsi="Times New Roman;serif"/>
          <w:b/>
          <w:i w:val="false"/>
          <w:caps w:val="false"/>
          <w:smallCaps w:val="false"/>
          <w:sz w:val="20"/>
        </w:rPr>
        <w:t xml:space="preserve">. </w:t>
      </w:r>
      <w:r>
        <w:rPr>
          <w:rFonts w:ascii="Times New Roman;serif" w:hAnsi="Times New Roman;serif"/>
          <w:b w:val="false"/>
          <w:i w:val="false"/>
          <w:caps w:val="false"/>
          <w:smallCaps w:val="false"/>
          <w:sz w:val="20"/>
        </w:rPr>
        <w:t>In our business planning and forecasts we rely on independent third-party appraisals as to the value of our real estate holdings. Such appraisals are inherently subjective, and a reasonable appraiser can reach significantly different views as to fair market value of a given parcel of real property. Valuations of historic railroad properties can be impacted by uncertainties as to title and property line boundaries. Accordingly, no assurances can be given that the fair market value assigned to a parcel of real property can be achieved in the open market. Further, USPAP methodology is inherently backwards looking and, as a result, can overstate value in times of declining real estate values and understate value in raising markets.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Illiquidity of real estate investments could impede our ability to respond to adverse changes in the performance of our properties. </w:t>
      </w:r>
      <w:r>
        <w:rPr>
          <w:rFonts w:ascii="Times New Roman;serif" w:hAnsi="Times New Roman;serif"/>
          <w:b w:val="false"/>
          <w:i w:val="false"/>
          <w:caps w:val="false"/>
          <w:smallCaps w:val="false"/>
          <w:sz w:val="20"/>
        </w:rPr>
        <w:t>Real estate investments can be relatively illiquid and, therefore, tend to limit our ability to vary our portfolio promptly in response to changes in economic or other conditions. Many of our properties are either “special purpose” properties that could not be readily 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Real estate development involves a variety of risks.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development involves a variety of risks,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identification and acquisition of suitable development properties</w:t>
      </w:r>
      <w:r>
        <w:rPr>
          <w:rFonts w:ascii="Times New Roman;serif" w:hAnsi="Times New Roman;serif"/>
          <w:b w:val="false"/>
          <w:i w:val="false"/>
          <w:caps w:val="false"/>
          <w:smallCaps w:val="false"/>
          <w:sz w:val="20"/>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procurement of necessary land use entitlements for the project</w:t>
      </w:r>
      <w:r>
        <w:rPr>
          <w:rFonts w:ascii="Times New Roman;serif" w:hAnsi="Times New Roman;serif"/>
          <w:b w:val="false"/>
          <w:i w:val="false"/>
          <w:caps w:val="false"/>
          <w:smallCaps w:val="false"/>
          <w:sz w:val="20"/>
        </w:rPr>
        <w:t xml:space="preserve">.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construction of the project on time and on budget</w:t>
      </w:r>
      <w:r>
        <w:rPr>
          <w:rFonts w:ascii="Times New Roman;serif" w:hAnsi="Times New Roman;serif"/>
          <w:b w:val="false"/>
          <w:i w:val="false"/>
          <w:caps w:val="false"/>
          <w:smallCaps w:val="false"/>
          <w:sz w:val="20"/>
        </w:rPr>
        <w:t>. Construction risks include the availability and cost 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leasing or sell-out of the project</w:t>
      </w:r>
      <w:r>
        <w:rPr>
          <w:rFonts w:ascii="Times New Roman;serif" w:hAnsi="Times New Roman;serif"/>
          <w:b w:val="false"/>
          <w:i w:val="false"/>
          <w:caps w:val="false"/>
          <w:smallCaps w:val="false"/>
          <w:sz w:val="20"/>
        </w:rPr>
        <w:t>. Ultimately, there are risks involved in the leasing of a rental property or the sale of a condominium or built-for-sale property. For our ETCs, the extent to which our cinemas can continue to serve as anchor tenants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The refinancing of completed properties</w:t>
      </w:r>
      <w:r>
        <w:rPr>
          <w:rFonts w:ascii="Times New Roman;serif" w:hAnsi="Times New Roman;serif"/>
          <w:b w:val="false"/>
          <w:i w:val="false"/>
          <w:caps w:val="false"/>
          <w:smallCaps w:val="false"/>
          <w:sz w:val="20"/>
        </w:rPr>
        <w:t xml:space="preserve">.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Recent increases in lending interest rates and potential tightening of lending given the recent bank crisis may make more difficult refinancing debt or obtaining new debt. </w:t>
      </w:r>
    </w:p>
    <w:p>
      <w:pPr>
        <w:pStyle w:val="TextBody"/>
        <w:bidi w:val="0"/>
        <w:spacing w:lineRule="auto" w:line="259"/>
        <w:ind w:left="446" w:right="0" w:hanging="0"/>
        <w:jc w:val="left"/>
        <w:rPr>
          <w:rFonts w:ascii="Times New Roman;serif" w:hAnsi="Times New Roman;serif"/>
          <w:sz w:val="20"/>
        </w:rPr>
      </w:pPr>
      <w:r>
        <w:rPr>
          <w:rFonts w:ascii="Times New Roman;serif" w:hAnsi="Times New Roman;serif"/>
          <w:b/>
          <w:i/>
          <w:sz w:val="20"/>
        </w:rPr>
        <w:t xml:space="preserve">The ownership of properties involves risk. </w:t>
      </w:r>
      <w:r>
        <w:rPr>
          <w:rFonts w:ascii="Times New Roman;serif" w:hAnsi="Times New Roman;serif"/>
          <w:b w:val="false"/>
          <w:i w:val="false"/>
          <w:caps w:val="false"/>
          <w:smallCaps w:val="false"/>
          <w:sz w:val="20"/>
        </w:rPr>
        <w:t xml:space="preserve">The ownership of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may be subject to liability under environmental laws and regulations. </w:t>
      </w:r>
      <w:r>
        <w:rPr>
          <w:rFonts w:ascii="Times New Roman;serif" w:hAnsi="Times New Roman;serif"/>
          <w:b w:val="false"/>
          <w:i w:val="false"/>
          <w:caps w:val="false"/>
          <w:smallCaps w:val="false"/>
          <w:sz w:val="20"/>
        </w:rPr>
        <w:t xml:space="preserve">We own and operate cinemas and other 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materials or wastes. Certain of these laws and regulations may impose liability, including on a joint and several liability, which can result in a liable party being obliged to pay for greater than its share, regardless of fault or the legality of the original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disposal. Environmental conditions relating to our properties or operations could have an adverse effect on our business and results of operations and cash flows.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Legislative or regulatory initiatives related to global warming/climate change concerns may negatively impact our business. </w:t>
      </w:r>
      <w:r>
        <w:rPr>
          <w:rFonts w:ascii="Times New Roman;serif" w:hAnsi="Times New Roman;serif"/>
          <w:b w:val="false"/>
          <w:i w:val="false"/>
          <w:caps w:val="false"/>
          <w:smallCaps w:val="false"/>
          <w:sz w:val="20"/>
        </w:rPr>
        <w:t xml:space="preserve">Recently, 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Changes in interest rates may increase our interest expense. </w:t>
      </w:r>
      <w:r>
        <w:rPr>
          <w:rFonts w:ascii="Times New Roman;serif" w:hAnsi="Times New Roman;serif"/>
          <w:b w:val="false"/>
          <w:i w:val="false"/>
          <w:caps w:val="false"/>
          <w:smallCaps w:val="false"/>
          <w:sz w:val="20"/>
        </w:rPr>
        <w:t>Because a portion of our debt bears interest at variable rates, increases in interest rates could materially increase our interest expense. While much of our debt is fixed rate, approximately $174.6 million of our current debt will mature over the next twenty-four months and will require refinancing. We anticipate that we will not be able to refinance such maturing debt at current interest rates. Based on our debt outstanding as of December 31, 2023, if interest rates were to increase by 1%, the corresponding increase in interest expense on our variable rate debt would decrease future earnings and cash flows by approximately $1.6 million per year. Potential future increases in interest rates may therefore negatively affect our financial condition and results of operations and reduce our access to the debt or equity capital markets.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International Business Risks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 transacts business in Australia and New Zealand and is subject to risks associated with changing foreign currency exchange rates. During year 2023, the Australian dollar and New Zealand dollar weakened against the U.S. dollar by 4.3% and 3.3%, respectively, compared to the prior year. Our international operations are subject to a variety of risks,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Currency Risk</w:t>
      </w:r>
      <w:r>
        <w:rPr>
          <w:rFonts w:ascii="Times New Roman;serif" w:hAnsi="Times New Roman;serif"/>
          <w:b w:val="false"/>
          <w:i w:val="false"/>
          <w:caps w:val="false"/>
          <w:smallCaps w:val="false"/>
          <w:sz w:val="20"/>
        </w:rPr>
        <w:t>: 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caps w:val="false"/>
          <w:smallCaps w:val="false"/>
        </w:rPr>
      </w:pPr>
      <w:r>
        <w:rPr>
          <w:caps w:val="false"/>
          <w:smallCaps w:val="false"/>
        </w:rPr>
        <w:drawing>
          <wp:inline distT="0" distB="0" distL="0" distR="0">
            <wp:extent cx="6857365" cy="485711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7365" cy="4857115"/>
                    </a:xfrm>
                    <a:prstGeom prst="rect">
                      <a:avLst/>
                    </a:prstGeom>
                  </pic:spPr>
                </pic:pic>
              </a:graphicData>
            </a:graphic>
          </wp:inline>
        </w:drawing>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In recent periods, we have repaid intercompany debt and used the proceeds to fund capital investment in the United States. Accordingly, our debt levels in Australia are higher than they would have been if funds had not been returned for such purposes.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 </w:t>
      </w:r>
      <w:bookmarkStart w:id="15" w:name="_Hlk77580730"/>
      <w:bookmarkEnd w:id="15"/>
      <w:r>
        <w:rPr>
          <w:rFonts w:ascii="Times New Roman;serif" w:hAnsi="Times New Roman;serif"/>
          <w:b w:val="false"/>
          <w:i w:val="false"/>
          <w:caps w:val="false"/>
          <w:smallCaps w:val="false"/>
          <w:sz w:val="20"/>
        </w:rPr>
        <w:t xml:space="preserve">As the impacts of COVID on our business operations in Australia and New Zealand have been less severe than on our operations in the U.S., plus the impact of Hollywood Strikes on US operations, we have been looking to our operations in Australia and New Zealand to fund our overall corporate general and administrative expense (most of which is resident in the U.S.). The current strength of the U.S. Dollar has diminished the value to our Company of our Australia and New Zealand cash flow.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Risk of adverse government regulation</w:t>
      </w:r>
      <w:r>
        <w:rPr>
          <w:rFonts w:ascii="Times New Roman;serif" w:hAnsi="Times New Roman;serif"/>
          <w:b w:val="false"/>
          <w:i w:val="false"/>
          <w:caps w:val="false"/>
          <w:smallCaps w:val="false"/>
          <w:sz w:val="20"/>
        </w:rPr>
        <w:t xml:space="preserve">: currently, we believe that relations between the United States, Australia, and New Zealand are good. However, no assurances can be given that these relationships will continue, and that Australia and New Zealand will not in the future seek to regulate more highly the business done by U.S. companies in their countries.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sz w:val="20"/>
        </w:rPr>
        <w:t>Risk of adverse labor relations</w:t>
      </w:r>
      <w:r>
        <w:rPr>
          <w:rFonts w:ascii="Times New Roman;serif" w:hAnsi="Times New Roman;serif"/>
          <w:b w:val="false"/>
          <w:i w:val="false"/>
          <w:caps w:val="false"/>
          <w:smallCaps w:val="false"/>
          <w:sz w:val="20"/>
        </w:rPr>
        <w:t>: deterioration in labor relations could lead to an increased cost of labor (including the cost of future government requirements with respect to scheduling, accommodation, pension liabilities, disability insurance and health coverage, vacations and leave).</w:t>
      </w:r>
    </w:p>
    <w:p>
      <w:pPr>
        <w:pStyle w:val="TextBody"/>
        <w:bidi w:val="0"/>
        <w:spacing w:lineRule="auto" w:line="259"/>
        <w:ind w:left="720" w:right="0" w:hanging="0"/>
        <w:jc w:val="center"/>
        <w:rPr>
          <w:rFonts w:ascii="Times New Roman;serif" w:hAnsi="Times New Roman;serif"/>
          <w:sz w:val="20"/>
        </w:rPr>
      </w:pPr>
      <w:r>
        <w:rPr>
          <w:rFonts w:ascii="Times New Roman;serif" w:hAnsi="Times New Roman;serif"/>
          <w:b w:val="false"/>
          <w:i w:val="false"/>
          <w:caps w:val="false"/>
          <w:smallCaps w:val="false"/>
          <w:sz w:val="20"/>
        </w:rPr>
        <w:t>- 28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color w:val="000000"/>
          <w:sz w:val="20"/>
        </w:rPr>
        <w:t>Trade disputes and geopolitical instability outside of the U.S. may adversely impact the U.S. and global economies.</w:t>
      </w:r>
      <w:r>
        <w:rPr>
          <w:rFonts w:ascii="Times New Roman;serif" w:hAnsi="Times New Roman;serif"/>
          <w:caps w:val="false"/>
          <w:smallCaps w:val="false"/>
          <w:color w:val="000000"/>
          <w:sz w:val="20"/>
        </w:rPr>
        <w:t xml:space="preserve">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2023, global growth weakened, trade tensions heightened, and several emerging markets experienced significant downturns as macroeconomic 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Chinese activities relative to the South China Sea, Taiwan, and Hong Kong, and the Russian invasion of Ukraine continue to be an ongoing security concern and worsening relations between the U.S. and North Korea, Russia and China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Risks Associated with Certain Discontinued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subsidiaries were previously in industrial businesses. As a consequence, properties that are currently owned or may have in the past been owned by these subsidiaries may prove to have environmental issues. Where we have knowledge of such environmental issues and are able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Financial Structure and Borrowing Risk</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Typically, we have negative working capital. </w:t>
      </w:r>
      <w:r>
        <w:rPr>
          <w:rFonts w:ascii="Times New Roman;serif" w:hAnsi="Times New Roman;serif"/>
          <w:b w:val="false"/>
          <w:i w:val="false"/>
          <w:caps w:val="false"/>
          <w:smallCaps w:val="false"/>
          <w:sz w:val="20"/>
        </w:rPr>
        <w:t>As we invest our cash in new acquisitions and the development of our existing properties, we have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Our short-term liabilities also include significant obligations related to our cinema leases. See</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2 - Summary of Significant Accounting Policies – Operating Leases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sz w:val="20"/>
        </w:rPr>
      </w:pPr>
      <w:r>
        <w:rPr>
          <w:rFonts w:ascii="Times New Roman;serif" w:hAnsi="Times New Roman;serif"/>
          <w:b/>
          <w:i/>
          <w:sz w:val="20"/>
        </w:rPr>
        <w:t>We are subject to complex taxation, changes in tax rates, adoption of new U.S. or international tax legislation and disagreements with tax authorities that could adversely affect our business, financial condition, or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are subject to many different forms of taxation in both the U.S. and in foreign jurisdictions where we operate, such as the U.S. Tax Cuts and Jobs Act signed into law in December 2017. The new laws are still evolving and require that we interpret the provisions of the law as we work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have substantial short- to medium-term debt. </w:t>
      </w:r>
      <w:r>
        <w:rPr>
          <w:rFonts w:ascii="Times New Roman;serif" w:hAnsi="Times New Roman;serif"/>
          <w:b w:val="false"/>
          <w:i w:val="false"/>
          <w:caps w:val="false"/>
          <w:smallCaps w:val="false"/>
          <w:sz w:val="20"/>
        </w:rPr>
        <w:t xml:space="preserve">Generally speaking, we have historically financed our operations through relatively 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have substantial lease liabilities. </w:t>
      </w:r>
      <w:r>
        <w:rPr>
          <w:rFonts w:ascii="Times New Roman;serif" w:hAnsi="Times New Roman;serif"/>
          <w:b w:val="false"/>
          <w:i w:val="false"/>
          <w:caps w:val="false"/>
          <w:smallCaps w:val="false"/>
          <w:sz w:val="20"/>
        </w:rPr>
        <w:t>Most of our cinemas operate in leased facilities. These leases typically have “cost of living” or other rent adjustment features and require that we operate the properties as cinemas. The COVID-19 pandemic, increased competition from the internet, streaming and cable-based entertainment, and changes in film distribution have adversely affect the ability of our cinema operating subsidiaries to meet these rental obligations. Even if our cinema exhibition business returns to pre-Pandemic levels and thereafter remains relatively constant, cinema level cash flow will likely be adversely affected unless we can increase our revenue sufficiently to offset increases in our rental liabilities.</w:t>
      </w:r>
    </w:p>
    <w:p>
      <w:pPr>
        <w:pStyle w:val="TextBody"/>
        <w:bidi w:val="0"/>
        <w:spacing w:lineRule="auto" w:line="259"/>
        <w:jc w:val="left"/>
        <w:rPr>
          <w:rFonts w:ascii="Times New Roman;serif" w:hAnsi="Times New Roman;serif"/>
          <w:sz w:val="20"/>
        </w:rPr>
      </w:pPr>
      <w:r>
        <w:rPr>
          <w:rFonts w:ascii="Times New Roman;serif" w:hAnsi="Times New Roman;serif"/>
          <w:b/>
          <w:i/>
          <w:sz w:val="20"/>
        </w:rPr>
        <w:t>If our company suffers cybersecurity attacks, data security challenges or privacy incidents that result in security breaches, we could suffer a loss of sales, additional liability, reputational harm or other adverse consequences</w:t>
      </w:r>
      <w:r>
        <w:rPr>
          <w:rFonts w:ascii="Times New Roman;serif" w:hAnsi="Times New Roman;serif"/>
          <w:b w:val="false"/>
          <w:i w:val="false"/>
          <w:caps w:val="false"/>
          <w:smallCaps w:val="false"/>
          <w:sz w:val="20"/>
        </w:rPr>
        <w:t xml:space="preserve">. 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despite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upgrade information technology systems.  Since 2015, we have annually procured cybersecurity insurance to protect against cybersecurity risks; however, we cannot provide any assurance regarding the adequacy of such insurance coverage.</w:t>
      </w:r>
    </w:p>
    <w:p>
      <w:pPr>
        <w:pStyle w:val="TextBody"/>
        <w:bidi w:val="0"/>
        <w:spacing w:lineRule="auto" w:line="259"/>
        <w:jc w:val="left"/>
        <w:rPr>
          <w:rFonts w:ascii="Times New Roman;serif" w:hAnsi="Times New Roman;serif"/>
          <w:sz w:val="20"/>
        </w:rPr>
      </w:pPr>
      <w:r>
        <w:rPr>
          <w:rFonts w:ascii="Times New Roman;serif" w:hAnsi="Times New Roman;serif"/>
          <w:b/>
          <w:i/>
          <w:sz w:val="20"/>
        </w:rPr>
        <w:t>Our stock is thinly traded</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Our stock is thinly traded, with an average daily volume in 2023 of only approximately 30,231 shares of Class A Stock. Our Class B Stock is very thinly traded with even less volume. This can result in significant volatility, as demand by buyers and sellers can easily get out of balance.</w:t>
      </w:r>
    </w:p>
    <w:p>
      <w:pPr>
        <w:pStyle w:val="TextBody"/>
        <w:bidi w:val="0"/>
        <w:spacing w:lineRule="auto" w:line="259"/>
        <w:jc w:val="left"/>
        <w:rPr>
          <w:rFonts w:ascii="Times New Roman;serif" w:hAnsi="Times New Roman;serif"/>
          <w:sz w:val="20"/>
        </w:rPr>
      </w:pPr>
      <w:r>
        <w:rPr>
          <w:rFonts w:ascii="Times New Roman;serif" w:hAnsi="Times New Roman;serif"/>
          <w:b/>
          <w:i/>
          <w:sz w:val="20"/>
        </w:rPr>
        <w:t>Uninsured bank deposits may be at risk</w:t>
      </w:r>
      <w:r>
        <w:rPr>
          <w:rFonts w:ascii="Times New Roman;serif" w:hAnsi="Times New Roman;serif"/>
          <w:b/>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maintain cash in certain financial institution bank accounts in the United States, Australia, and New Zealand. In the United States, the Federal Deposit Insurance Corporation insures accounts in the amount of $250,000 per depositor, per insured bank, for each account ownership category. At certain of our financial institutions, we have more than $250,000 in deposit and those amounts may not be insured in the event of a bank failure.</w:t>
      </w:r>
    </w:p>
    <w:p>
      <w:pPr>
        <w:pStyle w:val="TextBody"/>
        <w:bidi w:val="0"/>
        <w:spacing w:lineRule="auto" w:line="259"/>
        <w:jc w:val="left"/>
        <w:rPr>
          <w:rFonts w:ascii="Times New Roman;serif" w:hAnsi="Times New Roman;serif"/>
          <w:b/>
          <w:i w:val="false"/>
          <w:caps w:val="false"/>
          <w:smallCaps w:val="false"/>
          <w:sz w:val="20"/>
        </w:rPr>
      </w:pPr>
      <w:bookmarkStart w:id="16" w:name="_Hlk94864866"/>
      <w:bookmarkEnd w:id="16"/>
      <w:r>
        <w:rPr>
          <w:rFonts w:ascii="Times New Roman;serif" w:hAnsi="Times New Roman;serif"/>
          <w:b/>
          <w:i w:val="false"/>
          <w:caps w:val="false"/>
          <w:smallCaps w:val="false"/>
          <w:sz w:val="20"/>
        </w:rPr>
        <w:t xml:space="preserve">Ownership and Management Structure, Corporate Governance, and Change of Control Risks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2023, according to a Schedule 13D/A filed on October 27, 2023 by Margaret Cotter (the Chair of our Board, Executive Vice President of our Company and sister of Ellen Cotter), Ellen Cotter (the Vice-Chair of our Board, President and Chief Executive Officer of our Company and sister of Margaret Cotter) and certain of their affiliates (the “Cotter Schedule 13D”), Margaret Cotter has sole voting control over 1,058,988 shares of Class B Stock and shared voting power with Ellen Cotter over 100,000 shares of Class B Stock, collectively representing 69% of the outstanding Class B stock of the Company.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have voting power over more than 2/3rds of the Class B Stock, Margaret Cotter will be able to unilaterally elect or remove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related party transactions, and the payment of dividends on common stock. Margaret Cotter will also have the unilateral power to prevent or cause a change in control and could take other actions that might be desirable to her and/or other members of her family, but not to other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have voting power over more than 2/3rds of the Class B Stock, Margaret will have the power to sell the control of our Company to a purchaser or purchasers of her choosing without any approval of our Company’s Board or any other stockholder. To the extent that the Margaret Cotter controls more than two-thirds of our outstanding Class B Stock, she will have the power under Nevada law at any time, with or without cause, to remove any one or more Directors (up to and including the entire Board of Directors) by written consent taken without a meeting of the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controlling stockholders may owe certain fiduciary duties to our Company and/or minority stockholders, these duties are limited. No assurances can be given that Margaret Cotter, alone or in conjunction with Ellen Cotter, will not take action that, while beneficial to her and members of her family (including Ellen Cotter) and legally enforceable, would not necessarily be in the best interests of our Company and/or our stockholders generally. Margaret Cotter holds her beneficial ownership of 409,552 shares of our Class B Stock ultimately as the trustee of the DMC Trust, under which she owes fiduciary duties to her children which may conflict with her obligations as a controlling stockholder of our Company.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is made to the Cotter Schedule 13D for more detail information of the scope and extent of the holdings of Margaret Cotter and Ellen Cotter. Our Class A Stock is non-voting and accordingly our Class B Stock represents all of the voting power of our Company.  </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are a “Controlled Company” under applicable NASDAQ Regulations. As permitted by those Regulations, our Board has elected to opt-out of certain corporate governance rules applicable to non-controlled companies. </w:t>
      </w:r>
      <w:r>
        <w:rPr>
          <w:rFonts w:ascii="Times New Roman;serif" w:hAnsi="Times New Roman;serif"/>
          <w:b w:val="false"/>
          <w:i w:val="false"/>
          <w:caps w:val="false"/>
          <w:smallCaps w:val="false"/>
          <w:sz w:val="20"/>
        </w:rPr>
        <w:t>Generally speaking, NASDAQ 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and the entirety of our Compensation Committee are nevertheless currently comprised of independent Directors. As a practical matter, subject to her fiduciary duties as a controlling stockholder, Margaret Cotter controls the composition of our Board of Directors.</w:t>
      </w:r>
    </w:p>
    <w:p>
      <w:pPr>
        <w:pStyle w:val="TextBody"/>
        <w:bidi w:val="0"/>
        <w:spacing w:lineRule="auto" w:line="259"/>
        <w:jc w:val="left"/>
        <w:rPr>
          <w:rFonts w:ascii="Times New Roman;serif" w:hAnsi="Times New Roman;serif"/>
          <w:sz w:val="20"/>
        </w:rPr>
      </w:pPr>
      <w:r>
        <w:rPr>
          <w:rFonts w:ascii="Times New Roman;serif" w:hAnsi="Times New Roman;serif"/>
          <w:b/>
          <w:i/>
          <w:sz w:val="20"/>
        </w:rPr>
        <w:t xml:space="preserve">We depend on key personnel for our current and future performance. </w:t>
      </w:r>
      <w:r>
        <w:rPr>
          <w:rFonts w:ascii="Times New Roman;serif" w:hAnsi="Times New Roman;serif"/>
          <w:b w:val="false"/>
          <w:i w:val="false"/>
          <w:caps w:val="false"/>
          <w:smallCaps w:val="false"/>
          <w:sz w:val="20"/>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 Recent action by the Securities Exchange Commission with respect to the claw back of executive bonuses under certain circumstances may, in our view, put us at a competitive disadvantage compared to private companies in recruiting talented executives.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1B – Unresolved Staff Com</w:t>
      </w:r>
      <w:bookmarkStart w:id="17" w:name="Part1Item1B"/>
      <w:bookmarkEnd w:id="17"/>
      <w:r>
        <w:rPr>
          <w:rFonts w:ascii="Times New Roman;serif" w:hAnsi="Times New Roman;serif"/>
          <w:b/>
          <w:i w:val="false"/>
          <w:caps w:val="false"/>
          <w:smallCaps w:val="false"/>
          <w:sz w:val="24"/>
          <w:u w:val="single"/>
        </w:rPr>
        <w:t>ments</w:t>
      </w:r>
    </w:p>
    <w:p>
      <w:pPr>
        <w:pStyle w:val="TextBody"/>
        <w:bidi w:val="0"/>
        <w:spacing w:lineRule="auto" w:line="259"/>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None.</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1C – Cybersecurity</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RISK MANAGEMENT AND STRATEGY</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implemented a cybersecurity program to address all levels of cybersecurity threats based on our determination of the risk level. Our program includes policies and procedures that dictate the method in which we develop, deploy, and maintain security measures and controls. We use a cybersecurity framework to select security controls to protect against identified risks. When designing the controls, we consider the severity of risk and its impact on the Company, including the cost of the control and the impact it may have on the Company operations. We use various combinations of controls and tools to mitigate the risk to the Company such as firewalls and intrusion devices, endpoint threat detection systems, multi-factor authentication systems, endpoint threat detection systems as well patch management to prevent exploitable vulnerabilities.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utilize third-party cybersecurity firms in various capacities to operate some of these controls, including remote monitoring, cloud-based platforms and services as well as on-premises services. For example, we use third parties to perform a variety of functions for the Company, including, but not limited to cybersecurity audits, targeted ransomware assessment and table-top exercises, internal penetration tests and other internal and external audits. These expert services enable us to leverage specialized knowledge and insights into our cybersecurity strategies and processes.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maintain a written incident response plan and carry out periodic tabletop exercises to improve incident response readiness. Employees undergo security awareness training when hired and periodically thereafter; the scope of this training is continually updated to address newly identified threats. We utilize a risk-based approach and analysis to determine the cybersecurity controls to implement, and hence, there is a possibility that these controls may not adequately address every risk if we do not identify or place a high enough risk factor on a given threat. We are at risk of zero-day attacks and other vulnerabilities that may have been placed at a very low risk. In addition, even well-designed and properly deployed controls may not fully eliminate a given risk.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CYBERSECURITY THREATS</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not had any cybersecurity incidents that we believe have materially affected or are likely to materially affect the Company.</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GOVERNANCE</w:t>
      </w:r>
      <w:r>
        <w:rPr>
          <w:rFonts w:ascii="Times New Roman;serif" w:hAnsi="Times New Roman;serif"/>
          <w:b w:val="false"/>
          <w:i w:val="false"/>
          <w:caps w:val="false"/>
          <w:smallCaps w:val="false"/>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Board Member Guy W. Adams serves as our Lead Technology and Cyber Risk Director. In December 2017, Mr. Adams was recognized as a Governance Fellow for the National Association of Corporate Directors, The Gold Standard Director Credential®. In 2018, Director Adams completed the Cyber-Risk Oversight course presented by the National Association of Corporate Directors.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2 – Propert</w:t>
      </w:r>
      <w:bookmarkStart w:id="18" w:name="Part1Item2"/>
      <w:bookmarkEnd w:id="18"/>
      <w:r>
        <w:rPr>
          <w:rFonts w:ascii="Times New Roman;serif" w:hAnsi="Times New Roman;serif"/>
          <w:b/>
          <w:i w:val="false"/>
          <w:caps w:val="false"/>
          <w:smallCaps w:val="false"/>
          <w:sz w:val="24"/>
          <w:u w:val="single"/>
        </w:rPr>
        <w:t>ies</w:t>
      </w:r>
      <w:r>
        <w:rPr>
          <w:rFonts w:ascii="Times New Roman;serif" w:hAnsi="Times New Roman;serif"/>
          <w:caps w:val="false"/>
          <w:smallCaps w:val="false"/>
          <w:sz w:val="24"/>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we own fee interests across our two operating segments in approximately 662,000 square feet of income-producing properties (including certain properties principally occupied by our cinemas) as follows:</w:t>
      </w:r>
    </w:p>
    <w:tbl>
      <w:tblPr>
        <w:tblW w:w="10205" w:type="dxa"/>
        <w:jc w:val="left"/>
        <w:tblInd w:w="0" w:type="dxa"/>
        <w:tblLayout w:type="fixed"/>
        <w:tblCellMar>
          <w:top w:w="0" w:type="dxa"/>
          <w:left w:w="0" w:type="dxa"/>
          <w:bottom w:w="0" w:type="dxa"/>
          <w:right w:w="0" w:type="dxa"/>
        </w:tblCellMar>
      </w:tblPr>
      <w:tblGrid>
        <w:gridCol w:w="1795"/>
        <w:gridCol w:w="142"/>
        <w:gridCol w:w="2641"/>
        <w:gridCol w:w="109"/>
        <w:gridCol w:w="1180"/>
        <w:gridCol w:w="109"/>
        <w:gridCol w:w="205"/>
        <w:gridCol w:w="770"/>
        <w:gridCol w:w="109"/>
        <w:gridCol w:w="1088"/>
        <w:gridCol w:w="109"/>
        <w:gridCol w:w="1948"/>
      </w:tblGrid>
      <w:tr>
        <w:trPr/>
        <w:tc>
          <w:tcPr>
            <w:tcW w:w="1795"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shd w:fill="FFFFFF" w:val="clear"/>
            <w:vAlign w:val="center"/>
          </w:tcPr>
          <w:p>
            <w:pPr>
              <w:pStyle w:val="TableContents"/>
              <w:bidi w:val="0"/>
              <w:spacing w:before="0" w:after="283"/>
              <w:jc w:val="left"/>
              <w:rPr>
                <w:sz w:val="4"/>
                <w:szCs w:val="4"/>
              </w:rPr>
            </w:pPr>
            <w:r>
              <w:rPr>
                <w:sz w:val="4"/>
                <w:szCs w:val="4"/>
              </w:rPr>
            </w:r>
          </w:p>
        </w:tc>
      </w:tr>
      <w:tr>
        <w:trPr/>
        <w:tc>
          <w:tcPr>
            <w:tcW w:w="1795" w:type="dxa"/>
            <w:tcBorders/>
            <w:shd w:fill="FFFFFF" w:val="clear"/>
            <w:vAlign w:val="center"/>
          </w:tcPr>
          <w:p>
            <w:pPr>
              <w:pStyle w:val="TableContents"/>
              <w:bidi w:val="0"/>
              <w:spacing w:before="0" w:after="283"/>
              <w:jc w:val="left"/>
              <w:rPr>
                <w:sz w:val="4"/>
                <w:szCs w:val="4"/>
              </w:rPr>
            </w:pPr>
            <w:r>
              <w:rPr>
                <w:sz w:val="4"/>
                <w:szCs w:val="4"/>
              </w:rPr>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shd w:fill="FFFFFF" w:val="clear"/>
            <w:vAlign w:val="center"/>
          </w:tcPr>
          <w:p>
            <w:pPr>
              <w:pStyle w:val="TableContents"/>
              <w:bidi w:val="0"/>
              <w:spacing w:before="0" w:after="283"/>
              <w:jc w:val="left"/>
              <w:rPr>
                <w:sz w:val="4"/>
                <w:szCs w:val="4"/>
              </w:rPr>
            </w:pPr>
            <w:r>
              <w:rPr>
                <w:sz w:val="4"/>
                <w:szCs w:val="4"/>
              </w:rPr>
            </w:r>
          </w:p>
        </w:tc>
      </w:tr>
      <w:tr>
        <w:trPr/>
        <w:tc>
          <w:tcPr>
            <w:tcW w:w="1795"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264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w:t>
              <w:br/>
              <w:t>‎Improvements</w:t>
              <w:br/>
              <w:t>‎(rental/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 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r>
            <w:r>
              <w:rPr>
                <w:rFonts w:ascii="Times New Roman;serif" w:hAnsi="Times New Roman;serif"/>
                <w:b/>
                <w:i w:val="false"/>
                <w:caps w:val="false"/>
                <w:smallCaps w:val="false"/>
                <w:color w:val="000000"/>
                <w:position w:val="5"/>
                <w:sz w:val="13"/>
                <w:sz w:val="16"/>
              </w:rPr>
              <w:t>(3)</w:t>
            </w:r>
            <w:r>
              <w:rPr>
                <w:rFonts w:ascii="Times New Roman;serif" w:hAnsi="Times New Roman;serif"/>
                <w:caps w:val="false"/>
                <w:smallCaps w:val="false"/>
                <w:color w:val="000000"/>
                <w:sz w:val="16"/>
              </w:rPr>
              <w:t xml:space="preserve"> </w:t>
            </w:r>
            <w:r>
              <w:rPr>
                <w:rFonts w:ascii="Times New Roman;serif" w:hAnsi="Times New Roman;serif"/>
                <w:b/>
                <w:i w:val="false"/>
                <w:caps w:val="false"/>
                <w:smallCaps w:val="false"/>
                <w:color w:val="000000"/>
                <w:sz w:val="16"/>
              </w:rPr>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Reporting</w:t>
              <w:br/>
              <w:t>‎Segment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Address</w:t>
            </w:r>
          </w:p>
        </w:tc>
      </w:tr>
      <w:tr>
        <w:trPr/>
        <w:tc>
          <w:tcPr>
            <w:tcW w:w="179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United States</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Cinemas 1,2,3</w:t>
            </w:r>
            <w:r>
              <w:rPr>
                <w:rFonts w:ascii="Times New Roman;serif" w:hAnsi="Times New Roman;serif"/>
                <w:b w:val="false"/>
                <w:i w:val="false"/>
                <w:caps w:val="false"/>
                <w:smallCaps w:val="false"/>
                <w:color w:val="000000"/>
                <w:position w:val="5"/>
                <w:sz w:val="13"/>
                <w:sz w:val="16"/>
              </w:rPr>
              <w:t>(4)</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24,000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24,146 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1003 Third Avenue, Manhattan, NY</w:t>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Culver City Office</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25,000 / 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10,847 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5995 Sepulveda Boulevard, Culver City, CA</w:t>
            </w:r>
          </w:p>
        </w:tc>
      </w:tr>
      <w:tr>
        <w:trPr/>
        <w:tc>
          <w:tcPr>
            <w:tcW w:w="1795"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including a 72-space parking structure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before="0" w:after="283"/>
              <w:jc w:val="left"/>
              <w:rPr>
                <w:sz w:val="4"/>
                <w:szCs w:val="4"/>
              </w:rPr>
            </w:pPr>
            <w:r>
              <w:rPr>
                <w:sz w:val="4"/>
                <w:szCs w:val="4"/>
              </w:rPr>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Minetta Lane Theatre</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9,000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2,240 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 Minetta Lane, Manhattan, NY</w:t>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Orpheum Theatre</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1,355 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 2nd Avenue, Manhattan, NY</w:t>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 44 Union Square</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73,000 / 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97,107 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 Union Square E, New York, NY 10003</w:t>
            </w:r>
          </w:p>
        </w:tc>
      </w:tr>
      <w:tr>
        <w:trPr/>
        <w:tc>
          <w:tcPr>
            <w:tcW w:w="179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Australia</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before="0" w:after="283"/>
              <w:jc w:val="left"/>
              <w:rPr>
                <w:sz w:val="4"/>
                <w:szCs w:val="4"/>
              </w:rPr>
            </w:pPr>
            <w:r>
              <w:rPr>
                <w:sz w:val="4"/>
                <w:szCs w:val="4"/>
              </w:rPr>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Newmarket Village</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102,000 / 42,000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99%</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39,152 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400 Newmarket Road, Newmarket, QLD</w:t>
            </w:r>
          </w:p>
        </w:tc>
      </w:tr>
      <w:tr>
        <w:trPr/>
        <w:tc>
          <w:tcPr>
            <w:tcW w:w="1795" w:type="dxa"/>
            <w:tcBorders/>
            <w:vAlign w:val="center"/>
          </w:tcPr>
          <w:p>
            <w:pPr>
              <w:pStyle w:val="TableContents"/>
              <w:bidi w:val="0"/>
              <w:spacing w:before="0" w:after="283"/>
              <w:ind w:left="115" w:right="0" w:hanging="0"/>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588 parking spaces</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Newmarket Office</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21,000 / 1,000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5,061 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 Edmondstone Street, Newmarket, QLD</w:t>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3. Cannon Park</w:t>
            </w:r>
            <w:r>
              <w:rPr>
                <w:rFonts w:ascii="Times New Roman;serif" w:hAnsi="Times New Roman;serif"/>
                <w:b w:val="false"/>
                <w:i w:val="false"/>
                <w:caps w:val="false"/>
                <w:smallCaps w:val="false"/>
                <w:color w:val="000000"/>
                <w:position w:val="5"/>
                <w:sz w:val="13"/>
                <w:sz w:val="16"/>
              </w:rPr>
              <w:t>(5)</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105,000 / 28,000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18,848 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b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High Range Drive, Thuringowa, QLD</w:t>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Belmont</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15,000 / 45,000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Knutsford Avenue and Fulham Street,</w:t>
              <w:br/>
              <w:t>‎Belmont, WA</w:t>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 York Street Office</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9,000 / 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1,425 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 York Street, South Melbourne, VIC</w:t>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 Bundaberg Cinema</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Johanna Boulevard, Bundaberg, QLD</w:t>
            </w:r>
          </w:p>
        </w:tc>
      </w:tr>
      <w:tr>
        <w:trPr/>
        <w:tc>
          <w:tcPr>
            <w:tcW w:w="17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Courtenay Central</w:t>
            </w:r>
            <w:r>
              <w:rPr>
                <w:rFonts w:ascii="Times New Roman;serif" w:hAnsi="Times New Roman;serif"/>
                <w:b w:val="false"/>
                <w:i w:val="false"/>
                <w:caps w:val="false"/>
                <w:smallCaps w:val="false"/>
                <w:color w:val="000000"/>
                <w:position w:val="5"/>
                <w:sz w:val="13"/>
                <w:sz w:val="16"/>
              </w:rPr>
              <w:t>(6)</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10,000 / 60,000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7,738 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 Courtenay Place, Wellington</w:t>
            </w:r>
          </w:p>
        </w:tc>
      </w:tr>
      <w:tr>
        <w:trPr/>
        <w:tc>
          <w:tcPr>
            <w:tcW w:w="4578" w:type="dxa"/>
            <w:gridSpan w:val="3"/>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an additional 37,000 feet of land currently used as on-grade car parking where our multi-story car park once stood.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 Tory Street, Wellington (Parking)</w:t>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Dunedin Cinema</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25,000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4,959 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 The Octagon, Dunedin</w:t>
            </w:r>
          </w:p>
        </w:tc>
      </w:tr>
      <w:tr>
        <w:trPr/>
        <w:tc>
          <w:tcPr>
            <w:tcW w:w="1795"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Napier Cinema</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 / 17,000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1,515 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154 Station Street, Napier</w:t>
            </w:r>
          </w:p>
        </w:tc>
      </w:tr>
      <w:tr>
        <w:trPr/>
        <w:tc>
          <w:tcPr>
            <w:tcW w:w="1795"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Rotorua Cinema</w:t>
            </w:r>
          </w:p>
        </w:tc>
        <w:tc>
          <w:tcPr>
            <w:tcW w:w="142"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19,000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1,503 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1281 Eruera Street, Rotorua</w:t>
            </w:r>
          </w:p>
        </w:tc>
      </w:tr>
      <w:tr>
        <w:trPr/>
        <w:tc>
          <w:tcPr>
            <w:tcW w:w="1795"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color w:val="000000"/>
                <w:sz w:val="16"/>
              </w:rPr>
              <w:t>TOTAL</w:t>
            </w:r>
            <w:r>
              <w:rPr>
                <w:rFonts w:ascii="Times New Roman;serif" w:hAnsi="Times New Roman;serif"/>
                <w:b/>
                <w:i w:val="false"/>
                <w:caps w:val="false"/>
                <w:smallCaps w:val="false"/>
                <w:color w:val="000000"/>
                <w:position w:val="5"/>
                <w:sz w:val="13"/>
                <w:sz w:val="16"/>
              </w:rPr>
              <w:t>(7)</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26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221,695 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w:t>
      </w:r>
      <w:bookmarkStart w:id="19" w:name="_Hlk67587848"/>
      <w:bookmarkEnd w:id="19"/>
      <w:r>
        <w:rPr>
          <w:rFonts w:ascii="Times New Roman;serif" w:hAnsi="Times New Roman;serif"/>
          <w:b w:val="false"/>
          <w:i w:val="false"/>
          <w:caps w:val="false"/>
          <w:smallCaps w:val="false"/>
          <w:sz w:val="16"/>
        </w:rPr>
        <w:t>Rental square footage refers to the amount of potential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available rental square footage currently leased or licensed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land and buildings of the property presented as “Operating Property” in our Consolidated Balance Sheet as of December 31, 2023 (net of any impairments recorded).</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(4)Owned by a limited liability company in which we hold a 75% managing member interest. The remaining 25% is owned by Sutton Hill Capital, LLC (“SHC”), a company owned in equal parts by the Cotter Estate or the Cotter Estate and a third party.</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(5)Our Cannon Park City and Discount Centers are operated as a single ETC.</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(6)Our Courtenay Central parking structure was demolished due to damage suffered as a result of an earthquake on November 14, 2016. For further information on the on-going development projects of these properties, refer to succeeding section </w:t>
      </w:r>
      <w:r>
        <w:rPr>
          <w:rFonts w:ascii="Times New Roman;serif" w:hAnsi="Times New Roman;serif"/>
          <w:b w:val="false"/>
          <w:i/>
          <w:sz w:val="16"/>
        </w:rPr>
        <w:t>Item 7 - Recent Developments.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(8)As of February 23, 2024, we have sold our Culver City office building, and have vacated the premises.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ENTERTAINMENT PROPERTIES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we leased approximately 1,970,000 square feet of completed cinema space in the United States, Australia, and New Zealand as follows:</w:t>
      </w:r>
    </w:p>
    <w:tbl>
      <w:tblPr>
        <w:tblW w:w="4301" w:type="dxa"/>
        <w:jc w:val="center"/>
        <w:tblInd w:w="0" w:type="dxa"/>
        <w:tblLayout w:type="fixed"/>
        <w:tblCellMar>
          <w:top w:w="0" w:type="dxa"/>
          <w:left w:w="0" w:type="dxa"/>
          <w:bottom w:w="0" w:type="dxa"/>
          <w:right w:w="0" w:type="dxa"/>
        </w:tblCellMar>
      </w:tblPr>
      <w:tblGrid>
        <w:gridCol w:w="1201"/>
        <w:gridCol w:w="109"/>
        <w:gridCol w:w="1261"/>
        <w:gridCol w:w="109"/>
        <w:gridCol w:w="1621"/>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Aggregate</w:t>
              <w:br/>
              <w:t>‎Square Footage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Approximate Range</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of Remaining</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Lease Terms </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(including renewals)</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2052</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977,000</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2066</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2051</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certain cases, we have long-term leases that we view more akin to real estate investments than cinema leases. As of 2023, we had approximately 90,000 square feet of space subject to such long-term leases, which are reported as part of our Cinema Exhibition segment, detailed as follows:</w:t>
      </w:r>
    </w:p>
    <w:tbl>
      <w:tblPr>
        <w:tblW w:w="7425" w:type="dxa"/>
        <w:jc w:val="center"/>
        <w:tblInd w:w="0" w:type="dxa"/>
        <w:tblLayout w:type="fixed"/>
        <w:tblCellMar>
          <w:top w:w="0" w:type="dxa"/>
          <w:left w:w="0" w:type="dxa"/>
          <w:bottom w:w="0" w:type="dxa"/>
          <w:right w:w="0" w:type="dxa"/>
        </w:tblCellMar>
      </w:tblPr>
      <w:tblGrid>
        <w:gridCol w:w="1381"/>
        <w:gridCol w:w="109"/>
        <w:gridCol w:w="2836"/>
        <w:gridCol w:w="109"/>
        <w:gridCol w:w="916"/>
        <w:gridCol w:w="109"/>
        <w:gridCol w:w="428"/>
        <w:gridCol w:w="1537"/>
      </w:tblGrid>
      <w:tr>
        <w:trPr/>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sz w:val="4"/>
                <w:szCs w:val="4"/>
              </w:rPr>
            </w:pPr>
            <w:r>
              <w:rPr>
                <w:sz w:val="4"/>
                <w:szCs w:val="4"/>
              </w:rPr>
            </w:r>
          </w:p>
        </w:tc>
        <w:tc>
          <w:tcPr>
            <w:tcW w:w="1537"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sz w:val="4"/>
                <w:szCs w:val="4"/>
              </w:rPr>
            </w:pPr>
            <w:r>
              <w:rPr>
                <w:sz w:val="4"/>
                <w:szCs w:val="4"/>
              </w:rPr>
            </w:r>
          </w:p>
        </w:tc>
        <w:tc>
          <w:tcPr>
            <w:tcW w:w="1537"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 Improvements (rental/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w:t>
              <w:br/>
              <w:t>‎Leased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color w:val="000000"/>
                <w:sz w:val="16"/>
              </w:rPr>
              <w:t>Net Book Value</w:t>
            </w:r>
            <w:r>
              <w:rPr>
                <w:rFonts w:ascii="Times New Roman;serif" w:hAnsi="Times New Roman;serif"/>
                <w:b/>
                <w:i/>
                <w:color w:val="000000"/>
                <w:position w:val="5"/>
                <w:sz w:val="13"/>
                <w:sz w:val="16"/>
              </w:rPr>
              <w:t>(3)</w:t>
            </w:r>
            <w:r>
              <w:rPr>
                <w:rFonts w:ascii="Times New Roman;serif" w:hAnsi="Times New Roman;serif"/>
                <w:color w:val="000000"/>
                <w:sz w:val="16"/>
              </w:rPr>
              <w:t xml:space="preserve"> </w:t>
            </w:r>
            <w:r>
              <w:rPr>
                <w:rFonts w:ascii="Times New Roman;serif" w:hAnsi="Times New Roman;serif"/>
                <w:b/>
                <w:i/>
                <w:color w:val="000000"/>
                <w:sz w:val="16"/>
              </w:rPr>
              <w:br/>
              <w:t>‎</w:t>
            </w:r>
            <w:r>
              <w:rPr>
                <w:rFonts w:ascii="Times New Roman;serif" w:hAnsi="Times New Roman;serif"/>
                <w:b w:val="false"/>
                <w:i/>
                <w:color w:val="000000"/>
                <w:sz w:val="16"/>
              </w:rPr>
              <w:t>(US Dollars in thousands)</w:t>
            </w:r>
          </w:p>
        </w:tc>
      </w:tr>
      <w:tr>
        <w:trPr/>
        <w:tc>
          <w:tcPr>
            <w:tcW w:w="13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United States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3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Manville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 / 46,000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8" w:type="dxa"/>
            <w:tcBorders/>
            <w:shd w:fill="CCEEFF" w:val="clear"/>
            <w:vAlign w:val="center"/>
          </w:tcPr>
          <w:p>
            <w:pPr>
              <w:pStyle w:val="TableContents"/>
              <w:bidi w:val="0"/>
              <w:spacing w:before="0" w:after="283"/>
              <w:jc w:val="left"/>
              <w:rPr>
                <w:sz w:val="4"/>
                <w:szCs w:val="4"/>
              </w:rPr>
            </w:pPr>
            <w:r>
              <w:rPr>
                <w:sz w:val="4"/>
                <w:szCs w:val="4"/>
              </w:rPr>
            </w:r>
          </w:p>
        </w:tc>
        <w:tc>
          <w:tcPr>
            <w:tcW w:w="153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8,654</w:t>
            </w:r>
          </w:p>
        </w:tc>
      </w:tr>
      <w:tr>
        <w:trPr/>
        <w:tc>
          <w:tcPr>
            <w:tcW w:w="13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Australia</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Waurn Ponds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9,653</w:t>
            </w:r>
          </w:p>
        </w:tc>
      </w:tr>
      <w:tr>
        <w:trPr/>
        <w:tc>
          <w:tcPr>
            <w:tcW w:w="13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15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18,307</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rental square footage currently leased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leasehold property presented as “Operating Property” in our Consolidated Balance Sheet as of December 31, 2023 (net of any impairments recorded).</w:t>
      </w:r>
    </w:p>
    <w:p>
      <w:pPr>
        <w:pStyle w:val="TextBody"/>
        <w:bidi w:val="0"/>
        <w:spacing w:lineRule="auto" w:line="259"/>
        <w:ind w:left="720"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INVESTMENT AND DEVELOPMENT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engaged in several investment and development projects relative to our currently undeveloped parcels of land. In addition, we are currently executing, or still pursuing to execute, our redevelopment plans on several of our existing developed properties to take them to their highest and best use. The following table summarizes our investment and development projects as of 2023:</w:t>
      </w:r>
    </w:p>
    <w:tbl>
      <w:tblPr>
        <w:tblW w:w="8295" w:type="dxa"/>
        <w:jc w:val="left"/>
        <w:tblInd w:w="0" w:type="dxa"/>
        <w:tblLayout w:type="fixed"/>
        <w:tblCellMar>
          <w:top w:w="0" w:type="dxa"/>
          <w:left w:w="0" w:type="dxa"/>
          <w:bottom w:w="0" w:type="dxa"/>
          <w:right w:w="0" w:type="dxa"/>
        </w:tblCellMar>
      </w:tblPr>
      <w:tblGrid>
        <w:gridCol w:w="2236"/>
        <w:gridCol w:w="109"/>
        <w:gridCol w:w="706"/>
        <w:gridCol w:w="109"/>
        <w:gridCol w:w="273"/>
        <w:gridCol w:w="777"/>
        <w:gridCol w:w="109"/>
        <w:gridCol w:w="3976"/>
      </w:tblGrid>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tcBorders/>
            <w:shd w:fill="FFFFFF" w:val="cle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tcBorders/>
            <w:shd w:fill="FFFFFF" w:val="clear"/>
            <w:vAlign w:val="center"/>
          </w:tcPr>
          <w:p>
            <w:pPr>
              <w:pStyle w:val="TableContents"/>
              <w:bidi w:val="0"/>
              <w:spacing w:before="0" w:after="283"/>
              <w:jc w:val="left"/>
              <w:rPr>
                <w:sz w:val="4"/>
                <w:szCs w:val="4"/>
              </w:rPr>
            </w:pPr>
            <w:r>
              <w:rPr>
                <w:sz w:val="4"/>
                <w:szCs w:val="4"/>
              </w:rPr>
            </w:r>
          </w:p>
        </w:tc>
      </w:tr>
      <w:tr>
        <w:trPr/>
        <w:tc>
          <w:tcPr>
            <w:tcW w:w="22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Acreage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Status</w:t>
            </w:r>
          </w:p>
        </w:tc>
      </w:tr>
      <w:tr>
        <w:trPr/>
        <w:tc>
          <w:tcPr>
            <w:tcW w:w="223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2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Courtenay Central, Wellington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976"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See </w:t>
            </w:r>
            <w:r>
              <w:rPr>
                <w:rFonts w:ascii="Times New Roman;serif" w:hAnsi="Times New Roman;serif"/>
                <w:b w:val="false"/>
                <w:i/>
                <w:sz w:val="16"/>
              </w:rPr>
              <w:t>Item 7 - Business Overview &amp; Recent Developments</w:t>
            </w:r>
          </w:p>
        </w:tc>
      </w:tr>
      <w:tr>
        <w:trPr/>
        <w:tc>
          <w:tcPr>
            <w:tcW w:w="223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8,789 </w:t>
            </w:r>
          </w:p>
        </w:tc>
        <w:tc>
          <w:tcPr>
            <w:tcW w:w="109"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Some of our income producing properties and our investment and development properties carry various debt encumbrances based on their income streams and geographic locations. For an explanation of our debt and the associated security collateral please see </w:t>
      </w:r>
      <w:r>
        <w:rPr>
          <w:rFonts w:ascii="Times New Roman;serif" w:hAnsi="Times New Roman;serif"/>
          <w:b w:val="false"/>
          <w:i/>
          <w:sz w:val="20"/>
        </w:rPr>
        <w:t>Part II, Item 8 – Financial Statements and Supplementary Data—Notes to Consolidated Financial Statements--Note 12 – Borrowings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AND ADMINISTRATIVE OFFICES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United States, we occupy approximately 3,500 square feet at our Village East leasehold property in New York for administrative purposes and our principal executive offices. We occupied approximately 12,500 square feet of our Culver City office building for administrative purposes. In February 2024, we sold our Culver City office and our employees who formerly worked at that office are currently working remotely until we secure a new Los Angeles office.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Australia, we own an approximately 9,000 square foot office building in Melbourne, Australia, approximately 6,000 square feet of which serve as the administrative office for our Australian and New Zealand operations (the remainder being leased to an unrelated third party). We have approximately 4,800 square feet of office space located in our Courtenay Central ETC in Wellington, New Zealand, which is currently closed due to seismic concerns. This office space used to house our accounting personnel and certain IT and operational personnel who are working remotely in the meantime.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PROPERTY INTERESTS AND INVESTMENTS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own the fee interests in various parcels related to our historic railroad operations, currently comprised of 201-acres principally in Pennsylvania. These are primarily vacant land. With the exception of certain properties located in Philadelphia (including the raised railroad bed near Center City, known as the Reading Viaduct), the properties are principally located in rural areas of Pennsylvania. These properties are unencumbered by any debt.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3 – Legal Proceedi</w:t>
      </w:r>
      <w:bookmarkStart w:id="20" w:name="Part1Item3"/>
      <w:bookmarkEnd w:id="20"/>
      <w:r>
        <w:rPr>
          <w:rFonts w:ascii="Times New Roman;serif" w:hAnsi="Times New Roman;serif"/>
          <w:b/>
          <w:i w:val="false"/>
          <w:caps w:val="false"/>
          <w:smallCaps w:val="false"/>
          <w:sz w:val="24"/>
          <w:u w:val="single"/>
        </w:rPr>
        <w:t>ngs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information required under </w:t>
      </w:r>
      <w:r>
        <w:rPr>
          <w:rFonts w:ascii="Times New Roman;serif" w:hAnsi="Times New Roman;serif"/>
          <w:b w:val="false"/>
          <w:i/>
          <w:sz w:val="20"/>
        </w:rPr>
        <w:t>Part I, Item 3 –</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the Consolidated Financial Statements included herein in </w:t>
      </w:r>
      <w:r>
        <w:rPr>
          <w:rFonts w:ascii="Times New Roman;serif" w:hAnsi="Times New Roman;serif"/>
          <w:b w:val="false"/>
          <w:i/>
          <w:sz w:val="20"/>
        </w:rPr>
        <w:t>Part II, Item 8</w:t>
      </w:r>
      <w:r>
        <w:rPr>
          <w:rFonts w:ascii="Times New Roman;serif" w:hAnsi="Times New Roman;serif"/>
          <w:caps w:val="false"/>
          <w:smallCaps w:val="false"/>
          <w:sz w:val="20"/>
        </w:rPr>
        <w:t xml:space="preserve"> </w:t>
      </w:r>
      <w:r>
        <w:rPr>
          <w:rFonts w:ascii="Times New Roman;serif" w:hAnsi="Times New Roman;serif"/>
          <w:sz w:val="20"/>
        </w:rPr>
        <w:t xml:space="preserve">–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Annual Report on Form 10-K.</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4 – Mine Safety Disclosu</w:t>
      </w:r>
      <w:bookmarkStart w:id="21" w:name="Part1Item4MineSafety"/>
      <w:bookmarkEnd w:id="21"/>
      <w:r>
        <w:rPr>
          <w:rFonts w:ascii="Times New Roman;serif" w:hAnsi="Times New Roman;serif"/>
          <w:b/>
          <w:i w:val="false"/>
          <w:caps w:val="false"/>
          <w:smallCaps w:val="false"/>
          <w:sz w:val="24"/>
          <w:u w:val="single"/>
        </w:rPr>
        <w:t>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Applicable.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22" w:name="PartII"/>
      <w:bookmarkEnd w:id="22"/>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5 – Market for Registrant’s Common Equity, Related Stockholder Matters and Issuer Purchases of Equity</w:t>
      </w:r>
      <w:bookmarkStart w:id="23" w:name="Part2Item5"/>
      <w:bookmarkEnd w:id="23"/>
      <w:r>
        <w:rPr>
          <w:rFonts w:ascii="Times New Roman;serif" w:hAnsi="Times New Roman;serif"/>
          <w:caps w:val="false"/>
          <w:smallCaps w:val="false"/>
          <w:sz w:val="24"/>
          <w:u w:val="single"/>
        </w:rPr>
        <w:t xml:space="preserve"> </w:t>
      </w:r>
      <w:r>
        <w:rPr>
          <w:rFonts w:ascii="Times New Roman;serif" w:hAnsi="Times New Roman;serif"/>
          <w:b/>
          <w:i w:val="false"/>
          <w:caps w:val="false"/>
          <w:smallCaps w:val="false"/>
          <w:sz w:val="24"/>
          <w:u w:val="single"/>
        </w:rPr>
        <w:t>Securities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 INFORMATION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common stock is traded on the NASDAQ under the symbols RDI (Class A Stock) and RDIB (Class B Stock).</w:t>
      </w:r>
    </w:p>
    <w:p>
      <w:pPr>
        <w:pStyle w:val="TextBody"/>
        <w:bidi w:val="0"/>
        <w:spacing w:lineRule="auto" w:line="259"/>
        <w:jc w:val="left"/>
        <w:rPr>
          <w:rFonts w:ascii="Times New Roman;serif" w:hAnsi="Times New Roman;serif"/>
          <w:b w:val="false"/>
          <w:i w:val="false"/>
          <w:caps w:val="false"/>
          <w:smallCaps w:val="false"/>
          <w:sz w:val="20"/>
        </w:rPr>
      </w:pPr>
      <w:bookmarkStart w:id="24" w:name="_Hlk98248362"/>
      <w:bookmarkEnd w:id="24"/>
      <w:r>
        <w:rPr>
          <w:rFonts w:ascii="Times New Roman;serif" w:hAnsi="Times New Roman;serif"/>
          <w:b w:val="false"/>
          <w:i w:val="false"/>
          <w:caps w:val="false"/>
          <w:smallCaps w:val="false"/>
          <w:sz w:val="20"/>
        </w:rPr>
        <w:t xml:space="preserve">As of March 27, 2024, the approximate number of common stockholders of record was 338 for Class A Stock and 46 for Class B Stock.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never declared a cash dividend on either class of our common stock, and we have no current plans to declare a dividend.</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Performance Graph</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line graph compares the cumulative total stockholder return on RDI’s Class A Stock for the five-year period ended December 31, 2023,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2023. The graph assumes that $100 was invested on December 31, 2018, in our Class A Stock, the NASDAQ composite and the noted peer groups, and assumes reinvestment of any dividends. The stock price performance on the following graph is not necessarily indicative of future stock price performance.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underperformed in 2023 compared to the market due to the aftermath of COVID-19 pandemic and Hollywood strikes, delayed releases of movies and/or movies going straight to streaming or PVOD, and a weakening foreign currency exchange rate.</w:t>
      </w:r>
    </w:p>
    <w:p>
      <w:pPr>
        <w:pStyle w:val="TextBody"/>
        <w:bidi w:val="0"/>
        <w:spacing w:lineRule="auto" w:line="259"/>
        <w:jc w:val="center"/>
        <w:rPr>
          <w:caps w:val="false"/>
          <w:smallCaps w:val="false"/>
        </w:rPr>
      </w:pPr>
      <w:r>
        <w:rPr>
          <w:caps w:val="false"/>
          <w:smallCaps w:val="false"/>
        </w:rPr>
        <w:drawing>
          <wp:inline distT="0" distB="0" distL="0" distR="0">
            <wp:extent cx="6438900" cy="5280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438900" cy="5280025"/>
                    </a:xfrm>
                    <a:prstGeom prst="rect">
                      <a:avLst/>
                    </a:prstGeom>
                  </pic:spPr>
                </pic:pic>
              </a:graphicData>
            </a:graphic>
          </wp:inline>
        </w:drawing>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Please refer to</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 – Note 16 – Share-Based Compensation and Share Repurchase Plans</w:t>
      </w:r>
    </w:p>
    <w:p>
      <w:pPr>
        <w:pStyle w:val="TextBody"/>
        <w:bidi w:val="0"/>
        <w:spacing w:lineRule="auto" w:line="259"/>
        <w:jc w:val="left"/>
        <w:rPr>
          <w:rFonts w:ascii="Times New Roman;serif" w:hAnsi="Times New Roman;serif"/>
          <w:b/>
          <w:i w:val="false"/>
          <w:caps w:val="false"/>
          <w:smallCaps w:val="false"/>
          <w:sz w:val="20"/>
        </w:rPr>
      </w:pPr>
      <w:bookmarkStart w:id="25" w:name="_Hlk68022568"/>
      <w:bookmarkEnd w:id="25"/>
      <w:r>
        <w:rPr>
          <w:rFonts w:ascii="Times New Roman;serif" w:hAnsi="Times New Roman;serif"/>
          <w:b/>
          <w:i w:val="false"/>
          <w:caps w:val="false"/>
          <w:smallCaps w:val="false"/>
          <w:sz w:val="20"/>
        </w:rPr>
        <w:t>RECENT SALES OF UNREGISTERED SECURITIES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REPURCHASE OF EQUITY SECURITIES BY THE ISSUER AND AFFILIATED PURCHASERS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6 –</w:t>
      </w:r>
      <w:bookmarkStart w:id="26" w:name="Item6"/>
      <w:bookmarkEnd w:id="26"/>
      <w:r>
        <w:rPr>
          <w:rFonts w:ascii="Times New Roman;serif" w:hAnsi="Times New Roman;serif"/>
          <w:caps w:val="false"/>
          <w:smallCaps w:val="false"/>
          <w:sz w:val="24"/>
          <w:u w:val="single"/>
        </w:rPr>
        <w:t xml:space="preserve"> </w:t>
      </w:r>
      <w:r>
        <w:rPr>
          <w:rFonts w:ascii="Times New Roman;serif" w:hAnsi="Times New Roman;serif"/>
          <w:b/>
          <w:i w:val="false"/>
          <w:caps w:val="false"/>
          <w:smallCaps w:val="false"/>
          <w:sz w:val="24"/>
          <w:u w:val="single"/>
        </w:rPr>
        <w:t xml:space="preserve">[RESERVED] </w:t>
      </w:r>
    </w:p>
    <w:p>
      <w:pPr>
        <w:pStyle w:val="TextBody"/>
        <w:bidi w:val="0"/>
        <w:spacing w:lineRule="auto" w:line="259"/>
        <w:jc w:val="left"/>
        <w:rPr>
          <w:rFonts w:ascii="Times New Roman;serif" w:hAnsi="Times New Roman;serif"/>
          <w:sz w:val="22"/>
        </w:rPr>
      </w:pPr>
      <w:r>
        <w:rPr>
          <w:rFonts w:ascii="Times New Roman;serif" w:hAnsi="Times New Roman;serif"/>
          <w:b/>
          <w:i w:val="false"/>
          <w:caps w:val="false"/>
          <w:smallCaps w:val="false"/>
          <w:sz w:val="22"/>
          <w:u w:val="single"/>
        </w:rPr>
        <w:t>Item 7 – Management’s Discussion and Analysis of Financial Condition and Results of Operations (“MD</w:t>
      </w:r>
      <w:bookmarkStart w:id="27" w:name="Part2Item7"/>
      <w:bookmarkEnd w:id="27"/>
      <w:r>
        <w:rPr>
          <w:rFonts w:ascii="Times New Roman;serif" w:hAnsi="Times New Roman;serif"/>
          <w:b/>
          <w:i w:val="false"/>
          <w:caps w:val="false"/>
          <w:smallCaps w:val="false"/>
          <w:sz w:val="22"/>
          <w:u w:val="single"/>
        </w:rPr>
        <w:t>&amp;A”)</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1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0205" w:type="dxa"/>
            <w:tcBorders>
              <w:top w:val="single" w:sz="18" w:space="0" w:color="000000"/>
              <w:left w:val="single" w:sz="18" w:space="0" w:color="000000"/>
              <w:bottom w:val="single" w:sz="18" w:space="0" w:color="000000"/>
              <w:right w:val="single" w:sz="18" w:space="0" w:color="000000"/>
            </w:tcBorders>
            <w:tcMar>
              <w:top w:w="28" w:type="dxa"/>
              <w:left w:w="108" w:type="dxa"/>
              <w:bottom w:w="28" w:type="dxa"/>
              <w:right w:w="108" w:type="dxa"/>
            </w:tcMar>
            <w:vAlign w:val="center"/>
          </w:tcPr>
          <w:p>
            <w:pPr>
              <w:pStyle w:val="TableContents"/>
              <w:bidi w:val="0"/>
              <w:spacing w:lineRule="auto" w:line="259" w:before="0" w:after="283"/>
              <w:jc w:val="both"/>
              <w:rPr>
                <w:rFonts w:ascii="TimesNewRomanPS-ItalicMT" w:hAnsi="TimesNewRomanPS-ItalicMT"/>
                <w:b w:val="false"/>
                <w:i/>
                <w:sz w:val="14"/>
              </w:rPr>
            </w:pPr>
            <w:r>
              <w:rPr>
                <w:rFonts w:ascii="TimesNewRomanPS-ItalicMT" w:hAnsi="TimesNewRomanPS-ItalicMT"/>
                <w:b w:val="false"/>
                <w:i/>
                <w:sz w:val="14"/>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2023 Form 10-K.</w:t>
            </w:r>
          </w:p>
        </w:tc>
      </w:tr>
    </w:tbl>
    <w:tbl>
      <w:tblPr>
        <w:tblW w:w="5402" w:type="dxa"/>
        <w:jc w:val="center"/>
        <w:tblInd w:w="0" w:type="dxa"/>
        <w:tblLayout w:type="fixed"/>
        <w:tblCellMar>
          <w:top w:w="0" w:type="dxa"/>
          <w:left w:w="0" w:type="dxa"/>
          <w:bottom w:w="0" w:type="dxa"/>
          <w:right w:w="0" w:type="dxa"/>
        </w:tblCellMar>
      </w:tblPr>
      <w:tblGrid>
        <w:gridCol w:w="4891"/>
        <w:gridCol w:w="511"/>
      </w:tblGrid>
      <w:tr>
        <w:trPr/>
        <w:tc>
          <w:tcPr>
            <w:tcW w:w="48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lineRule="auto" w:line="259" w:before="0" w:after="283"/>
              <w:jc w:val="both"/>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INDEX</w:t>
            </w:r>
          </w:p>
        </w:tc>
        <w:tc>
          <w:tcPr>
            <w:tcW w:w="51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891" w:type="dxa"/>
            <w:tcBorders/>
            <w:shd w:fill="CCEEFF" w:val="clear"/>
            <w:vAlign w:val="center"/>
          </w:tcPr>
          <w:p>
            <w:pPr>
              <w:pStyle w:val="TableContents"/>
              <w:bidi w:val="0"/>
              <w:spacing w:lineRule="auto" w:line="259" w:before="0" w:after="283"/>
              <w:jc w:val="both"/>
              <w:rPr/>
            </w:pPr>
            <w:hyperlink w:anchor="MDAOurBusiness">
              <w:r>
                <w:rPr>
                  <w:rStyle w:val="InternetLink"/>
                  <w:rFonts w:ascii="Times New Roman;serif" w:hAnsi="Times New Roman;serif"/>
                  <w:b w:val="false"/>
                  <w:i w:val="false"/>
                  <w:caps w:val="false"/>
                  <w:smallCaps w:val="false"/>
                  <w:strike w:val="false"/>
                  <w:dstrike w:val="false"/>
                  <w:color w:val="0000FF"/>
                  <w:sz w:val="20"/>
                  <w:u w:val="single"/>
                  <w:effect w:val="none"/>
                </w:rPr>
                <w:t>Our Business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tc>
      </w:tr>
      <w:tr>
        <w:trPr/>
        <w:tc>
          <w:tcPr>
            <w:tcW w:w="4891" w:type="dxa"/>
            <w:tcBorders/>
            <w:vAlign w:val="center"/>
          </w:tcPr>
          <w:p>
            <w:pPr>
              <w:pStyle w:val="TableContents"/>
              <w:bidi w:val="0"/>
              <w:spacing w:lineRule="auto" w:line="259" w:before="0" w:after="283"/>
              <w:jc w:val="both"/>
              <w:rPr/>
            </w:pPr>
            <w:hyperlink w:anchor="MDAOverallResultsofOperations">
              <w:r>
                <w:rPr>
                  <w:rStyle w:val="InternetLink"/>
                  <w:rFonts w:ascii="Times New Roman;serif" w:hAnsi="Times New Roman;serif"/>
                  <w:b w:val="false"/>
                  <w:i w:val="false"/>
                  <w:caps w:val="false"/>
                  <w:smallCaps w:val="false"/>
                  <w:strike w:val="false"/>
                  <w:dstrike w:val="false"/>
                  <w:color w:val="0000FF"/>
                  <w:sz w:val="20"/>
                  <w:u w:val="single"/>
                  <w:effect w:val="none"/>
                </w:rPr>
                <w:t>Results of Operations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4891" w:type="dxa"/>
            <w:tcBorders/>
            <w:shd w:fill="CCEEFF" w:val="clear"/>
            <w:vAlign w:val="center"/>
          </w:tcPr>
          <w:p>
            <w:pPr>
              <w:pStyle w:val="TableContents"/>
              <w:bidi w:val="0"/>
              <w:spacing w:lineRule="auto" w:line="259" w:before="0" w:after="283"/>
              <w:jc w:val="both"/>
              <w:rPr/>
            </w:pPr>
            <w:hyperlink w:anchor="Businesssegmentresult">
              <w:r>
                <w:rPr>
                  <w:rStyle w:val="InternetLink"/>
                  <w:rFonts w:ascii="Times New Roman;serif" w:hAnsi="Times New Roman;serif"/>
                  <w:b w:val="false"/>
                  <w:i w:val="false"/>
                  <w:caps w:val="false"/>
                  <w:smallCaps w:val="false"/>
                  <w:strike w:val="false"/>
                  <w:dstrike w:val="false"/>
                  <w:color w:val="0000FF"/>
                  <w:sz w:val="20"/>
                  <w:u w:val="single"/>
                  <w:effect w:val="none"/>
                </w:rPr>
                <w:t>Business Segment Results – 2023 vs.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4891" w:type="dxa"/>
            <w:tcBorders/>
            <w:vAlign w:val="center"/>
          </w:tcPr>
          <w:p>
            <w:pPr>
              <w:pStyle w:val="TableContents"/>
              <w:bidi w:val="0"/>
              <w:spacing w:lineRule="auto" w:line="259" w:before="0" w:after="283"/>
              <w:jc w:val="both"/>
              <w:rPr/>
            </w:pPr>
            <w:hyperlink w:anchor="Nonsegmentresult">
              <w:r>
                <w:rPr>
                  <w:rStyle w:val="InternetLink"/>
                  <w:rFonts w:ascii="Times New Roman;serif" w:hAnsi="Times New Roman;serif"/>
                  <w:b w:val="false"/>
                  <w:i w:val="false"/>
                  <w:caps w:val="false"/>
                  <w:smallCaps w:val="false"/>
                  <w:strike w:val="false"/>
                  <w:dstrike w:val="false"/>
                  <w:color w:val="0000FF"/>
                  <w:sz w:val="20"/>
                  <w:u w:val="single"/>
                  <w:effect w:val="none"/>
                </w:rPr>
                <w:t>Non-Segment Results – 2023 vs. 2022</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4891" w:type="dxa"/>
            <w:tcBorders/>
            <w:shd w:fill="CCEEFF" w:val="clear"/>
            <w:vAlign w:val="center"/>
          </w:tcPr>
          <w:p>
            <w:pPr>
              <w:pStyle w:val="TableContents"/>
              <w:bidi w:val="0"/>
              <w:spacing w:lineRule="auto" w:line="259" w:before="0" w:after="283"/>
              <w:jc w:val="both"/>
              <w:rPr/>
            </w:pPr>
            <w:hyperlink w:anchor="MDALiquidity">
              <w:r>
                <w:rPr>
                  <w:rStyle w:val="InternetLink"/>
                  <w:rFonts w:ascii="Times New Roman;serif" w:hAnsi="Times New Roman;serif"/>
                  <w:b w:val="false"/>
                  <w:i w:val="false"/>
                  <w:caps w:val="false"/>
                  <w:smallCaps w:val="false"/>
                  <w:strike w:val="false"/>
                  <w:dstrike w:val="false"/>
                  <w:color w:val="0000FF"/>
                  <w:sz w:val="20"/>
                  <w:u w:val="single"/>
                  <w:effect w:val="none"/>
                </w:rPr>
                <w:t>Liquidity and Capital Resources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4891" w:type="dxa"/>
            <w:tcBorders/>
            <w:vAlign w:val="center"/>
          </w:tcPr>
          <w:p>
            <w:pPr>
              <w:pStyle w:val="TableContents"/>
              <w:bidi w:val="0"/>
              <w:spacing w:lineRule="auto" w:line="259" w:before="0" w:after="283"/>
              <w:jc w:val="both"/>
              <w:rPr/>
            </w:pPr>
            <w:hyperlink w:anchor="MDAContractualObligations">
              <w:r>
                <w:rPr>
                  <w:rStyle w:val="InternetLink"/>
                  <w:rFonts w:ascii="Times New Roman;serif" w:hAnsi="Times New Roman;serif"/>
                  <w:b w:val="false"/>
                  <w:i w:val="false"/>
                  <w:caps w:val="false"/>
                  <w:smallCaps w:val="false"/>
                  <w:strike w:val="false"/>
                  <w:dstrike w:val="false"/>
                  <w:color w:val="0000FF"/>
                  <w:sz w:val="20"/>
                  <w:u w:val="single"/>
                  <w:effect w:val="none"/>
                </w:rPr>
                <w:t>Contractual Obligations, Commitments and Contingencies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4891" w:type="dxa"/>
            <w:tcBorders/>
            <w:shd w:fill="CCEEFF" w:val="clear"/>
            <w:vAlign w:val="center"/>
          </w:tcPr>
          <w:p>
            <w:pPr>
              <w:pStyle w:val="TableContents"/>
              <w:bidi w:val="0"/>
              <w:spacing w:lineRule="auto" w:line="259" w:before="0" w:after="283"/>
              <w:jc w:val="both"/>
              <w:rPr/>
            </w:pPr>
            <w:hyperlink w:anchor="MDAFinancialRiskMgnt">
              <w:r>
                <w:rPr>
                  <w:rStyle w:val="InternetLink"/>
                  <w:rFonts w:ascii="Times New Roman;serif" w:hAnsi="Times New Roman;serif"/>
                  <w:b w:val="false"/>
                  <w:i w:val="false"/>
                  <w:caps w:val="false"/>
                  <w:smallCaps w:val="false"/>
                  <w:strike w:val="false"/>
                  <w:dstrike w:val="false"/>
                  <w:color w:val="0000FF"/>
                  <w:sz w:val="20"/>
                  <w:u w:val="single"/>
                  <w:effect w:val="none"/>
                </w:rPr>
                <w:t>Financial Risk Management</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r>
        <w:trPr/>
        <w:tc>
          <w:tcPr>
            <w:tcW w:w="4891" w:type="dxa"/>
            <w:tcBorders/>
            <w:vAlign w:val="center"/>
          </w:tcPr>
          <w:p>
            <w:pPr>
              <w:pStyle w:val="TableContents"/>
              <w:bidi w:val="0"/>
              <w:spacing w:lineRule="auto" w:line="259" w:before="0" w:after="283"/>
              <w:jc w:val="both"/>
              <w:rPr/>
            </w:pPr>
            <w:hyperlink w:anchor="MDACriticalAcctgPolicies">
              <w:r>
                <w:rPr>
                  <w:rStyle w:val="InternetLink"/>
                  <w:rFonts w:ascii="Times New Roman;serif" w:hAnsi="Times New Roman;serif"/>
                  <w:b w:val="false"/>
                  <w:i w:val="false"/>
                  <w:caps w:val="false"/>
                  <w:smallCaps w:val="false"/>
                  <w:strike w:val="false"/>
                  <w:dstrike w:val="false"/>
                  <w:color w:val="0000FF"/>
                  <w:sz w:val="20"/>
                  <w:u w:val="single"/>
                  <w:effect w:val="none"/>
                </w:rPr>
                <w:t>Critical Accounting Estimates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bl>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OUR BUSINE</w:t>
      </w:r>
      <w:bookmarkStart w:id="28" w:name="MDAOurBusiness"/>
      <w:bookmarkEnd w:id="28"/>
      <w:r>
        <w:rPr>
          <w:rFonts w:ascii="Times New Roman;serif" w:hAnsi="Times New Roman;serif"/>
          <w:b/>
          <w:i w:val="false"/>
          <w:caps w:val="false"/>
          <w:smallCaps w:val="false"/>
          <w:sz w:val="20"/>
        </w:rPr>
        <w:t>SS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Where have we been, and where we are going.</w:t>
      </w:r>
    </w:p>
    <w:p>
      <w:pPr>
        <w:pStyle w:val="TextBody"/>
        <w:bidi w:val="0"/>
        <w:spacing w:lineRule="auto" w:line="259"/>
        <w:jc w:val="left"/>
        <w:rPr>
          <w:rFonts w:ascii="Times New Roman;serif" w:hAnsi="Times New Roman;serif"/>
          <w:b w:val="false"/>
          <w:i w:val="false"/>
          <w:caps w:val="false"/>
          <w:smallCaps w:val="false"/>
          <w:sz w:val="20"/>
        </w:rPr>
      </w:pPr>
      <w:bookmarkStart w:id="29" w:name="_Hlk162002799"/>
      <w:bookmarkEnd w:id="29"/>
      <w:r>
        <w:rPr>
          <w:rFonts w:ascii="Times New Roman;serif" w:hAnsi="Times New Roman;serif"/>
          <w:b w:val="false"/>
          <w:i w:val="false"/>
          <w:caps w:val="false"/>
          <w:smallCaps w:val="false"/>
          <w:sz w:val="20"/>
        </w:rPr>
        <w:t>We have discussed in some detail under the heading “Business Description” in Part I of this Report our views as to the impact of the COVID-19 pandemic, the 2023 Hollywood Strikes and spiking interest rates on our business and, while not repeating that disclosure here, we want to incorporate it by reference. As a general matter, the COVID-19 pandemic caused considerable economic instability all over the world and greatly affected our Company’s global operations from 2020 through 2022. It in someways created some big governmental winners and losers as privately held exhibitors were provided with hundreds of millions of dollars in government aid, the four publicly owned exhibitors (of which we are the smallest) received no assistance. Public stockholders suffered. Private interests were saved. But through determination and persistence we have survived. We have preserved our people and our core assets, and we are prepared and eager to go forward.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2021, as we began reopening our cinemas from the pandemic that began in March 2020, we faced strict operating guidelines that often prevented us from recouping our operational costs. Additionally, film availability was inconsistent, with major releases diverted to streaming platforms or postponed. Attendance remained low, and operating costs were further impacted by stricter cleaning protocols, which reduced the number of showtimes. However, in Australia and New Zealand, business on the real estate side began to return to normal.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address our negative operating cash flow situation, we significantly cut back our capital expenditures and, in 2021, monetized five non-core real estate assets generating a net profit from such sales of $93.3 million and, more importantly, net cash of $144.8 million. We selected assets that were primarily non-cash flowing, had values that were not adversely impacted by the pandemic and that, if retained, would have required significant capital investment to achieve any material increase in value. In the two cases where we monetized properties with cinemas, we were able to lease back the cinema component, and consequently, suffered no loss in our cinema count. We used the cash from these monetizations to pay down debt ($59.1 million) and fund necessary capital expenditures ($24.2 million). During 2023 we monetized an underperforming cinema in Australia for $A2.8 million, and during the first quarter of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 sold our underutilized administrative office building in Culver City, California for $10 million. At December 31, 2023, we had cash and cash equivalents of $12.9 million.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During 2022, our operations began to return to normal as health and safety restrictions loosened and as studio releases gradually improved. Although cinema attendances were still below pre-pandemic levels, the industry box office results significantly rebounded in 2022, compared to the prior two years, as audiences embraced the shared community experience of movies on the big screen. Despite reduced film releases and alternative distribution methods, the release of highly anticipated blockbuster films, such as </w:t>
      </w:r>
      <w:r>
        <w:rPr>
          <w:rFonts w:ascii="Times New Roman;serif" w:hAnsi="Times New Roman;serif"/>
          <w:b w:val="false"/>
          <w:i/>
          <w:sz w:val="20"/>
        </w:rPr>
        <w:t>Top</w:t>
      </w:r>
      <w:r>
        <w:rPr>
          <w:rFonts w:ascii="Times New Roman;serif" w:hAnsi="Times New Roman;serif"/>
          <w:caps w:val="false"/>
          <w:smallCaps w:val="false"/>
          <w:sz w:val="20"/>
        </w:rPr>
        <w:t xml:space="preserve"> </w:t>
      </w:r>
      <w:r>
        <w:rPr>
          <w:rFonts w:ascii="Times New Roman;serif" w:hAnsi="Times New Roman;serif"/>
          <w:b w:val="false"/>
          <w:i/>
          <w:sz w:val="20"/>
        </w:rPr>
        <w:t>Gun: Maverick</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Avatar: The Way of Water</w:t>
      </w:r>
      <w:r>
        <w:rPr>
          <w:rFonts w:ascii="Times New Roman;serif" w:hAnsi="Times New Roman;serif"/>
          <w:b w:val="false"/>
          <w:i w:val="false"/>
          <w:caps w:val="false"/>
          <w:smallCaps w:val="false"/>
          <w:sz w:val="20"/>
        </w:rPr>
        <w:t>, were among some of the highest grossing films since the start of the pandemic and provided optimism for the cinema industry.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As we stepped into 2023, the progress made in the previous year had established a hopeful setting for the world of cinema, reigniting audiences' passion for the immersive experience of the big screen. The release of </w:t>
      </w:r>
      <w:r>
        <w:rPr>
          <w:rFonts w:ascii="Times New Roman;serif" w:hAnsi="Times New Roman;serif"/>
          <w:b w:val="false"/>
          <w:i/>
          <w:sz w:val="20"/>
        </w:rPr>
        <w:t>The Super Marios Bros. Movie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Barbie</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Oppenheimer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created a summer film season that drove audiences back to theaters. The anticipation and excitement surrounding the joint release of </w:t>
      </w:r>
      <w:r>
        <w:rPr>
          <w:rFonts w:ascii="Times New Roman;serif" w:hAnsi="Times New Roman;serif"/>
          <w:b w:val="false"/>
          <w:i/>
          <w:sz w:val="20"/>
        </w:rPr>
        <w:t>Barbie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Oppenheimer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contributed to the cultural phenomenon, ‘Barbenheimer’, with new box office records being achieved as eager moviegoers flocked to experience these highly anticipated films on the big screen. The 2023 film slate also benefitted from the release of franchise favorites such as </w:t>
      </w:r>
      <w:r>
        <w:rPr>
          <w:rFonts w:ascii="Times New Roman;serif" w:hAnsi="Times New Roman;serif"/>
          <w:b w:val="false"/>
          <w:i/>
          <w:sz w:val="20"/>
        </w:rPr>
        <w:t>Guardians of the Galaxy Vol. 3</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Fast X</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Spider-Man Across The Spider-Verse</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the cinema industry continued to recover during 2023, the industry suffered another challenge during the year with the onset of the 2023 Hollywood Strikes. Though not as severe as the pandemic, these strikes negatively impacted our business in 2023 and we anticipate that we will continue to experience the fallout of these strikes throughout 2024. Many films that were scheduled for release in 2024 have now been pushed into 2025 as production was halted, and some films were pushed from 2023 into 2024 following the screen actor’s inability to promote those films.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However, despite these challenges, we remain optimistic about the future of our industry, and we believe that this new challenge will have a short-term impact on our operations and the industry as a whole. We are encouraged by the grosses achieved by recent releases such as Dune: Part Two and Kung Fu Panda 4. We are encouraged by the film line up scheduled for the remainder of 2024 and continuing into 2025. And, we are encouraged by the fact that the motion picture industry has once again realized that a theatrical release is important to getting the best return on investment for a major motion picture.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order to get through this period, we have monetized a number of real estate assets. However, these have not been fire sales, and we believe that we have been able to get fair value for these assets. Every asset sold, save one, was sold at a material profit. None of the assets sold was core to our operations. And, we believe we have been able to preserve the assets which offer us the most in the way of future upside potential.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the date of this report, all of our cinemas are fully operating with the exception of our cinema in Wellington, New Zealand, which remains closed due to seismic concerns pending the redevelopment of that ETC. However, we still have remaining deferred occupancy costs that we are continuing to repay. At December 31, 2023, these rent deferrals totaled approximately $10 million.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regard to our real estate business, all of our tenants are currently open for business at our Australian and New Zealand properties (with the exception of one tenant in Australia completing a new fit out). Most of the rentable retail portion of our Courtenay Central location in New Zealand continues to be closed due to seismic concerns, however, one tenant remains open at this property. On our Wakefield property a further digital billboard tenant and one tenant at our Napier property are open.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anticipated plans for 2024 and beyond are discussed in greater detail below.</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DEVELOPMENTS</w:t>
      </w:r>
      <w:bookmarkStart w:id="30" w:name="MDARecentDevelopments"/>
      <w:bookmarkEnd w:id="30"/>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Recent developments in our two business segments are discussed below. For an overview of our two business segments, including a breakdown of assets that we own and/or manage, please see </w:t>
      </w:r>
      <w:r>
        <w:rPr>
          <w:rFonts w:ascii="Times New Roman;serif" w:hAnsi="Times New Roman;serif"/>
          <w:b w:val="false"/>
          <w:i/>
          <w:sz w:val="20"/>
        </w:rPr>
        <w:t>Part I, Item 1 –</w:t>
      </w:r>
      <w:r>
        <w:rPr>
          <w:rFonts w:ascii="Times New Roman;serif" w:hAnsi="Times New Roman;serif"/>
          <w:caps w:val="false"/>
          <w:smallCaps w:val="false"/>
          <w:sz w:val="20"/>
        </w:rPr>
        <w:t xml:space="preserve"> </w:t>
      </w:r>
      <w:r>
        <w:rPr>
          <w:rFonts w:ascii="Times New Roman;serif" w:hAnsi="Times New Roman;serif"/>
          <w:b w:val="false"/>
          <w:i/>
          <w:sz w:val="20"/>
        </w:rPr>
        <w:t>Our Business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this 2023 Form 10-K.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Exhibition</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259"/>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key performance indicator utilized by management in our cinema segment is Food and Beverage (“F&amp;B”) Spend Per Patron (“SPP”), which is calculated based on our total F&amp;B Revenues on a post-tax basis divided by our attendance during a specific period.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One of our strategic priorities has been to continue upgrading the food and beverage menu at several of our global cinemas. As of December 31, 2023, we have a total of 40 theater locations with an all-new upgraded food and beverage menus </w:t>
      </w:r>
      <w:r>
        <w:rPr>
          <w:rFonts w:ascii="Times New Roman;serif" w:hAnsi="Times New Roman;serif"/>
          <w:b w:val="false"/>
          <w:i w:val="false"/>
          <w:caps w:val="false"/>
          <w:smallCaps w:val="false"/>
          <w:color w:val="000000"/>
          <w:sz w:val="20"/>
        </w:rPr>
        <w:t xml:space="preserve">(i.e. menus that are beyond traditional popcorn, soda, and candy).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We use F&amp;B SPP as a measure of our F&amp;B operational performance as compared to that of our competitors. Although the profitability of our F&amp;B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ability to achieve a strong top line performance as we recover from the COVID-19 pandemic. In addition, ATP gauges the effectiveness of our cinemas’ pricing strategies and our ability to draw back audiences to our theaters. Management uses ATP to adjust and inform ticket pricing schemes for our individual theaters, measure the effectiveness of our content programming, and ensure that price barriers are not created for core guests.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 Additions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additions to our cinema portfolio during the 2021-2023 COVID years were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Busselton, Western Australia, Australia</w:t>
      </w:r>
      <w:r>
        <w:rPr>
          <w:rFonts w:ascii="Times New Roman;serif" w:hAnsi="Times New Roman;serif"/>
          <w:b w:val="false"/>
          <w:i w:val="false"/>
          <w:caps w:val="false"/>
          <w:smallCaps w:val="false"/>
          <w:sz w:val="20"/>
          <w:u w:val="single"/>
        </w:rPr>
        <w:t>:</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September 22, 2023, we opened a five-screen complex in the newly expanded Busselton Central Shopping Centre precinct of Busselton, Western Australia. The state-of-the-art complex features a TITAN LUXE screen, elevated F&amp;B offerings, and recliner seating.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South City Square, Queensland,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August 24, 2023, we launched our first-ever Angelika Cinemas outside of the United States at South City Square in Woolloongabba, Brisbane. The location currently operates as an eight-screen complex, featuring elevated food and beverage offerings (including alcoholic beverages) and recliner seating.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Armadale, Western Australia, Australia</w:t>
      </w:r>
      <w:r>
        <w:rPr>
          <w:rFonts w:ascii="Times New Roman;serif" w:hAnsi="Times New Roman;serif"/>
          <w:b w:val="false"/>
          <w:i w:val="false"/>
          <w:caps w:val="false"/>
          <w:smallCaps w:val="false"/>
          <w:sz w:val="20"/>
          <w:u w:val="single"/>
        </w:rPr>
        <w:t>:</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January 13, 2023, we took over an existing six-screen cinema in Armadale, Australia, a suburb of Perth in Western Australia.</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Traralgon, Victoria, Australia: </w:t>
      </w:r>
      <w:r>
        <w:rPr>
          <w:rFonts w:ascii="Times New Roman;serif" w:hAnsi="Times New Roman;serif"/>
          <w:b w:val="false"/>
          <w:i w:val="false"/>
          <w:caps w:val="false"/>
          <w:smallCaps w:val="false"/>
          <w:sz w:val="20"/>
        </w:rPr>
        <w:t>On December 15, 2021, we opened a new state-of-the-art five-screen Reading Cinemas in Traralgon, Victoria.</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Millers Junction, Victoria, Australia: </w:t>
      </w:r>
      <w:r>
        <w:rPr>
          <w:rFonts w:ascii="Times New Roman;serif" w:hAnsi="Times New Roman;serif"/>
          <w:b w:val="false"/>
          <w:i w:val="false"/>
          <w:caps w:val="false"/>
          <w:smallCaps w:val="false"/>
          <w:sz w:val="20"/>
        </w:rPr>
        <w:t xml:space="preserve">On June 16, 2021, we opened a new state-of-the-art six screen Reading Cinemas at the expanded Millers Junction Village featuring two TITAN LUXE auditoriums with DOLBY ATMOS immersive sound, luxury recliner seating in all auditoriums, and an enhanced </w:t>
      </w:r>
      <w:r>
        <w:rPr>
          <w:rFonts w:ascii="Times New Roman;serif" w:hAnsi="Times New Roman;serif"/>
          <w:b w:val="false"/>
          <w:i w:val="false"/>
          <w:caps w:val="false"/>
          <w:smallCaps w:val="false"/>
          <w:color w:val="000000"/>
          <w:sz w:val="20"/>
        </w:rPr>
        <w:t>F&amp;B</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offering. </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Upgrades to our Film Exhibition Technology and Theater Amenities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2023, all of the upgrades to our theater circuits’ film exhibition technology and amenities over the years are as summarized in the following table:</w:t>
      </w:r>
    </w:p>
    <w:tbl>
      <w:tblPr>
        <w:tblW w:w="5276" w:type="dxa"/>
        <w:jc w:val="left"/>
        <w:tblInd w:w="0" w:type="dxa"/>
        <w:tblLayout w:type="fixed"/>
        <w:tblCellMar>
          <w:top w:w="0" w:type="dxa"/>
          <w:left w:w="0" w:type="dxa"/>
          <w:bottom w:w="0" w:type="dxa"/>
          <w:right w:w="0" w:type="dxa"/>
        </w:tblCellMar>
      </w:tblPr>
      <w:tblGrid>
        <w:gridCol w:w="3676"/>
        <w:gridCol w:w="109"/>
        <w:gridCol w:w="751"/>
        <w:gridCol w:w="109"/>
        <w:gridCol w:w="63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b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FFFF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theater circuit)</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491</w:t>
            </w:r>
          </w:p>
        </w:tc>
      </w:tr>
      <w:tr>
        <w:trPr/>
        <w:tc>
          <w:tcPr>
            <w:tcW w:w="367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LUXE</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Dine-in Service</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val="false"/>
                <w:caps w:val="false"/>
                <w:smallCaps w:val="false"/>
                <w:position w:val="7"/>
                <w:sz w:val="16"/>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sz w:val="20"/>
              </w:rPr>
            </w:pPr>
            <w:r>
              <w:rPr>
                <w:rFonts w:ascii="Times New Roman;serif" w:hAnsi="Times New Roman;serif"/>
                <w:b w:val="false"/>
                <w:i/>
                <w:sz w:val="20"/>
              </w:rPr>
              <w:t>n/a</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 in Use</w:t>
            </w:r>
            <w:r>
              <w:rPr>
                <w:rFonts w:ascii="Times New Roman;serif" w:hAnsi="Times New Roman;serif"/>
                <w:b w:val="false"/>
                <w:i w:val="false"/>
                <w:caps w:val="false"/>
                <w:smallCaps w:val="false"/>
                <w:position w:val="7"/>
                <w:sz w:val="16"/>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sz w:val="20"/>
              </w:rPr>
            </w:pPr>
            <w:r>
              <w:rPr>
                <w:rFonts w:ascii="Times New Roman;serif" w:hAnsi="Times New Roman;serif"/>
                <w:b w:val="false"/>
                <w:i/>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b w:val="false"/>
          <w:i w:val="false"/>
          <w:caps w:val="false"/>
          <w:smallCaps w:val="false"/>
          <w:sz w:val="16"/>
        </w:rPr>
        <w:t>: 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Licenses are applicable at each cinema location, rather than each cinema auditorium. As of December 31, 2023, we have pending applications </w:t>
      </w:r>
    </w:p>
    <w:p>
      <w:pPr>
        <w:pStyle w:val="TextBody"/>
        <w:bidi w:val="0"/>
        <w:spacing w:lineRule="auto" w:line="259" w:before="0" w:after="60"/>
        <w:ind w:left="720"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for additional liquor licenses in five cinemas in Australia.</w:t>
      </w:r>
    </w:p>
    <w:p>
      <w:pPr>
        <w:pStyle w:val="TextBody"/>
        <w:bidi w:val="0"/>
        <w:spacing w:lineRule="auto" w:line="259" w:before="100" w:after="283"/>
        <w:ind w:left="720" w:right="0" w:hanging="0"/>
        <w:jc w:val="both"/>
        <w:rPr>
          <w:rFonts w:ascii="Times New Roman;serif" w:hAnsi="Times New Roman;serif"/>
          <w:b/>
          <w:i/>
          <w:sz w:val="22"/>
          <w:u w:val="single"/>
        </w:rPr>
      </w:pPr>
      <w:r>
        <w:rPr>
          <w:rFonts w:ascii="Times New Roman;serif" w:hAnsi="Times New Roman;serif"/>
          <w:b/>
          <w:i/>
          <w:sz w:val="22"/>
          <w:u w:val="single"/>
        </w:rPr>
        <w:t>Global Real Estate Developments</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bookmarkStart w:id="31" w:name="_Hlk162017618"/>
      <w:bookmarkEnd w:id="31"/>
      <w:r>
        <w:rPr>
          <w:rFonts w:ascii="Times New Roman;serif" w:hAnsi="Times New Roman;serif"/>
          <w:b w:val="false"/>
          <w:i w:val="false"/>
          <w:caps w:val="false"/>
          <w:smallCaps w:val="false"/>
          <w:sz w:val="20"/>
        </w:rPr>
        <w:t xml:space="preserve">We have made significant progress in the development of our 44 Union Square property in Manhattan. On January 27, 2022, we entered a long-term lease with Petco for the lower level, ground floor, and second floor of the building, representing 42% of the leasable area. Petco is in occupancy of its premises on a full rent cash paying basis and opened to the public on June 1, 2023. </w:t>
      </w:r>
    </w:p>
    <w:p>
      <w:pPr>
        <w:pStyle w:val="TextBody"/>
        <w:bidi w:val="0"/>
        <w:spacing w:lineRule="auto" w:line="259" w:before="100" w:after="283"/>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Effective mid-March 2024, we engaged George Comfort &amp; Sons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(www.gcomfort.com), as the new exclusive leasing broker for the remaining space at 44 Union Square. While the space was originally designed for office uses, given the dramatic presence of the property on Union Square, the rebound in foot traffic being enjoyed by Union Square and our building’s significant branding potential, we are considering, a range of uses beyond traditional office tenants, including short term and special purpose uses. While we cannot guarantee the successful leasing of the remaining space, we anticipate that George Comfort &amp; Sons with its varied and long experience in New York City real estate will bring a fresh approach and thinking to activating the remaining space at 44 Union Square.</w:t>
      </w:r>
    </w:p>
    <w:p>
      <w:pPr>
        <w:pStyle w:val="TextBody"/>
        <w:bidi w:val="0"/>
        <w:spacing w:lineRule="auto" w:line="259" w:before="100" w:after="283"/>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 April 1, 2024, George Comfort &amp; Sons will also take on the property management role at 44 Union Square.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Times New Roman;serif" w:hAnsi="Times New Roman;serif"/>
          <w:b w:val="false"/>
          <w:i/>
          <w:sz w:val="20"/>
        </w:rPr>
        <w:t>)</w:t>
      </w:r>
      <w:r>
        <w:rPr>
          <w:rFonts w:ascii="Symbol" w:hAnsi="Symbol"/>
          <w:caps w:val="false"/>
          <w:smallCaps w:val="false"/>
          <w:sz w:val="20"/>
        </w:rPr>
        <w:t xml:space="preserve"> – </w:t>
      </w:r>
      <w:r>
        <w:rPr>
          <w:rFonts w:ascii="Times New Roman;serif" w:hAnsi="Times New Roman;serif"/>
          <w:b w:val="false"/>
          <w:i w:val="false"/>
          <w:caps w:val="false"/>
          <w:smallCaps w:val="false"/>
          <w:sz w:val="20"/>
        </w:rPr>
        <w:t>Prior to COVID-19, our theatre was used by Audible to present plays featuring a limited cast of one or two characters and special live performance engagements on the Audible streaming service. Due to COVID-19, no shows were presented between March 2020 and October 8, 2021, the date on which public performances resumed, and during this period we provided certain abatements.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We are currently in negotiations with Audible regarding an extension of the term of their current license to use our Minetta Lane Theatre for their productions.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 xml:space="preserve">Prior to COVID-19, our theatre was the home of STOMP. Due to COVID-19, no shows were presented between April 2020 and June 2021. Thereafter, performances were intermittent. During this period, we provided certain abatements. STOMP ultimately closed (after 30 years at our theatre) on January 8, 2023. Under our termination agreement with the producers of STOMP, we have certain rights to provide the New York City venue for any future production of that show. </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Following STOMP’s historic run at the Orpheum, </w:t>
      </w:r>
      <w:r>
        <w:rPr>
          <w:rFonts w:ascii="Times New Roman;serif" w:hAnsi="Times New Roman;serif"/>
          <w:b w:val="false"/>
          <w:i/>
          <w:sz w:val="20"/>
        </w:rPr>
        <w:t xml:space="preserve">The Empire Strips Back </w:t>
      </w:r>
      <w:r>
        <w:rPr>
          <w:rFonts w:ascii="Times New Roman;serif" w:hAnsi="Times New Roman;serif"/>
          <w:b w:val="false"/>
          <w:i w:val="false"/>
          <w:caps w:val="false"/>
          <w:smallCaps w:val="false"/>
          <w:sz w:val="20"/>
        </w:rPr>
        <w:t xml:space="preserve">ran for approximately three months, followed by a limited holiday engagement of </w:t>
      </w:r>
      <w:r>
        <w:rPr>
          <w:rFonts w:ascii="Times New Roman;serif" w:hAnsi="Times New Roman;serif"/>
          <w:b w:val="false"/>
          <w:i/>
          <w:sz w:val="20"/>
        </w:rPr>
        <w:t>Death, Let Me Do My Show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starring comedian Rachel Bloom. </w:t>
      </w:r>
      <w:r>
        <w:rPr>
          <w:rFonts w:ascii="Times New Roman;serif" w:hAnsi="Times New Roman;serif"/>
          <w:b w:val="false"/>
          <w:i w:val="false"/>
          <w:caps w:val="false"/>
          <w:smallCaps w:val="false"/>
          <w:color w:val="252525"/>
          <w:sz w:val="20"/>
          <w:shd w:fill="FFFFFF" w:val="clear"/>
        </w:rPr>
        <w:t xml:space="preserve">The Off-Broadway solo version of William Shakespeare’s </w:t>
      </w:r>
      <w:r>
        <w:rPr>
          <w:rFonts w:ascii="Times New Roman;serif" w:hAnsi="Times New Roman;serif"/>
          <w:b w:val="false"/>
          <w:i/>
          <w:color w:val="252525"/>
          <w:sz w:val="20"/>
          <w:shd w:fill="FFFFFF" w:val="clear"/>
        </w:rPr>
        <w:t>Hamlet</w:t>
      </w:r>
      <w:r>
        <w:rPr>
          <w:rFonts w:ascii="Times New Roman;serif" w:hAnsi="Times New Roman;serif"/>
          <w:caps w:val="false"/>
          <w:smallCaps w:val="false"/>
          <w:color w:val="252525"/>
          <w:sz w:val="20"/>
          <w:shd w:fill="FFFFFF" w:val="clear"/>
        </w:rPr>
        <w:t xml:space="preserve"> </w:t>
      </w:r>
      <w:r>
        <w:rPr>
          <w:rFonts w:ascii="Times New Roman;serif" w:hAnsi="Times New Roman;serif"/>
          <w:b w:val="false"/>
          <w:i w:val="false"/>
          <w:caps w:val="false"/>
          <w:smallCaps w:val="false"/>
          <w:color w:val="252525"/>
          <w:sz w:val="20"/>
          <w:shd w:fill="FFFFFF" w:val="clear"/>
        </w:rPr>
        <w:t xml:space="preserve">starring Eddie Izzard opened at the Orpheum on March 19, 2024 and is expected to run through mid-April 2024. </w:t>
      </w:r>
      <w:r>
        <w:rPr>
          <w:rFonts w:ascii="Times New Roman;serif" w:hAnsi="Times New Roman;serif"/>
          <w:b w:val="false"/>
          <w:i w:val="false"/>
          <w:caps w:val="false"/>
          <w:smallCaps w:val="false"/>
          <w:sz w:val="20"/>
        </w:rPr>
        <w:t xml:space="preserve">We are also finalizing another license agreement for an open-ended show anticipated to open in September 2024.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Cinemas 1,2,3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These alternatives may include, again by way of example, the bringing in of a capital partner, the entering into a long-term ground lease (which could serve as the basis for medium to long term finance), and/or the sale (in whole or in part) of our interest in the property.</w:t>
      </w:r>
    </w:p>
    <w:p>
      <w:pPr>
        <w:pStyle w:val="TextBody"/>
        <w:bidi w:val="0"/>
        <w:spacing w:lineRule="auto" w:line="259"/>
        <w:ind w:left="720" w:right="0" w:hanging="0"/>
        <w:jc w:val="left"/>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continue to work on the expansion and upgrading of our Newmarket Village ETC. The site includes a 23,250 square foot parcel adjacent to the center, improved with an office building. Over the next few years, we will be evaluating development options for this space. The combined center and office building is currently 99% leased.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Cannon Park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acquired two adjoining properties in Townsville, Queensland, Australia comprising of approximately 9.4-acres in 2015. The total gross leasable area of the Cannon Park City Center and the Cannon Park Discount Center is 132,731 square feet. Our multiplex cinema is the anchor tenant at the Cannon Park City Center. This site is currently 94% leased.</w:t>
      </w:r>
    </w:p>
    <w:p>
      <w:pPr>
        <w:pStyle w:val="TextBody"/>
        <w:bidi w:val="0"/>
        <w:spacing w:lineRule="auto" w:line="259" w:before="100" w:after="283"/>
        <w:ind w:left="720" w:right="0" w:hanging="0"/>
        <w:jc w:val="both"/>
        <w:rPr/>
      </w:pPr>
      <w:r>
        <w:rPr/>
        <w:t>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The Belmont Common, (Belmont, Perth, Australia): </w:t>
      </w:r>
      <w:r>
        <w:rPr>
          <w:rFonts w:ascii="Times New Roman;serif" w:hAnsi="Times New Roman;serif"/>
          <w:b w:val="false"/>
          <w:i w:val="false"/>
          <w:caps w:val="false"/>
          <w:smallCaps w:val="false"/>
          <w:sz w:val="20"/>
        </w:rPr>
        <w:t>The total gross leasable area of the Belmont Common is 60,117 Sq ft. Our multiplex cinema is the anchor tenant with six third-party tenants and our Reading Cinemas, the site is currently 100%</w:t>
      </w:r>
      <w:r>
        <w:rPr>
          <w:rFonts w:ascii="Symbol" w:hAnsi="Symbol"/>
          <w:sz w:val="20"/>
        </w:rPr>
        <w:t xml:space="preserve"> </w:t>
      </w:r>
      <w:r>
        <w:rPr>
          <w:rFonts w:ascii="Times New Roman;serif" w:hAnsi="Times New Roman;serif"/>
          <w:b w:val="false"/>
          <w:i w:val="false"/>
          <w:caps w:val="false"/>
          <w:smallCaps w:val="false"/>
          <w:sz w:val="20"/>
        </w:rPr>
        <w:t>leased.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Courtenay Central Redevelopment (Wellington, New Zealand)</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Damage from the 2016 Kaikoura earthquake necessitated demolition of our nine-story parking garage at the site, and unrelated seismic issues caused us to close major portions of the existing cinema and retail structure in early 2019. Prior to the COVID-19 pandemic, our real estate team had developed a comprehensive plan featuring a variety of uses to complement and build upon the “destination quality” of the Courtenay Central location. Notwithstanding the COVID-19 pandemic, our real estate team is continuing to work with our consultants, tenants, potential tenants, and city representatives to advance our redevelopment plans for this property. We anticipate that this redevelopment opportunity will be a principal focus over the next few years. We remain optimistic about the development potential for our Courtenay Central property, in light of, among other things, (i) the successful June 3, 2023 opening of Takina (wcec.co.nz), this capital city’s first premium conference and exhibition space, (ii) the loosening of certain height and density restrictions, and (iii) the lack of comparable building sites.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Corporate Matters </w:t>
      </w:r>
    </w:p>
    <w:p>
      <w:pPr>
        <w:pStyle w:val="TextBody"/>
        <w:bidi w:val="0"/>
        <w:spacing w:lineRule="auto" w:line="259" w:before="100" w:after="283"/>
        <w:ind w:left="720" w:right="0" w:hanging="360"/>
        <w:jc w:val="left"/>
        <w:rPr/>
      </w:pPr>
      <w:r>
        <w:rPr>
          <w:caps w:val="false"/>
          <w:smallCaps w:val="false"/>
          <w:color w:val="000000"/>
        </w:rPr>
        <w:t></w:t>
      </w:r>
      <w:bookmarkStart w:id="32" w:name="_Hlk67930819"/>
      <w:bookmarkEnd w:id="32"/>
      <w:r>
        <w:rPr>
          <w:rFonts w:ascii="Times New Roman;serif" w:hAnsi="Times New Roman;serif"/>
          <w:b w:val="false"/>
          <w:i/>
          <w:sz w:val="20"/>
          <w:u w:val="single"/>
        </w:rPr>
        <w:t>Board Compensation and Stock Options Committee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Symbol" w:hAnsi="Symbol"/>
          <w:caps w:val="false"/>
          <w:smallCaps w:val="false"/>
          <w:sz w:val="20"/>
        </w:rPr>
        <w:t xml:space="preserve"> </w:t>
      </w:r>
      <w:r>
        <w:rPr>
          <w:rFonts w:ascii="Times New Roman;serif" w:hAnsi="Times New Roman;serif"/>
          <w:b w:val="false"/>
          <w:i/>
          <w:sz w:val="20"/>
        </w:rPr>
        <w:t>Note 16 – Share-Based Compensation and Repurchase Plans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for details regarding our Board, Executive and Employee stock-based remuneration programs. </w:t>
      </w:r>
    </w:p>
    <w:p>
      <w:pPr>
        <w:pStyle w:val="TextBody"/>
        <w:bidi w:val="0"/>
        <w:spacing w:lineRule="auto" w:line="259"/>
        <w:ind w:left="720" w:right="0" w:hanging="0"/>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bookmarkStart w:id="33" w:name="MDAResultsOfOperations"/>
      <w:bookmarkEnd w:id="33"/>
      <w:r>
        <w:rPr>
          <w:rFonts w:ascii="Times New Roman;serif" w:hAnsi="Times New Roman;serif"/>
          <w:b/>
          <w:i w:val="false"/>
          <w:caps w:val="false"/>
          <w:smallCaps w:val="false"/>
          <w:sz w:val="20"/>
        </w:rPr>
        <w:t>OVERALL RESULTS OF OPERATI</w:t>
      </w:r>
      <w:bookmarkStart w:id="34" w:name="MDAOverallResultsofOperations"/>
      <w:bookmarkEnd w:id="34"/>
      <w:r>
        <w:rPr>
          <w:rFonts w:ascii="Times New Roman;serif" w:hAnsi="Times New Roman;serif"/>
          <w:b/>
          <w:i w:val="false"/>
          <w:caps w:val="false"/>
          <w:smallCaps w:val="false"/>
          <w:sz w:val="20"/>
        </w:rPr>
        <w:t xml:space="preserve">ONS </w:t>
      </w:r>
      <w:bookmarkStart w:id="35" w:name="MDABusinessOverview"/>
      <w:bookmarkEnd w:id="35"/>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this section, we discuss the results of our operations for the year ended December 31, 2023, compared to the year ended December 31, 2022. For a discussion of the year ended December 31, 2022, compared to the year ended December 31, 2021, please refer to Part II, Item 7, “Management's Discussion and Analysis of Financial Condition and Results of Operations” in our Annual Report on Form 10-K for the year ended December 31, 2022.</w:t>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overall results of operations for the three years ended December 31, 2023:</w:t>
      </w:r>
    </w:p>
    <w:tbl>
      <w:tblPr>
        <w:tblW w:w="10205" w:type="dxa"/>
        <w:jc w:val="left"/>
        <w:tblInd w:w="0" w:type="dxa"/>
        <w:tblLayout w:type="fixed"/>
        <w:tblCellMar>
          <w:top w:w="0" w:type="dxa"/>
          <w:left w:w="0" w:type="dxa"/>
          <w:bottom w:w="0" w:type="dxa"/>
          <w:right w:w="0" w:type="dxa"/>
        </w:tblCellMar>
      </w:tblPr>
      <w:tblGrid>
        <w:gridCol w:w="2723"/>
        <w:gridCol w:w="109"/>
        <w:gridCol w:w="196"/>
        <w:gridCol w:w="687"/>
        <w:gridCol w:w="109"/>
        <w:gridCol w:w="407"/>
        <w:gridCol w:w="284"/>
        <w:gridCol w:w="109"/>
        <w:gridCol w:w="196"/>
        <w:gridCol w:w="687"/>
        <w:gridCol w:w="109"/>
        <w:gridCol w:w="407"/>
        <w:gridCol w:w="284"/>
        <w:gridCol w:w="109"/>
        <w:gridCol w:w="196"/>
        <w:gridCol w:w="687"/>
        <w:gridCol w:w="109"/>
        <w:gridCol w:w="407"/>
        <w:gridCol w:w="284"/>
        <w:gridCol w:w="109"/>
        <w:gridCol w:w="642"/>
        <w:gridCol w:w="277"/>
        <w:gridCol w:w="109"/>
        <w:gridCol w:w="637"/>
        <w:gridCol w:w="332"/>
      </w:tblGrid>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r>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r>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 Change - </w:t>
              <w:br/>
              <w:t>‎Favorable/</w:t>
              <w:br/>
              <w:t>‎(Unfavorable)</w:t>
            </w:r>
          </w:p>
        </w:tc>
      </w:tr>
      <w:tr>
        <w:trPr/>
        <w:tc>
          <w:tcPr>
            <w:tcW w:w="272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tc>
      </w:tr>
      <w:tr>
        <w:trPr/>
        <w:tc>
          <w:tcPr>
            <w:tcW w:w="2723"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506</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(5,355)</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color w:val="000000"/>
              </w:rPr>
            </w:pPr>
            <w:r>
              <w:rPr>
                <w:color w:val="000000"/>
              </w:rPr>
              <w:t>—</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(8)</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(19,418)</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(9)</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(14,392)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(13,688)</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color w:val="000000"/>
              </w:rPr>
            </w:pPr>
            <w:r>
              <w:rPr>
                <w:color w:val="000000"/>
              </w:rPr>
              <w:t>—</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92,219</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3 </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(30,595)</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(35,841)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40,758</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(4)</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(31,185)</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(36,660)</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34,814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(30,673)</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(36,184)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31,921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23</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RESULTS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2023 vs.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attributable to Reading International, Inc. was $30.7 million for the year ended December 31, 2023, a decrease of $5.5 million from a Net Loss of $36.2 million for year ended December 31, 2022. This decrease was primarily due to (i) improved segment operating performance from both cinemas and real estate, (ii) decreased depreciation and amortization expenses, and (iii) decreased general and administrative expenses, partially offset by (i) a $5.0 million increase in interest expenses due to rising interest rates, and (ii) a $7.0 million decrease in other income.</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BUSINESS SEGMENT RESULT</w:t>
      </w:r>
      <w:bookmarkStart w:id="36" w:name="Businesssegmentresult"/>
      <w:bookmarkEnd w:id="36"/>
      <w:r>
        <w:rPr>
          <w:rFonts w:ascii="Times New Roman;serif" w:hAnsi="Times New Roman;serif"/>
          <w:b/>
          <w:i w:val="false"/>
          <w:caps w:val="false"/>
          <w:smallCaps w:val="false"/>
          <w:sz w:val="20"/>
        </w:rPr>
        <w:t xml:space="preserve">S –2023 vs. 2022 </w:t>
      </w:r>
      <w:bookmarkStart w:id="37" w:name="MDASegmentCYvsPY"/>
      <w:bookmarkEnd w:id="37"/>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below is the comparison of the segment operating income of our two business segments for the years ended December 31, 2023 and 2022, respectively:</w:t>
      </w:r>
    </w:p>
    <w:tbl>
      <w:tblPr>
        <w:tblW w:w="8855" w:type="dxa"/>
        <w:jc w:val="left"/>
        <w:tblInd w:w="0" w:type="dxa"/>
        <w:tblLayout w:type="fixed"/>
        <w:tblCellMar>
          <w:top w:w="0" w:type="dxa"/>
          <w:left w:w="0" w:type="dxa"/>
          <w:bottom w:w="0" w:type="dxa"/>
          <w:right w:w="0" w:type="dxa"/>
        </w:tblCellMar>
      </w:tblPr>
      <w:tblGrid>
        <w:gridCol w:w="2581"/>
        <w:gridCol w:w="109"/>
        <w:gridCol w:w="196"/>
        <w:gridCol w:w="811"/>
        <w:gridCol w:w="109"/>
        <w:gridCol w:w="212"/>
        <w:gridCol w:w="721"/>
        <w:gridCol w:w="109"/>
        <w:gridCol w:w="196"/>
        <w:gridCol w:w="811"/>
        <w:gridCol w:w="109"/>
        <w:gridCol w:w="212"/>
        <w:gridCol w:w="721"/>
        <w:gridCol w:w="109"/>
        <w:gridCol w:w="493"/>
        <w:gridCol w:w="271"/>
        <w:gridCol w:w="109"/>
        <w:gridCol w:w="581"/>
        <w:gridCol w:w="395"/>
      </w:tblGrid>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93"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1" w:type="dxa"/>
            <w:tcBorders/>
            <w:shd w:fill="FFFFFF" w:val="clear"/>
            <w:vAlign w:val="center"/>
          </w:tcPr>
          <w:p>
            <w:pPr>
              <w:pStyle w:val="TableContents"/>
              <w:bidi w:val="0"/>
              <w:spacing w:before="0" w:after="283"/>
              <w:jc w:val="left"/>
              <w:rPr>
                <w:sz w:val="4"/>
                <w:szCs w:val="4"/>
              </w:rPr>
            </w:pPr>
            <w:r>
              <w:rPr>
                <w:sz w:val="4"/>
                <w:szCs w:val="4"/>
              </w:rPr>
            </w:r>
          </w:p>
        </w:tc>
        <w:tc>
          <w:tcPr>
            <w:tcW w:w="3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93"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1" w:type="dxa"/>
            <w:tcBorders/>
            <w:shd w:fill="FFFFFF" w:val="clear"/>
            <w:vAlign w:val="center"/>
          </w:tcPr>
          <w:p>
            <w:pPr>
              <w:pStyle w:val="TableContents"/>
              <w:bidi w:val="0"/>
              <w:spacing w:before="0" w:after="283"/>
              <w:jc w:val="left"/>
              <w:rPr>
                <w:sz w:val="4"/>
                <w:szCs w:val="4"/>
              </w:rPr>
            </w:pPr>
            <w:r>
              <w:rPr>
                <w:sz w:val="4"/>
                <w:szCs w:val="4"/>
              </w:rPr>
            </w:r>
          </w:p>
        </w:tc>
        <w:tc>
          <w:tcPr>
            <w:tcW w:w="395"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br/>
              <w:t>‎Favorable/</w:t>
              <w:br/>
              <w:t>‎(Unfavorable)</w:t>
            </w:r>
          </w:p>
        </w:tc>
      </w:tr>
      <w:tr>
        <w:trPr/>
        <w:tc>
          <w:tcPr>
            <w:tcW w:w="25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207,641 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19,870 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191,321 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16,817 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9 </w:t>
            </w:r>
          </w:p>
        </w:tc>
        <w:tc>
          <w:tcPr>
            <w:tcW w:w="2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18 </w:t>
            </w:r>
          </w:p>
        </w:tc>
        <w:tc>
          <w:tcPr>
            <w:tcW w:w="39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(183,791)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(11,335)</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(13,351)</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(6,495)</w:t>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15 </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w:t>
            </w:r>
          </w:p>
        </w:tc>
        <w:tc>
          <w:tcPr>
            <w:tcW w:w="3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8 </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Impairment of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100</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3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segment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124 </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(11,716)</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506 </w:t>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2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395"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i/>
                <w:color w:val="000000"/>
                <w:sz w:val="16"/>
              </w:rPr>
            </w:pPr>
            <w:r>
              <w:rPr>
                <w:rFonts w:ascii="Times New Roman;serif" w:hAnsi="Times New Roman;serif"/>
                <w:b/>
                <w:i/>
                <w:color w:val="000000"/>
                <w:sz w:val="16"/>
              </w:rPr>
              <w:t>Breakdown by country: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before="0" w:after="283"/>
              <w:jc w:val="left"/>
              <w:rPr>
                <w:sz w:val="4"/>
                <w:szCs w:val="4"/>
              </w:rPr>
            </w:pPr>
            <w:r>
              <w:rPr>
                <w:sz w:val="4"/>
                <w:szCs w:val="4"/>
              </w:rPr>
            </w:r>
          </w:p>
        </w:tc>
        <w:tc>
          <w:tcPr>
            <w:tcW w:w="395" w:type="dxa"/>
            <w:tcBorders/>
            <w:shd w:fill="CCEEFF" w:val="clear"/>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(5,825)</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(17,187)</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(3,640)</w:t>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66 </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79 </w:t>
            </w:r>
          </w:p>
        </w:tc>
        <w:tc>
          <w:tcPr>
            <w:tcW w:w="3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5,278 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5,345 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4,945 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5,157 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7 </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671 </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526 </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(1,011)</w:t>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28 </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21 </w:t>
            </w:r>
          </w:p>
        </w:tc>
        <w:tc>
          <w:tcPr>
            <w:tcW w:w="39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9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39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discussion for each segment follows: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years ended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December 31, 2023 and 2022, respectively:</w:t>
      </w:r>
    </w:p>
    <w:tbl>
      <w:tblPr>
        <w:tblW w:w="10205" w:type="dxa"/>
        <w:jc w:val="left"/>
        <w:tblInd w:w="0" w:type="dxa"/>
        <w:tblLayout w:type="fixed"/>
        <w:tblCellMar>
          <w:top w:w="0" w:type="dxa"/>
          <w:left w:w="0" w:type="dxa"/>
          <w:bottom w:w="0" w:type="dxa"/>
          <w:right w:w="0" w:type="dxa"/>
        </w:tblCellMar>
      </w:tblPr>
      <w:tblGrid>
        <w:gridCol w:w="186"/>
        <w:gridCol w:w="696"/>
        <w:gridCol w:w="669"/>
        <w:gridCol w:w="3060"/>
        <w:gridCol w:w="109"/>
        <w:gridCol w:w="181"/>
        <w:gridCol w:w="669"/>
        <w:gridCol w:w="109"/>
        <w:gridCol w:w="540"/>
        <w:gridCol w:w="273"/>
        <w:gridCol w:w="109"/>
        <w:gridCol w:w="181"/>
        <w:gridCol w:w="669"/>
        <w:gridCol w:w="109"/>
        <w:gridCol w:w="540"/>
        <w:gridCol w:w="273"/>
        <w:gridCol w:w="109"/>
        <w:gridCol w:w="625"/>
        <w:gridCol w:w="109"/>
        <w:gridCol w:w="626"/>
        <w:gridCol w:w="363"/>
      </w:tblGrid>
      <w:tr>
        <w:trPr/>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696"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30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363" w:type="dxa"/>
            <w:tcBorders/>
            <w:shd w:fill="FFFFFF" w:val="clear"/>
            <w:vAlign w:val="center"/>
          </w:tcPr>
          <w:p>
            <w:pPr>
              <w:pStyle w:val="TableContents"/>
              <w:bidi w:val="0"/>
              <w:spacing w:before="0" w:after="283"/>
              <w:jc w:val="left"/>
              <w:rPr>
                <w:sz w:val="4"/>
                <w:szCs w:val="4"/>
              </w:rPr>
            </w:pPr>
            <w:r>
              <w:rPr>
                <w:sz w:val="4"/>
                <w:szCs w:val="4"/>
              </w:rPr>
            </w:r>
          </w:p>
        </w:tc>
      </w:tr>
      <w:tr>
        <w:trPr/>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696"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30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363" w:type="dxa"/>
            <w:tcBorders/>
            <w:shd w:fill="FFFFFF" w:val="clear"/>
            <w:vAlign w:val="center"/>
          </w:tcPr>
          <w:p>
            <w:pPr>
              <w:pStyle w:val="TableContents"/>
              <w:bidi w:val="0"/>
              <w:spacing w:before="0" w:after="283"/>
              <w:jc w:val="left"/>
              <w:rPr>
                <w:sz w:val="4"/>
                <w:szCs w:val="4"/>
              </w:rPr>
            </w:pPr>
            <w:r>
              <w:rPr>
                <w:sz w:val="4"/>
                <w:szCs w:val="4"/>
              </w:rPr>
            </w:r>
          </w:p>
        </w:tc>
      </w:tr>
      <w:tr>
        <w:trPr/>
        <w:tc>
          <w:tcPr>
            <w:tcW w:w="4611"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 vs. 2022</w:t>
            </w:r>
          </w:p>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Favorable/</w:t>
            </w:r>
          </w:p>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(Unfavorable)</w:t>
            </w:r>
          </w:p>
        </w:tc>
      </w:tr>
      <w:tr>
        <w:trPr/>
        <w:tc>
          <w:tcPr>
            <w:tcW w:w="4611" w:type="dxa"/>
            <w:gridSpan w:val="4"/>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38,884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33,859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5,025</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113,798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97,084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16,714</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48,630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48,734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26,119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26,276</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(157)</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80,025</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79,892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4,585</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4,728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13,818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14,346</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(528)</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3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revenue</w:t>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207,641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191,322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16,319</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3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(34,182)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(29,975)</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4,207</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(25,090)</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(24,792)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298</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(41,868)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(111,209)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(102,779)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8,430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(5,609)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(5,404)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205</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(23,798)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(22,961)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837</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(68,428)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(68,002)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3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(3,858)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(3,991)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(3,081)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(3,141)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(12,547)</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(91)</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(13,011)</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(464)</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5"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(192,184)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(183,792)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8,392</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3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(5,912)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(7,194)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(1,282)</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pPr>
            <w:r>
              <w:rPr/>
              <w:t>—</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(2,502)</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(2,749)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(247)</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(11,492)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365"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(4,824)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(524)</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(6,319)</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(6,945)</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(626)</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pPr>
            <w:r>
              <w:rPr/>
              <w:t>—</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pPr>
            <w:r>
              <w:rPr/>
              <w:t>—</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696" w:type="dxa"/>
            <w:tcBorders/>
            <w:shd w:fill="CCEEFF" w:val="clear"/>
            <w:vAlign w:val="center"/>
          </w:tcPr>
          <w:p>
            <w:pPr>
              <w:pStyle w:val="TableContents"/>
              <w:bidi w:val="0"/>
              <w:spacing w:before="0" w:after="283"/>
              <w:jc w:val="left"/>
              <w:rPr>
                <w:sz w:val="4"/>
                <w:szCs w:val="4"/>
              </w:rPr>
            </w:pPr>
            <w:r>
              <w:rPr>
                <w:sz w:val="4"/>
                <w:szCs w:val="4"/>
              </w:rPr>
            </w:r>
          </w:p>
        </w:tc>
        <w:tc>
          <w:tcPr>
            <w:tcW w:w="669" w:type="dxa"/>
            <w:tcBorders/>
            <w:shd w:fill="CCEEFF" w:val="clear"/>
            <w:vAlign w:val="center"/>
          </w:tcPr>
          <w:p>
            <w:pPr>
              <w:pStyle w:val="TableContents"/>
              <w:bidi w:val="0"/>
              <w:spacing w:before="0" w:after="283"/>
              <w:jc w:val="left"/>
              <w:rPr>
                <w:sz w:val="4"/>
                <w:szCs w:val="4"/>
              </w:rPr>
            </w:pPr>
            <w:r>
              <w:rPr>
                <w:sz w:val="4"/>
                <w:szCs w:val="4"/>
              </w:rPr>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expenses</w:t>
            </w:r>
          </w:p>
        </w:tc>
        <w:tc>
          <w:tcPr>
            <w:tcW w:w="306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(203,038)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611"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5"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5,278</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4,945</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5"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9"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5"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9"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(11,716)</w:t>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11,840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quarters ended December 31, 2023 and 2022, respectively</w:t>
      </w:r>
      <w:r>
        <w:rPr>
          <w:rFonts w:ascii="Times New Roman;serif" w:hAnsi="Times New Roman;serif"/>
          <w:b w:val="false"/>
          <w:i/>
          <w:sz w:val="20"/>
        </w:rPr>
        <w:t>:</w:t>
      </w:r>
    </w:p>
    <w:tbl>
      <w:tblPr>
        <w:tblW w:w="10205" w:type="dxa"/>
        <w:jc w:val="left"/>
        <w:tblInd w:w="0" w:type="dxa"/>
        <w:tblLayout w:type="fixed"/>
        <w:tblCellMar>
          <w:top w:w="0" w:type="dxa"/>
          <w:left w:w="0" w:type="dxa"/>
          <w:bottom w:w="0" w:type="dxa"/>
          <w:right w:w="0" w:type="dxa"/>
        </w:tblCellMar>
      </w:tblPr>
      <w:tblGrid>
        <w:gridCol w:w="207"/>
        <w:gridCol w:w="767"/>
        <w:gridCol w:w="710"/>
        <w:gridCol w:w="3217"/>
        <w:gridCol w:w="109"/>
        <w:gridCol w:w="181"/>
        <w:gridCol w:w="586"/>
        <w:gridCol w:w="109"/>
        <w:gridCol w:w="509"/>
        <w:gridCol w:w="261"/>
        <w:gridCol w:w="109"/>
        <w:gridCol w:w="181"/>
        <w:gridCol w:w="586"/>
        <w:gridCol w:w="109"/>
        <w:gridCol w:w="509"/>
        <w:gridCol w:w="261"/>
        <w:gridCol w:w="109"/>
        <w:gridCol w:w="594"/>
        <w:gridCol w:w="109"/>
        <w:gridCol w:w="622"/>
        <w:gridCol w:w="360"/>
      </w:tblGrid>
      <w:tr>
        <w:trPr/>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32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shd w:fill="FFFFFF" w:val="clear"/>
            <w:vAlign w:val="center"/>
          </w:tcPr>
          <w:p>
            <w:pPr>
              <w:pStyle w:val="TableContents"/>
              <w:bidi w:val="0"/>
              <w:spacing w:before="0" w:after="283"/>
              <w:jc w:val="left"/>
              <w:rPr>
                <w:sz w:val="4"/>
                <w:szCs w:val="4"/>
              </w:rPr>
            </w:pPr>
            <w:r>
              <w:rPr>
                <w:sz w:val="4"/>
                <w:szCs w:val="4"/>
              </w:rPr>
            </w:r>
          </w:p>
        </w:tc>
        <w:tc>
          <w:tcPr>
            <w:tcW w:w="360" w:type="dxa"/>
            <w:tcBorders/>
            <w:shd w:fill="FFFFFF" w:val="clear"/>
            <w:vAlign w:val="center"/>
          </w:tcPr>
          <w:p>
            <w:pPr>
              <w:pStyle w:val="TableContents"/>
              <w:bidi w:val="0"/>
              <w:spacing w:before="0" w:after="283"/>
              <w:jc w:val="left"/>
              <w:rPr>
                <w:sz w:val="4"/>
                <w:szCs w:val="4"/>
              </w:rPr>
            </w:pPr>
            <w:r>
              <w:rPr>
                <w:sz w:val="4"/>
                <w:szCs w:val="4"/>
              </w:rPr>
            </w:r>
          </w:p>
        </w:tc>
      </w:tr>
      <w:tr>
        <w:trPr/>
        <w:tc>
          <w:tcPr>
            <w:tcW w:w="4901"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4"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2"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 vs. 2022</w:t>
            </w:r>
          </w:p>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Favorable/</w:t>
            </w:r>
          </w:p>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(Unfavorable)</w:t>
            </w:r>
          </w:p>
        </w:tc>
      </w:tr>
      <w:tr>
        <w:trPr/>
        <w:tc>
          <w:tcPr>
            <w:tcW w:w="4901"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7,776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8,423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(647)</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23,740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24,552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(812)</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5,103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5,269</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(166)</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15,687</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16,095</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(408)</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811</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(271)</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2,483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3,199</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(716)</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shd w:fill="CCEEFF" w:val="clear"/>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41,910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43,846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(1,936)</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shd w:fill="CCEEFF" w:val="clear"/>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(6,619)</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(7,545)</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(926)</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(6,322)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(6,345)</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(10,640)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(43)</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(24,326)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(102)</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(26,947)</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(2,621)</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(1,202)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(1,152)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(5,694)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(5,617)</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(905)</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(211)</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(758)</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Other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(2,700)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(3,119)</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(419)</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shd w:fill="CCEEFF" w:val="clear"/>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(42,243)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(101)</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(45,380)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(3,137)</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1"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before="0" w:after="283"/>
              <w:jc w:val="left"/>
              <w:rPr>
                <w:sz w:val="4"/>
                <w:szCs w:val="4"/>
              </w:rPr>
            </w:pPr>
            <w:r>
              <w:rPr>
                <w:sz w:val="4"/>
                <w:szCs w:val="4"/>
              </w:rPr>
            </w:r>
          </w:p>
        </w:tc>
        <w:tc>
          <w:tcPr>
            <w:tcW w:w="360" w:type="dxa"/>
            <w:tcBorders/>
            <w:shd w:fill="CCEEFF" w:val="clear"/>
            <w:vAlign w:val="center"/>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(1,821)</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(427)</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pPr>
            <w:r>
              <w:rPr/>
              <w:t>—</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pPr>
            <w:r>
              <w:rPr/>
              <w:t>—</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(628)</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(1,564)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(1,672)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(108)</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pPr>
            <w:r>
              <w:rPr/>
              <w:t>—</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pPr>
            <w:r>
              <w:rPr/>
              <w:t>—</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impairment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2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(49,660)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(113)</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(3,618)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901"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(891)</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7"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(4,132)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(5,814)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1,682</w:t>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36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 Exhibition Segment Operating Income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Cinema exhibition segment operating loss decreased by $11.8 million, to an income of $0.1 million for the year ended December 31, 2023, compared to December 31, 2022, primarily driven by (i) improved cinema performance as a result of stronger movie slate and more patrons returning to the theaters. Major movie studios released blockbuster movies, such as </w:t>
      </w:r>
      <w:r>
        <w:rPr>
          <w:rFonts w:ascii="Times New Roman;serif" w:hAnsi="Times New Roman;serif"/>
          <w:b w:val="false"/>
          <w:i/>
          <w:sz w:val="20"/>
        </w:rPr>
        <w:t>Barbie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Oppenheimer</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Super Mario Bros. Movie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Guardians of the Galaxy Vol. 3</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Fast X</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Spider-Man: Across the Spider-Verse</w:t>
      </w:r>
      <w:r>
        <w:rPr>
          <w:rFonts w:ascii="Times New Roman;serif" w:hAnsi="Times New Roman;serif"/>
          <w:b w:val="false"/>
          <w:i w:val="false"/>
          <w:caps w:val="false"/>
          <w:smallCaps w:val="false"/>
          <w:sz w:val="20"/>
        </w:rPr>
        <w:t>, which have driven higher admissions and box office revenue in the U.S., (ii) decrease in depreciation, amortization, general and administrative expense, (iii) impairment expense that was incurred in 2022 that was not incurred in 2023.</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exhibition segment operating loss for the fourth quarter of 2023 was $4.1 million, a decrease of $1.7 million from an operating loss of $5.8 million in the same time period of 2022 primarily attributable to better operating performance world-wide.</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Cinema revenue increased by $16.3 million, to $207.6 million for the year ended December 31, 2023, compared to 2022 primarily as a result of blockbuster hits, such as </w:t>
      </w:r>
      <w:r>
        <w:rPr>
          <w:rFonts w:ascii="Times New Roman;serif" w:hAnsi="Times New Roman;serif"/>
          <w:b w:val="false"/>
          <w:i/>
          <w:sz w:val="20"/>
        </w:rPr>
        <w:t>Barbie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Oppenheimer</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The Super Mario Bros. Movie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Guardians of the Galaxy Vol. 3</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Spider-Man: Across The Spider-Verse.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the years ended December 31, 2023, and 2022, respectively:</w:t>
      </w:r>
    </w:p>
    <w:tbl>
      <w:tblPr>
        <w:tblW w:w="6777" w:type="dxa"/>
        <w:jc w:val="left"/>
        <w:tblInd w:w="0" w:type="dxa"/>
        <w:tblLayout w:type="fixed"/>
        <w:tblCellMar>
          <w:top w:w="0" w:type="dxa"/>
          <w:left w:w="0" w:type="dxa"/>
          <w:bottom w:w="0" w:type="dxa"/>
          <w:right w:w="0" w:type="dxa"/>
        </w:tblCellMar>
      </w:tblPr>
      <w:tblGrid>
        <w:gridCol w:w="1891"/>
        <w:gridCol w:w="109"/>
        <w:gridCol w:w="196"/>
        <w:gridCol w:w="691"/>
        <w:gridCol w:w="109"/>
        <w:gridCol w:w="421"/>
        <w:gridCol w:w="270"/>
        <w:gridCol w:w="109"/>
        <w:gridCol w:w="196"/>
        <w:gridCol w:w="691"/>
        <w:gridCol w:w="109"/>
        <w:gridCol w:w="439"/>
        <w:gridCol w:w="252"/>
        <w:gridCol w:w="109"/>
        <w:gridCol w:w="648"/>
        <w:gridCol w:w="537"/>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113,798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55</w:t>
            </w:r>
          </w:p>
        </w:tc>
        <w:tc>
          <w:tcPr>
            <w:tcW w:w="27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51</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53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80,025</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39</w:t>
            </w:r>
          </w:p>
        </w:tc>
        <w:tc>
          <w:tcPr>
            <w:tcW w:w="270"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79,892</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42</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537"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537"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207,641</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w:t>
            </w:r>
          </w:p>
        </w:tc>
        <w:tc>
          <w:tcPr>
            <w:tcW w:w="270"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191,322</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537"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left"/>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Below are the changes in our cinema revenue by market:</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In the United States, cinema revenues increased by $16.7 million, to $113.8 million for the year ended December 31, 2023, compared to 2022. </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In Australia, cinema revenues increased by $0.1 million, to $80.0 million for the year ended December 31, 2023, compared to 2022. </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In New Zealand, cinema revenues decreased by $0.5 million, to $13.8 million for the year ended December 31, 2023, compared to 2022.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For the quarter ended December 31, 2023, Cinema segment revenue decreased by $1.9 million against the fourth quarter of 2022, to $41.9 million, which was primarily attributable to a weaker film slate in 2023 vs 2022 when </w:t>
      </w:r>
      <w:r>
        <w:rPr>
          <w:rFonts w:ascii="Times New Roman;serif" w:hAnsi="Times New Roman;serif"/>
          <w:b w:val="false"/>
          <w:i/>
          <w:sz w:val="20"/>
        </w:rPr>
        <w:t xml:space="preserve">Black Panther: Wakanda Forever, Avatar: The Way of Water,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Black Adam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were all released.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Operating Expense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 for the full year 2023 increased by $8.4 million, to $192.2 million when compared to 2022 due to higher film rent associated with increased ticket sales and the release of more major tentpole films, higher food &amp; beverage costs, and higher insurance expense, along with increased occupancy expenses in the U.S.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December 31, 2023, operating expenses decreased by $3.1 million, to $42.2 million when compared to the fourth quarter of 2022 due to decreased film rent and concession cost as a result of lower attendance along with a decrease in other operating expense.</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Depreciation, Amortization, Impairment, General and Administrative Expense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amortization, general and administrative expense for the year-ended December 31, 2023 decreased by $3.9 million, to $15.3 million compared to 2022 primarily driven by a $1.5 million impairment expense that was incurred in 2022 that was not incurred in 2023, cinema closures in U.S. and delay in CAPEX spending.</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years ended December 31, 2023 and 2022, respectively:</w:t>
      </w:r>
    </w:p>
    <w:tbl>
      <w:tblPr>
        <w:tblW w:w="10205" w:type="dxa"/>
        <w:jc w:val="left"/>
        <w:tblInd w:w="0" w:type="dxa"/>
        <w:tblLayout w:type="fixed"/>
        <w:tblCellMar>
          <w:top w:w="0" w:type="dxa"/>
          <w:left w:w="0" w:type="dxa"/>
          <w:bottom w:w="0" w:type="dxa"/>
          <w:right w:w="0" w:type="dxa"/>
        </w:tblCellMar>
      </w:tblPr>
      <w:tblGrid>
        <w:gridCol w:w="175"/>
        <w:gridCol w:w="1228"/>
        <w:gridCol w:w="154"/>
        <w:gridCol w:w="3186"/>
        <w:gridCol w:w="109"/>
        <w:gridCol w:w="181"/>
        <w:gridCol w:w="595"/>
        <w:gridCol w:w="109"/>
        <w:gridCol w:w="547"/>
        <w:gridCol w:w="276"/>
        <w:gridCol w:w="109"/>
        <w:gridCol w:w="181"/>
        <w:gridCol w:w="595"/>
        <w:gridCol w:w="109"/>
        <w:gridCol w:w="547"/>
        <w:gridCol w:w="276"/>
        <w:gridCol w:w="109"/>
        <w:gridCol w:w="621"/>
        <w:gridCol w:w="109"/>
        <w:gridCol w:w="603"/>
        <w:gridCol w:w="386"/>
      </w:tblGrid>
      <w:tr>
        <w:trPr/>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c>
          <w:tcPr>
            <w:tcW w:w="31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7"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7"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r>
      <w:tr>
        <w:trPr/>
        <w:tc>
          <w:tcPr>
            <w:tcW w:w="4743"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 vs. 2022</w:t>
            </w:r>
          </w:p>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Favorable/</w:t>
            </w:r>
          </w:p>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(Unfavorable)</w:t>
            </w:r>
          </w:p>
        </w:tc>
      </w:tr>
      <w:tr>
        <w:trPr/>
        <w:tc>
          <w:tcPr>
            <w:tcW w:w="4743"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4,395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1,308</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3,087</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6,197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3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12,164</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12,246</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19,870</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16,817</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3,053</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43"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386" w:type="dxa"/>
            <w:tcBorders/>
            <w:shd w:fill="CCEEFF" w:val="clear"/>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before="0" w:after="283"/>
              <w:jc w:val="left"/>
              <w:rPr>
                <w:sz w:val="4"/>
                <w:szCs w:val="4"/>
              </w:rPr>
            </w:pPr>
            <w:r>
              <w:rPr>
                <w:sz w:val="4"/>
                <w:szCs w:val="4"/>
              </w:rPr>
            </w:r>
          </w:p>
        </w:tc>
        <w:tc>
          <w:tcPr>
            <w:tcW w:w="13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(727)</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(162)</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(990)</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(982)</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38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(2,109)</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(2,175)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(4,065)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(4,232)</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(35)</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(167)</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(75)</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(419)</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(401)</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43"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(700)</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(2,514)</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(2,683)</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(169)</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(2,754)</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(2,857)</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(103)</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pPr>
            <w:r>
              <w:rPr/>
              <w:t>—</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8" w:type="dxa"/>
            <w:tcBorders/>
            <w:shd w:fill="CCEEFF" w:val="clear"/>
            <w:vAlign w:val="center"/>
          </w:tcPr>
          <w:p>
            <w:pPr>
              <w:pStyle w:val="TableContents"/>
              <w:bidi w:val="0"/>
              <w:spacing w:before="0" w:after="283"/>
              <w:jc w:val="left"/>
              <w:rPr>
                <w:sz w:val="4"/>
                <w:szCs w:val="4"/>
              </w:rPr>
            </w:pPr>
            <w:r>
              <w:rPr>
                <w:sz w:val="4"/>
                <w:szCs w:val="4"/>
              </w:rPr>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743"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5,345</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5,157</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188</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7"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3,791</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506</w:t>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3,285</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quarters ended December 31, 2023 and 2022, respectively:</w:t>
      </w:r>
    </w:p>
    <w:tbl>
      <w:tblPr>
        <w:tblW w:w="10205" w:type="dxa"/>
        <w:jc w:val="left"/>
        <w:tblInd w:w="0" w:type="dxa"/>
        <w:tblLayout w:type="fixed"/>
        <w:tblCellMar>
          <w:top w:w="0" w:type="dxa"/>
          <w:left w:w="0" w:type="dxa"/>
          <w:bottom w:w="0" w:type="dxa"/>
          <w:right w:w="0" w:type="dxa"/>
        </w:tblCellMar>
      </w:tblPr>
      <w:tblGrid>
        <w:gridCol w:w="171"/>
        <w:gridCol w:w="1352"/>
        <w:gridCol w:w="151"/>
        <w:gridCol w:w="3191"/>
        <w:gridCol w:w="109"/>
        <w:gridCol w:w="181"/>
        <w:gridCol w:w="522"/>
        <w:gridCol w:w="109"/>
        <w:gridCol w:w="554"/>
        <w:gridCol w:w="279"/>
        <w:gridCol w:w="109"/>
        <w:gridCol w:w="181"/>
        <w:gridCol w:w="522"/>
        <w:gridCol w:w="109"/>
        <w:gridCol w:w="516"/>
        <w:gridCol w:w="316"/>
        <w:gridCol w:w="109"/>
        <w:gridCol w:w="624"/>
        <w:gridCol w:w="109"/>
        <w:gridCol w:w="628"/>
        <w:gridCol w:w="363"/>
      </w:tblGrid>
      <w:tr>
        <w:trPr/>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52"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31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shd w:fill="FFFFFF" w:val="clear"/>
            <w:vAlign w:val="center"/>
          </w:tcPr>
          <w:p>
            <w:pPr>
              <w:pStyle w:val="TableContents"/>
              <w:bidi w:val="0"/>
              <w:spacing w:before="0" w:after="283"/>
              <w:jc w:val="left"/>
              <w:rPr>
                <w:sz w:val="4"/>
                <w:szCs w:val="4"/>
              </w:rPr>
            </w:pPr>
            <w:r>
              <w:rPr>
                <w:sz w:val="4"/>
                <w:szCs w:val="4"/>
              </w:rPr>
            </w:r>
          </w:p>
        </w:tc>
        <w:tc>
          <w:tcPr>
            <w:tcW w:w="363" w:type="dxa"/>
            <w:tcBorders/>
            <w:shd w:fill="FFFFFF" w:val="clear"/>
            <w:vAlign w:val="center"/>
          </w:tcPr>
          <w:p>
            <w:pPr>
              <w:pStyle w:val="TableContents"/>
              <w:bidi w:val="0"/>
              <w:spacing w:before="0" w:after="283"/>
              <w:jc w:val="left"/>
              <w:rPr>
                <w:sz w:val="4"/>
                <w:szCs w:val="4"/>
              </w:rPr>
            </w:pPr>
            <w:r>
              <w:rPr>
                <w:sz w:val="4"/>
                <w:szCs w:val="4"/>
              </w:rPr>
            </w:r>
          </w:p>
        </w:tc>
      </w:tr>
      <w:tr>
        <w:trPr/>
        <w:tc>
          <w:tcPr>
            <w:tcW w:w="4865"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 vs. 2022</w:t>
            </w:r>
          </w:p>
          <w:p>
            <w:pPr>
              <w:pStyle w:val="TableContents"/>
              <w:bidi w:val="0"/>
              <w:spacing w:lineRule="auto" w:line="259"/>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Favorable/</w:t>
            </w:r>
          </w:p>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(Unfavorable)</w:t>
            </w:r>
          </w:p>
        </w:tc>
      </w:tr>
      <w:tr>
        <w:trPr/>
        <w:tc>
          <w:tcPr>
            <w:tcW w:w="4865"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64</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863</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69</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2,973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2,910</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4,532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4,552</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5"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(196)</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(107)</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(247)</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(67)</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(579)</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(935)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(1,095)</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(83)</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(80)</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5"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(64)</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(641)</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(665)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(703)</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pPr>
            <w:r>
              <w:rPr/>
              <w:t>—</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pPr>
            <w:r>
              <w:rPr/>
              <w:t>—</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2"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(87)</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4865"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(45)</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1,373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1,112</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4"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4"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579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631</w:t>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w:t>
            </w:r>
          </w:p>
        </w:tc>
        <w:tc>
          <w:tcPr>
            <w:tcW w:w="31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Real Estate Segment Operating Income</w:t>
      </w:r>
    </w:p>
    <w:p>
      <w:pPr>
        <w:pStyle w:val="TextBody"/>
        <w:bidi w:val="0"/>
        <w:spacing w:lineRule="auto" w:line="259"/>
        <w:jc w:val="left"/>
        <w:rPr>
          <w:rFonts w:ascii="Times New Roman;serif" w:hAnsi="Times New Roman;serif"/>
          <w:b w:val="false"/>
          <w:i w:val="false"/>
          <w:caps w:val="false"/>
          <w:smallCaps w:val="false"/>
          <w:sz w:val="20"/>
        </w:rPr>
      </w:pPr>
      <w:bookmarkStart w:id="38" w:name="_Hlk68022640"/>
      <w:bookmarkEnd w:id="38"/>
      <w:r>
        <w:rPr>
          <w:rFonts w:ascii="Times New Roman;serif" w:hAnsi="Times New Roman;serif"/>
          <w:b w:val="false"/>
          <w:i w:val="false"/>
          <w:caps w:val="false"/>
          <w:smallCaps w:val="false"/>
          <w:sz w:val="20"/>
        </w:rPr>
        <w:t>Real estate segment operating income was $3.8 million for the year ended December 31, 2023, which was an increase of $3.3 million from an operating income of $0.5 million for the year ended December 31, 2022, primarily as a result of recognition of rental income from our tenant at our 44 Union Square property, which did not occur in the same period of the prior year.</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each year:</w:t>
      </w:r>
    </w:p>
    <w:tbl>
      <w:tblPr>
        <w:tblW w:w="6597" w:type="dxa"/>
        <w:jc w:val="left"/>
        <w:tblInd w:w="0" w:type="dxa"/>
        <w:tblLayout w:type="fixed"/>
        <w:tblCellMar>
          <w:top w:w="0" w:type="dxa"/>
          <w:left w:w="0" w:type="dxa"/>
          <w:bottom w:w="0" w:type="dxa"/>
          <w:right w:w="0" w:type="dxa"/>
        </w:tblCellMar>
      </w:tblPr>
      <w:tblGrid>
        <w:gridCol w:w="1891"/>
        <w:gridCol w:w="109"/>
        <w:gridCol w:w="196"/>
        <w:gridCol w:w="601"/>
        <w:gridCol w:w="109"/>
        <w:gridCol w:w="439"/>
        <w:gridCol w:w="252"/>
        <w:gridCol w:w="109"/>
        <w:gridCol w:w="196"/>
        <w:gridCol w:w="601"/>
        <w:gridCol w:w="109"/>
        <w:gridCol w:w="439"/>
        <w:gridCol w:w="252"/>
        <w:gridCol w:w="109"/>
        <w:gridCol w:w="734"/>
        <w:gridCol w:w="451"/>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31</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18</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12,164</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61</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12,246</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73</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451"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8</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9</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451"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19,870</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16,817</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451"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revenues for the year ended December 31, 2023, increased by $3.1 million, to $19.9 million compared to 2022. This increase is attributable to recognition of rental income from our tenant at our 44 Union Square property, which did not occur in the same period of the prior year.</w:t>
      </w:r>
    </w:p>
    <w:p>
      <w:pPr>
        <w:pStyle w:val="TextBody"/>
        <w:bidi w:val="0"/>
        <w:spacing w:lineRule="auto" w:line="259"/>
        <w:jc w:val="left"/>
        <w:rPr>
          <w:rFonts w:ascii="Times New Roman;serif" w:hAnsi="Times New Roman;serif"/>
          <w:sz w:val="20"/>
        </w:rPr>
      </w:pPr>
      <w:bookmarkStart w:id="39" w:name="MDANonSegmentResults"/>
      <w:bookmarkEnd w:id="39"/>
      <w:r>
        <w:rPr>
          <w:rFonts w:ascii="Times New Roman;serif" w:hAnsi="Times New Roman;serif"/>
          <w:b/>
          <w:i w:val="false"/>
          <w:caps w:val="false"/>
          <w:smallCaps w:val="false"/>
          <w:sz w:val="20"/>
        </w:rPr>
        <w:t>NON-SEGMENT RES</w:t>
      </w:r>
      <w:bookmarkStart w:id="40" w:name="Nonsegmentresult"/>
      <w:bookmarkEnd w:id="40"/>
      <w:r>
        <w:rPr>
          <w:rFonts w:ascii="Times New Roman;serif" w:hAnsi="Times New Roman;serif"/>
          <w:b/>
          <w:i w:val="false"/>
          <w:caps w:val="false"/>
          <w:smallCaps w:val="false"/>
          <w:sz w:val="20"/>
        </w:rPr>
        <w:t>ULTS – 2023 vs. 2022</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the legal expense, 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Income Tax Expense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expense decreased by $0.2 million, to $0.6 million, when compared to 2022, primarily due to a decrease in reserve for uncertain tax positions in 2023.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Supplementary Data—Notes to Consolidated Financial Statements-- Note 11 – Income Taxes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information.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LIQUIDITY AND CAPITAL RESOU</w:t>
      </w:r>
      <w:bookmarkStart w:id="41" w:name="MDALiquidity"/>
      <w:bookmarkEnd w:id="41"/>
      <w:r>
        <w:rPr>
          <w:rFonts w:ascii="Times New Roman;serif" w:hAnsi="Times New Roman;serif"/>
          <w:b/>
          <w:i w:val="false"/>
          <w:caps w:val="false"/>
          <w:smallCaps w:val="false"/>
          <w:sz w:val="20"/>
        </w:rPr>
        <w:t>RCES</w:t>
      </w:r>
    </w:p>
    <w:p>
      <w:pPr>
        <w:pStyle w:val="TextBody"/>
        <w:bidi w:val="0"/>
        <w:spacing w:lineRule="auto" w:line="259"/>
        <w:jc w:val="left"/>
        <w:rPr>
          <w:rFonts w:ascii="Times New Roman;serif" w:hAnsi="Times New Roman;serif"/>
          <w:b/>
          <w:i w:val="false"/>
          <w:caps w:val="false"/>
          <w:smallCaps w:val="false"/>
          <w:sz w:val="20"/>
          <w:u w:val="single"/>
        </w:rPr>
      </w:pPr>
      <w:bookmarkStart w:id="42" w:name="_Hlk55815125"/>
      <w:bookmarkEnd w:id="42"/>
      <w:r>
        <w:rPr>
          <w:rFonts w:ascii="Times New Roman;serif" w:hAnsi="Times New Roman;serif"/>
          <w:b/>
          <w:i w:val="false"/>
          <w:caps w:val="false"/>
          <w:smallCaps w:val="false"/>
          <w:sz w:val="20"/>
          <w:u w:val="single"/>
        </w:rPr>
        <w:t xml:space="preserve">Our Financing Strategy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2023, due to the negative operating conditions caused by the 2023 Hollywood Strikes and increased interest rates, as well as the lingering impacts from the COVID-19 pandemic, we (i) conserved our cash and chose to defer non-essential capital expenditures, (ii) refinanced our existing debt to provide longer maturity dates and eased financial covenants and/or obtained waivers of financial ratio tests and (iii) monetized one non-core asset and identified certain other assets as candidates for potential monetization to raise additional liquidity. In February, we sold an additional asset, our underutilized administrative office building in Culver City, California, to take advantage of a tenant friendly office market in Los Angeles.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2023, our bank loans with Bank of America, NAB, and Westpac required that our Company comply with certain covenants. We either complied with the underlying bank covenants or obtained waivers from compliance. In 2023, we drew down on our 44 Union Square debt facility to provide financing for tenant improvements for our tenant at 44 Union Square, Petco who opened its flagship store in June 2023, and to pay brokerage fees associated with that lease.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our Company is unable to generate sufficient cash flow in the upcoming months or if its cash needs exceed our Company’s borrowing capacity under its available facilities, we could be required to adopt one or more alternatives, such as reducing, delaying or eliminating planned capital expenditures, selling additional assets, or further restructuring debt.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Generally speaking, we believe our relationship with our lenders is good.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including loan modifications and modifications to waivers of certain covenants, please refer to </w:t>
      </w:r>
      <w:r>
        <w:rPr>
          <w:rFonts w:ascii="Times New Roman;serif" w:hAnsi="Times New Roman;serif"/>
          <w:b w:val="false"/>
          <w:i/>
          <w:sz w:val="20"/>
        </w:rPr>
        <w:t>Part II, Item 8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Supplementary Data—Notes to Consolidated Financial Statements-- Note 12 – Borrowings.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last five years:</w:t>
      </w:r>
    </w:p>
    <w:tbl>
      <w:tblPr>
        <w:tblW w:w="8521" w:type="dxa"/>
        <w:jc w:val="left"/>
        <w:tblInd w:w="0" w:type="dxa"/>
        <w:tblLayout w:type="fixed"/>
        <w:tblCellMar>
          <w:top w:w="0" w:type="dxa"/>
          <w:left w:w="0" w:type="dxa"/>
          <w:bottom w:w="0" w:type="dxa"/>
          <w:right w:w="0" w:type="dxa"/>
        </w:tblCellMar>
      </w:tblPr>
      <w:tblGrid>
        <w:gridCol w:w="3346"/>
        <w:gridCol w:w="109"/>
        <w:gridCol w:w="196"/>
        <w:gridCol w:w="721"/>
        <w:gridCol w:w="109"/>
        <w:gridCol w:w="196"/>
        <w:gridCol w:w="721"/>
        <w:gridCol w:w="109"/>
        <w:gridCol w:w="196"/>
        <w:gridCol w:w="721"/>
        <w:gridCol w:w="109"/>
        <w:gridCol w:w="196"/>
        <w:gridCol w:w="721"/>
        <w:gridCol w:w="109"/>
        <w:gridCol w:w="196"/>
        <w:gridCol w:w="766"/>
      </w:tblGrid>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33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2019</w:t>
            </w:r>
          </w:p>
        </w:tc>
      </w:tr>
      <w:tr>
        <w:trPr/>
        <w:tc>
          <w:tcPr>
            <w:tcW w:w="33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Net Cash (used in ) /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24,607</w:t>
            </w:r>
          </w:p>
        </w:tc>
      </w:tr>
      <w:tr>
        <w:trPr/>
        <w:tc>
          <w:tcPr>
            <w:tcW w:w="334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Total Resources (cash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12,135</w:t>
            </w:r>
          </w:p>
        </w:tc>
      </w:tr>
      <w:tr>
        <w:trPr/>
        <w:tc>
          <w:tcPr>
            <w:tcW w:w="33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73,920</w:t>
            </w:r>
          </w:p>
        </w:tc>
      </w:tr>
      <w:tr>
        <w:trPr/>
        <w:tc>
          <w:tcPr>
            <w:tcW w:w="334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sz w:val="16"/>
              </w:rPr>
            </w:pPr>
            <w:r>
              <w:rPr>
                <w:rFonts w:ascii="Times New Roman;serif" w:hAnsi="Times New Roman;serif"/>
                <w:b w:val="false"/>
                <w:i w:val="false"/>
                <w:caps w:val="false"/>
                <w:smallCaps w:val="false"/>
                <w:sz w:val="16"/>
              </w:rPr>
              <w:t>Restricted for capital projects</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13,952</w:t>
            </w:r>
          </w:p>
        </w:tc>
      </w:tr>
      <w:tr>
        <w:trPr/>
        <w:tc>
          <w:tcPr>
            <w:tcW w:w="3346"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59,968</w:t>
            </w:r>
          </w:p>
        </w:tc>
      </w:tr>
      <w:tr>
        <w:trPr/>
        <w:tc>
          <w:tcPr>
            <w:tcW w:w="33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12/31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86,055</w:t>
            </w:r>
          </w:p>
        </w:tc>
      </w:tr>
      <w:tr>
        <w:trPr/>
        <w:tc>
          <w:tcPr>
            <w:tcW w:w="33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12/31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32,939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72,103</w:t>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300,449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283,138</w:t>
            </w:r>
          </w:p>
        </w:tc>
      </w:tr>
      <w:tr>
        <w:trPr/>
        <w:tc>
          <w:tcPr>
            <w:tcW w:w="33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209,218</w:t>
            </w:r>
          </w:p>
        </w:tc>
      </w:tr>
      <w:tr>
        <w:trPr/>
        <w:tc>
          <w:tcPr>
            <w:tcW w:w="3346"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42,299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37,380</w:t>
            </w:r>
          </w:p>
        </w:tc>
      </w:tr>
      <w:tr>
        <w:trPr/>
        <w:tc>
          <w:tcPr>
            <w:tcW w:w="334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171,838</w:t>
            </w:r>
          </w:p>
        </w:tc>
      </w:tr>
      <w:tr>
        <w:trPr/>
        <w:tc>
          <w:tcPr>
            <w:tcW w:w="3346"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209</w:t>
            </w:r>
          </w:p>
        </w:tc>
      </w:tr>
      <w:tr>
        <w:trPr/>
        <w:tc>
          <w:tcPr>
            <w:tcW w:w="33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139,616</w:t>
            </w:r>
          </w:p>
        </w:tc>
      </w:tr>
      <w:tr>
        <w:trPr/>
        <w:tc>
          <w:tcPr>
            <w:tcW w:w="33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w:t>
            </w:r>
          </w:p>
        </w:tc>
      </w:tr>
      <w:tr>
        <w:trPr/>
        <w:tc>
          <w:tcPr>
            <w:tcW w:w="3346" w:type="dxa"/>
            <w:tcBorders/>
            <w:shd w:fill="CCEEFF" w:val="clear"/>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(64,140)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(84,138)</w:t>
            </w:r>
          </w:p>
        </w:tc>
      </w:tr>
      <w:tr>
        <w:trPr/>
        <w:tc>
          <w:tcPr>
            <w:tcW w:w="33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0.24</w:t>
            </w:r>
          </w:p>
        </w:tc>
      </w:tr>
      <w:tr>
        <w:trPr/>
        <w:tc>
          <w:tcPr>
            <w:tcW w:w="3346" w:type="dxa"/>
            <w:tcBorders/>
            <w:vAlign w:val="center"/>
          </w:tcPr>
          <w:p>
            <w:pPr>
              <w:pStyle w:val="TableContents"/>
              <w:bidi w:val="0"/>
              <w:spacing w:lineRule="auto" w:line="259" w:before="0" w:after="283"/>
              <w:jc w:val="left"/>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47,722</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(1)This relates to the construction facilities specifically negotiated for 44 Union Square redevelopment project. </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(2)Typically, 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endeavor to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expenditures, to pay down our loans and credit facilities providing us some flexibility on our available loan facilities for future use and thereby, reducing interest charges. To meet our liquidity’s need, in 2023, we have worked with our lenders to extend the maturity of various loans.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12 – 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on our various borrowing arrangements.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2023, our consolidated cash and cash equivalents totaled $12.9 million. Of this amount, $7.1 million, $5.2 million and $0.7 million were held by our U.S., Australian and New Zealand operations, respectively. The funds held in Australia and New Zealand are, under our applicable bank lending arrangement, subject to limitations on their use outside of Australia or New Zealand as applicable. Due to the impact of the COVID-19 pandemic and continuing funding needs in the US, we no longer intend to indefinitely reinvest offshore any earnings derived from our Australian and New Zealand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historically funded our working capital requirements, capital expenditures and investments in individual properties primarily from a combination of internally generated cash flows and debt. During 2023, the need for such funding for capital expenditures and investments has decreased, as we have deferred to the fullest extent reasonable such expenditures. However, due to the Hollywood Strikes and the increase in interest rates, our operating income is still insufficient to cover our costs and expenses accordingly, our negative working capital has increased over the course of the year. The funding that has been required, has been funded predominantly from cost reductions, debt and strategic asset sales and landlord concessions. As noted in the preceding table, we had no unused available unrestricted corporate credit facilities at December 31, 2023.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change in cash and cash equivalents for the three years ended December 31, 2023 is as follows:</w:t>
      </w:r>
      <w:r>
        <w:rPr>
          <w:rFonts w:ascii="Times New Roman;serif" w:hAnsi="Times New Roman;serif"/>
          <w:caps w:val="false"/>
          <w:smallCaps w:val="false"/>
          <w:sz w:val="20"/>
        </w:rPr>
        <w:t xml:space="preserve"> </w:t>
      </w:r>
    </w:p>
    <w:tbl>
      <w:tblPr>
        <w:tblW w:w="9417" w:type="dxa"/>
        <w:jc w:val="left"/>
        <w:tblInd w:w="0" w:type="dxa"/>
        <w:tblLayout w:type="fixed"/>
        <w:tblCellMar>
          <w:top w:w="0" w:type="dxa"/>
          <w:left w:w="0" w:type="dxa"/>
          <w:bottom w:w="0" w:type="dxa"/>
          <w:right w:w="0" w:type="dxa"/>
        </w:tblCellMar>
      </w:tblPr>
      <w:tblGrid>
        <w:gridCol w:w="3856"/>
        <w:gridCol w:w="109"/>
        <w:gridCol w:w="196"/>
        <w:gridCol w:w="721"/>
        <w:gridCol w:w="109"/>
        <w:gridCol w:w="196"/>
        <w:gridCol w:w="721"/>
        <w:gridCol w:w="109"/>
        <w:gridCol w:w="196"/>
        <w:gridCol w:w="721"/>
        <w:gridCol w:w="109"/>
        <w:gridCol w:w="570"/>
        <w:gridCol w:w="540"/>
        <w:gridCol w:w="109"/>
        <w:gridCol w:w="751"/>
        <w:gridCol w:w="404"/>
      </w:tblGrid>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404"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0" w:type="dxa"/>
            <w:tcBorders/>
            <w:shd w:fill="FFFFFF" w:val="clear"/>
            <w:vAlign w:val="center"/>
          </w:tcPr>
          <w:p>
            <w:pPr>
              <w:pStyle w:val="TableContents"/>
              <w:bidi w:val="0"/>
              <w:spacing w:before="0" w:after="283"/>
              <w:jc w:val="left"/>
              <w:rPr>
                <w:sz w:val="4"/>
                <w:szCs w:val="4"/>
              </w:rPr>
            </w:pPr>
            <w:r>
              <w:rPr>
                <w:sz w:val="4"/>
                <w:szCs w:val="4"/>
              </w:rPr>
            </w:r>
          </w:p>
        </w:tc>
        <w:tc>
          <w:tcPr>
            <w:tcW w:w="5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404"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Change</w:t>
            </w:r>
          </w:p>
        </w:tc>
      </w:tr>
      <w:tr>
        <w:trPr/>
        <w:tc>
          <w:tcPr>
            <w:tcW w:w="38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 vs. 2021</w:t>
            </w:r>
          </w:p>
        </w:tc>
      </w:tr>
      <w:tr>
        <w:trPr/>
        <w:tc>
          <w:tcPr>
            <w:tcW w:w="38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tc>
        <w:tc>
          <w:tcPr>
            <w:tcW w:w="54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w:t>
            </w:r>
          </w:p>
        </w:tc>
        <w:tc>
          <w:tcPr>
            <w:tcW w:w="40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(9,486)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129,610</w:t>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5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w:t>
            </w:r>
          </w:p>
        </w:tc>
        <w:tc>
          <w:tcPr>
            <w:tcW w:w="54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w:t>
            </w:r>
          </w:p>
        </w:tc>
        <w:tc>
          <w:tcPr>
            <w:tcW w:w="4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Impact of exchange rate on cash</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(4,095)</w:t>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5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c>
          <w:tcPr>
            <w:tcW w:w="4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Net increase (decrease)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61,737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54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404"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2023 vs.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operating activities for 2023 decreased by $16.6 million, to cash used of $9.7 million, driven by a $14.8 million decrease in net changes in operating assets and liabilities primarily resulting from taxes payable, film rent payable, and prepaid and other assets, plus better operating result comparing to prior year.</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 xml:space="preserve">2023 vs. 2022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investing activities during the twelve months ended December 31, 2023 decreased by $6.8 million, to cash used of $2.7 million. This is mainly due to delay in CAPEX spending, and the sale of our Maitland property in Australia in the fourth quarter of 2023.</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2023 vs. 2022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financing activities for the twelve months ended December 31, 2023, decreased by $9.9 million, to $6.7 million due to reduced debt payment compared to prior year, plus $4.1 million draws on our loan with Emerald Creek Capital.</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CONTRACTUAL OBLIGATIONS, COMMITMENTS AND CONTINGEN</w:t>
      </w:r>
      <w:bookmarkStart w:id="43" w:name="MDAContractualObligations"/>
      <w:bookmarkEnd w:id="43"/>
      <w:r>
        <w:rPr>
          <w:rFonts w:ascii="Times New Roman;serif" w:hAnsi="Times New Roman;serif"/>
          <w:b/>
          <w:i w:val="false"/>
          <w:caps w:val="false"/>
          <w:smallCaps w:val="false"/>
          <w:sz w:val="20"/>
        </w:rPr>
        <w:t>CIES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information with respect to the future maturities and scheduled principal repayments of our recorded contractual obligations and certain of our commitments and contingencies, either recorded or off-balance sheet, as of December 31, 2023:</w:t>
      </w:r>
    </w:p>
    <w:tbl>
      <w:tblPr>
        <w:tblW w:w="10123" w:type="dxa"/>
        <w:jc w:val="left"/>
        <w:tblInd w:w="0" w:type="dxa"/>
        <w:tblLayout w:type="fixed"/>
        <w:tblCellMar>
          <w:top w:w="0" w:type="dxa"/>
          <w:left w:w="0" w:type="dxa"/>
          <w:bottom w:w="0" w:type="dxa"/>
          <w:right w:w="0" w:type="dxa"/>
        </w:tblCellMar>
      </w:tblPr>
      <w:tblGrid>
        <w:gridCol w:w="3151"/>
        <w:gridCol w:w="109"/>
        <w:gridCol w:w="196"/>
        <w:gridCol w:w="691"/>
        <w:gridCol w:w="109"/>
        <w:gridCol w:w="196"/>
        <w:gridCol w:w="691"/>
        <w:gridCol w:w="109"/>
        <w:gridCol w:w="196"/>
        <w:gridCol w:w="646"/>
        <w:gridCol w:w="109"/>
        <w:gridCol w:w="196"/>
        <w:gridCol w:w="646"/>
        <w:gridCol w:w="109"/>
        <w:gridCol w:w="196"/>
        <w:gridCol w:w="646"/>
        <w:gridCol w:w="109"/>
        <w:gridCol w:w="196"/>
        <w:gridCol w:w="736"/>
        <w:gridCol w:w="109"/>
        <w:gridCol w:w="196"/>
        <w:gridCol w:w="781"/>
      </w:tblGrid>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92,102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314 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181,801 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32,009 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29,885 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28,084 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25,738 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22,222 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123,959 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261,897 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88 </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28,499 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638 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3,330 </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108 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543 </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Estimated interest on debt</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14,311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6,818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3,025 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1,364 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25,518</w:t>
            </w:r>
          </w:p>
        </w:tc>
      </w:tr>
      <w:tr>
        <w:trPr/>
        <w:tc>
          <w:tcPr>
            <w:tcW w:w="31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135,419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129,533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32,107 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63,200 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22,905 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124,413 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507,576</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lease liability of the option associated with the ground lease purchase of the Village East Cinema.</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(3)Estimated interest on debt is based on the anticipated loan balances for future periods and current applicable interest rates.</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Litigation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as appropriate.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w:t>
      </w:r>
      <w:r>
        <w:rPr>
          <w:rFonts w:ascii="Times New Roman;serif" w:hAnsi="Times New Roman;serif"/>
          <w:caps w:val="false"/>
          <w:smallCaps w:val="false"/>
          <w:sz w:val="20"/>
        </w:rPr>
        <w:t xml:space="preserve"> </w:t>
      </w:r>
      <w:r>
        <w:rPr>
          <w:rFonts w:ascii="Times New Roman;serif" w:hAnsi="Times New Roman;serif"/>
          <w:b w:val="false"/>
          <w:i/>
          <w:sz w:val="20"/>
        </w:rPr>
        <w:t>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FINANCIAL RISK MANAGEME</w:t>
      </w:r>
      <w:bookmarkStart w:id="44" w:name="MDAFinancialRiskMgnt"/>
      <w:bookmarkEnd w:id="44"/>
      <w:r>
        <w:rPr>
          <w:rFonts w:ascii="Times New Roman;serif" w:hAnsi="Times New Roman;serif"/>
          <w:b/>
          <w:i w:val="false"/>
          <w:caps w:val="false"/>
          <w:smallCaps w:val="false"/>
          <w:sz w:val="20"/>
        </w:rPr>
        <w:t>NT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Currency and Interest Rate Risk</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Company’s objective in managing exposure to foreign currency and interest rate fluctuations is to reduce volatility of earnings and cash flows in order to allow management to focus on core business issues and challenges.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decrease in the value of the Australian and New Zealand currencies as compared to the U.S. dollar combined with the limitations under our bank loans in Australia and New Zealand to move funds into the U.S., however, have negatively impacted and are expected in 2024 to continue to negatively impact, our ability to rely on such funding for ongoing support of our domestic overhead.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 We are currently facing additional risk as approximately $174.6 million of our current borrowings mature over the next 24 months. We believe it unlikely that we will be able to refinance this debt at their current interest rates in this environment.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Inflation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continually monitor inflation and the effects of changing prices. Inflation increases the cost of goods and services used. Competitive conditions in many of our markets restrict our ability to recover fully the higher costs of acquired goods and services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through price increases. We attempt to mitigate the impact of inflation by implementing continuous process improvement solutions to enhance productivity and efficiency and, as a result, lower costs and operating expenses. Inflation may also adversely impact the rent we pay for our leased cinemas, as many have cost of living adjustment features.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CRITICAL ACCOUNTING ESTIMA</w:t>
      </w:r>
      <w:bookmarkStart w:id="45" w:name="MDACriticalAcctgPolicies"/>
      <w:bookmarkEnd w:id="45"/>
      <w:r>
        <w:rPr>
          <w:rFonts w:ascii="Times New Roman;serif" w:hAnsi="Times New Roman;serif"/>
          <w:b/>
          <w:i w:val="false"/>
          <w:caps w:val="false"/>
          <w:smallCaps w:val="false"/>
          <w:sz w:val="20"/>
        </w:rPr>
        <w:t>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the application of the following accounting policies requires significant judgments and estimates in the preparation of our Consolidated Financial Statements and hence, are critical to our business operations and the understanding of our financial results: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Impairment of Long-Lived Assets, Including Goodwill and Intangible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assets for the year ended December 31, 2023. $1.5 million of impairment losses were recorded against certain cinema assets in the second quarter of the year ended December 31, 2022. No impairment losses were recorded for long-lived and finite-lived intangible assets for the year ended December 31, 2021.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(ii)Impairment of Goodwill and Intangible Assets with indefinite lives –g</w:t>
      </w:r>
      <w:r>
        <w:rPr>
          <w:rFonts w:ascii="Times New Roman;serif" w:hAnsi="Times New Roman;serif"/>
          <w:b w:val="false"/>
          <w:i w:val="false"/>
          <w:caps w:val="false"/>
          <w:smallCaps w:val="false"/>
          <w:sz w:val="20"/>
        </w:rPr>
        <w:t>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years ended December 31, 2023, 2022, or 2021.</w:t>
      </w:r>
    </w:p>
    <w:p>
      <w:pPr>
        <w:pStyle w:val="TextBody"/>
        <w:bidi w:val="0"/>
        <w:spacing w:lineRule="auto" w:line="259"/>
        <w:ind w:left="274" w:right="0" w:hanging="0"/>
        <w:jc w:val="left"/>
        <w:rPr>
          <w:rFonts w:ascii="Times New Roman;serif" w:hAnsi="Times New Roman;serif"/>
          <w:b/>
          <w:i/>
          <w:sz w:val="20"/>
        </w:rPr>
      </w:pPr>
      <w:r>
        <w:rPr>
          <w:rFonts w:ascii="Times New Roman;serif" w:hAnsi="Times New Roman;serif"/>
          <w:b/>
          <w:i/>
          <w:sz w:val="20"/>
        </w:rPr>
        <w:t xml:space="preserve">Tax Valuation Allowance and Deferred Taxes </w:t>
      </w:r>
    </w:p>
    <w:p>
      <w:pPr>
        <w:pStyle w:val="TextBody"/>
        <w:bidi w:val="0"/>
        <w:spacing w:lineRule="auto" w:line="259"/>
        <w:jc w:val="left"/>
        <w:rPr>
          <w:rFonts w:ascii="Times New Roman;serif" w:hAnsi="Times New Roman;serif"/>
          <w:b w:val="false"/>
          <w:i w:val="false"/>
          <w:caps w:val="false"/>
          <w:smallCaps w:val="false"/>
          <w:sz w:val="20"/>
        </w:rPr>
      </w:pPr>
      <w:bookmarkStart w:id="46" w:name="_Hlk64568663"/>
      <w:bookmarkEnd w:id="46"/>
      <w:r>
        <w:rPr>
          <w:rFonts w:ascii="Times New Roman;serif" w:hAnsi="Times New Roman;serif"/>
          <w:b w:val="false"/>
          <w:i w:val="false"/>
          <w:caps w:val="false"/>
          <w:smallCaps w:val="false"/>
          <w:sz w:val="20"/>
        </w:rPr>
        <w:t xml:space="preserve">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 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2023, we had recorded approximately $59.4 million of deferred tax assets (net of $50.4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$59.1 million resulting in a net deferred tax asset of $0.3 million. The recoverability of deferred tax assets is dependent upon our ability to generate future taxable income.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Recognition of Gift Card Breakage Income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contrast, recognition of gift card breakage income requires certain estimates and judgements to be made in regarding the pattern of customer behavior at our cinemas. This policy is </w:t>
      </w:r>
      <w:r>
        <w:rPr>
          <w:rFonts w:ascii="Times New Roman;serif" w:hAnsi="Times New Roman;serif"/>
          <w:b w:val="false"/>
          <w:i w:val="false"/>
          <w:caps w:val="false"/>
          <w:smallCaps w:val="false"/>
          <w:color w:val="000000"/>
          <w:sz w:val="20"/>
        </w:rPr>
        <w:t xml:space="preserve">described in detail in the section </w:t>
      </w:r>
      <w:r>
        <w:rPr>
          <w:rFonts w:ascii="Times New Roman;serif" w:hAnsi="Times New Roman;serif"/>
          <w:b w:val="false"/>
          <w:i/>
          <w:color w:val="000000"/>
          <w:sz w:val="20"/>
        </w:rPr>
        <w:t xml:space="preserve">Part II, Item 8 – Financial Statements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color w:val="000000"/>
          <w:sz w:val="20"/>
        </w:rPr>
        <w:t>Supplementary Data—Notes to Consolidated Financial Statements-- Note 2 – Summary of Significant Accounting Policies – Accounting Changes</w:t>
      </w:r>
      <w:r>
        <w:rPr>
          <w:rFonts w:ascii="Times New Roman;serif" w:hAnsi="Times New Roman;serif"/>
          <w:b w:val="false"/>
          <w:i w:val="false"/>
          <w:caps w:val="false"/>
          <w:smallCaps w:val="false"/>
          <w:color w:val="000000"/>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Contingencies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loss contingencies</w:t>
      </w:r>
      <w:r>
        <w:rPr>
          <w:rFonts w:ascii="Times New Roman;serif" w:hAnsi="Times New Roman;serif"/>
          <w:b w:val="false"/>
          <w:i w:val="false"/>
          <w:caps w:val="false"/>
          <w:smallCaps w:val="false"/>
          <w:sz w:val="20"/>
        </w:rPr>
        <w:t xml:space="preserve">, we record any loss contingencies when there is a probable likelihood that the liability has been incurred and the amount of the loss can be reasonably estimated.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other contingencies</w:t>
      </w:r>
      <w:r>
        <w:rPr>
          <w:rFonts w:ascii="Times New Roman;serif" w:hAnsi="Times New Roman;serif"/>
          <w:b w:val="false"/>
          <w:i/>
          <w:sz w:val="20"/>
          <w:u w:val="single"/>
        </w:rPr>
        <w:t>,</w:t>
      </w:r>
      <w:r>
        <w:rPr>
          <w:rFonts w:ascii="Times New Roman;serif" w:hAnsi="Times New Roman;serif"/>
          <w:caps w:val="false"/>
          <w:smallCaps w:val="false"/>
          <w:sz w:val="20"/>
        </w:rPr>
        <w:t xml:space="preserv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w:t>
      </w:r>
      <w:r>
        <w:rPr>
          <w:rFonts w:ascii="Times New Roman;serif" w:hAnsi="Times New Roman;serif"/>
          <w:b w:val="false"/>
          <w:i w:val="false"/>
          <w:caps w:val="false"/>
          <w:smallCaps w:val="false"/>
          <w:sz w:val="20"/>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(ii)</w:t>
      </w:r>
      <w:r>
        <w:rPr>
          <w:rFonts w:ascii="Times New Roman;serif" w:hAnsi="Times New Roman;serif"/>
          <w:b w:val="false"/>
          <w:i w:val="false"/>
          <w:caps w:val="false"/>
          <w:smallCaps w:val="false"/>
          <w:sz w:val="20"/>
        </w:rPr>
        <w:t>for gain contingencies resulting from legal settlements, we record those settlements in our consolidated statements of operations when cash or other forms of payments are received.</w:t>
      </w:r>
    </w:p>
    <w:p>
      <w:pPr>
        <w:pStyle w:val="TextBody"/>
        <w:bidi w:val="0"/>
        <w:spacing w:lineRule="auto" w:line="259"/>
        <w:ind w:left="274" w:right="0" w:hanging="0"/>
        <w:jc w:val="left"/>
        <w:rPr>
          <w:rFonts w:ascii="Times New Roman;serif" w:hAnsi="Times New Roman;serif"/>
          <w:b w:val="false"/>
          <w:i/>
          <w:sz w:val="20"/>
        </w:rPr>
      </w:pPr>
      <w:r>
        <w:rPr>
          <w:rFonts w:ascii="Times New Roman;serif" w:hAnsi="Times New Roman;serif"/>
          <w:b w:val="false"/>
          <w:i/>
          <w:sz w:val="20"/>
        </w:rPr>
        <w:t>Legal contingencies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14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more information on legal matters.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summary of our significant accounting policies, including the critical accounting estimates discussed above, see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2</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7A – Quantitative and Qualitative Disclosure about Market Risk</w:t>
      </w:r>
      <w:bookmarkStart w:id="47" w:name="Part2Item7A"/>
      <w:bookmarkEnd w:id="47"/>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the results of such an analysis may be useful as a benchmark, they should not be viewed as forecasts.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December 31, 2023, approximately 36% and 9% of our assets were invested in assets denominated in Australian dollars (Reading Australia) and New Zealand dollars (Reading New Zealand), respectively, including approximately $5.8 million in cash and cash equivalents. At December 31, 2022, approximately 34% and 8% of our assets were invested in assets denominated in Australian and New Zealand dollars, respectively, including approximately ($14.6) million in cash and cash equivalents.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The effect of the translation adjustment on our assets and liabilities noted in our other comprehensive income was a decrease of $0.3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year ended December 31, 2023.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17% and 40%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$3.4 million and $1.9 million, respectively, and the change in our net income for the year would be $0.3 million and $0.5 million, respectively. Presently, we have no plans to hedge such exposure.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 However, our ability to adopt such strategies will naturally be limited by our results of operation and the value of our assets in these various jurisdictions.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We have accumulated unrealized foreign currency translation losses of approximately ($1.0) million and ($0.7) million as of December 31, 2023 and 2022, respectively.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maintained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 while some of our cinema operations remain closed and some of our tenant income curtailed.</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approximately $1.6 million increase or decrease in our 2023 interest expense.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International Business Risks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in </w:t>
      </w:r>
      <w:r>
        <w:rPr>
          <w:rFonts w:ascii="Times New Roman;serif" w:hAnsi="Times New Roman;serif"/>
          <w:b w:val="false"/>
          <w:i/>
          <w:sz w:val="20"/>
        </w:rPr>
        <w:t>Item 1A –</w:t>
      </w:r>
      <w:r>
        <w:rPr>
          <w:rFonts w:ascii="Times New Roman;serif" w:hAnsi="Times New Roman;serif"/>
          <w:caps w:val="false"/>
          <w:smallCaps w:val="false"/>
          <w:sz w:val="20"/>
        </w:rPr>
        <w:t xml:space="preserve">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pacing w:val="0"/>
          <w:sz w:val="20"/>
        </w:rPr>
        <w:br/>
        <w:t>‎</w:t>
      </w:r>
      <w:r>
        <w:rPr>
          <w:rFonts w:ascii="Times New Roman;serif" w:hAnsi="Times New Roman;serif"/>
          <w:caps w:val="false"/>
          <w:smallCaps w:val="false"/>
          <w:spacing w:val="0"/>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8 – Financial Statements and Supplementary D</w:t>
      </w:r>
      <w:bookmarkStart w:id="48" w:name="part2Item8"/>
      <w:bookmarkEnd w:id="48"/>
      <w:r>
        <w:rPr>
          <w:rFonts w:ascii="Times New Roman;serif" w:hAnsi="Times New Roman;serif"/>
          <w:b/>
          <w:i w:val="false"/>
          <w:caps w:val="false"/>
          <w:smallCaps w:val="false"/>
          <w:sz w:val="24"/>
          <w:u w:val="single"/>
        </w:rPr>
        <w:t>ata</w:t>
      </w:r>
    </w:p>
    <w:tbl>
      <w:tblPr>
        <w:tblW w:w="8627" w:type="dxa"/>
        <w:jc w:val="center"/>
        <w:tblInd w:w="0" w:type="dxa"/>
        <w:tblLayout w:type="fixed"/>
        <w:tblCellMar>
          <w:top w:w="0" w:type="dxa"/>
          <w:left w:w="0" w:type="dxa"/>
          <w:bottom w:w="0" w:type="dxa"/>
          <w:right w:w="0" w:type="dxa"/>
        </w:tblCellMar>
      </w:tblPr>
      <w:tblGrid>
        <w:gridCol w:w="8086"/>
        <w:gridCol w:w="541"/>
      </w:tblGrid>
      <w:tr>
        <w:trPr/>
        <w:tc>
          <w:tcPr>
            <w:tcW w:w="808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8086" w:type="dxa"/>
            <w:tcBorders/>
            <w:shd w:fill="FFFFFF" w:val="clear"/>
            <w:vAlign w:val="center"/>
          </w:tcPr>
          <w:p>
            <w:pPr>
              <w:pStyle w:val="TableContents"/>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vAlign w:val="center"/>
          </w:tcPr>
          <w:p>
            <w:pPr>
              <w:pStyle w:val="TableContents"/>
              <w:bidi w:val="0"/>
              <w:spacing w:lineRule="auto" w:line="259" w:before="0" w:after="283"/>
              <w:jc w:val="left"/>
              <w:rPr/>
            </w:pPr>
            <w:hyperlink w:anchor="AuditorsReportICFR">
              <w:r>
                <w:rPr>
                  <w:rStyle w:val="InternetLink"/>
                  <w:rFonts w:ascii="Times New Roman;serif" w:hAnsi="Times New Roman;serif"/>
                  <w:b w:val="false"/>
                  <w:i w:val="false"/>
                  <w:caps w:val="false"/>
                  <w:smallCaps w:val="false"/>
                  <w:color w:val="0000FF"/>
                  <w:sz w:val="20"/>
                  <w:u w:val="single"/>
                </w:rPr>
                <w:t>Report of Independent Registered Public Accounting Firm</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(PCAOB ID Number 248)</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2023 and 2022</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2023</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2023</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2023</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2023</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8086" w:type="dxa"/>
            <w:tcBorders/>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8086" w:type="dxa"/>
            <w:tcBorders/>
            <w:shd w:fill="CCEEFF" w:val="clear"/>
            <w:vAlign w:val="center"/>
          </w:tcPr>
          <w:p>
            <w:pPr>
              <w:pStyle w:val="TableContents"/>
              <w:bidi w:val="0"/>
              <w:spacing w:lineRule="auto" w:line="259" w:before="0" w:after="283"/>
              <w:jc w:val="left"/>
              <w:rPr/>
            </w:pPr>
            <w:hyperlink w:anchor="FSNote1">
              <w:r>
                <w:rPr>
                  <w:rStyle w:val="InternetLink"/>
                  <w:rFonts w:ascii="Times New Roman;serif" w:hAnsi="Times New Roman;serif"/>
                  <w:b w:val="false"/>
                  <w:i w:val="false"/>
                  <w:caps w:val="false"/>
                  <w:smallCaps w:val="false"/>
                  <w:strike w:val="false"/>
                  <w:dstrike w:val="false"/>
                  <w:color w:val="0000FF"/>
                  <w:sz w:val="20"/>
                  <w:u w:val="single"/>
                  <w:effect w:val="none"/>
                </w:rPr>
                <w:t>Note 1 – Description of Business and Segment Reporting</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8086" w:type="dxa"/>
            <w:tcBorders/>
            <w:vAlign w:val="center"/>
          </w:tcPr>
          <w:p>
            <w:pPr>
              <w:pStyle w:val="TableContents"/>
              <w:bidi w:val="0"/>
              <w:spacing w:lineRule="auto" w:line="259" w:before="0" w:after="283"/>
              <w:jc w:val="left"/>
              <w:rPr/>
            </w:pPr>
            <w:hyperlink w:anchor="FSNote2">
              <w:r>
                <w:rPr>
                  <w:rStyle w:val="InternetLink"/>
                  <w:rFonts w:ascii="Times New Roman;serif" w:hAnsi="Times New Roman;serif"/>
                  <w:b w:val="false"/>
                  <w:i w:val="false"/>
                  <w:caps w:val="false"/>
                  <w:smallCaps w:val="false"/>
                  <w:strike w:val="false"/>
                  <w:dstrike w:val="false"/>
                  <w:color w:val="0000FF"/>
                  <w:sz w:val="20"/>
                  <w:u w:val="single"/>
                  <w:effect w:val="none"/>
                </w:rPr>
                <w:t>Note 2 – Summary of Significant Accounting Policies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8086" w:type="dxa"/>
            <w:tcBorders/>
            <w:shd w:fill="CCEEFF" w:val="clear"/>
            <w:vAlign w:val="center"/>
          </w:tcPr>
          <w:p>
            <w:pPr>
              <w:pStyle w:val="TableContents"/>
              <w:bidi w:val="0"/>
              <w:spacing w:lineRule="auto" w:line="259" w:before="0" w:after="283"/>
              <w:jc w:val="left"/>
              <w:rPr/>
            </w:pPr>
            <w:hyperlink w:anchor="FSNote3">
              <w:r>
                <w:rPr>
                  <w:rStyle w:val="InternetLink"/>
                  <w:rFonts w:ascii="Times New Roman;serif" w:hAnsi="Times New Roman;serif"/>
                  <w:b w:val="false"/>
                  <w:i w:val="false"/>
                  <w:caps w:val="false"/>
                  <w:smallCaps w:val="false"/>
                  <w:strike w:val="false"/>
                  <w:dstrike w:val="false"/>
                  <w:color w:val="0000FF"/>
                  <w:sz w:val="20"/>
                  <w:u w:val="single"/>
                  <w:effect w:val="none"/>
                </w:rPr>
                <w:t>Note 3 – Impact of COVID-19 Pandemic and Liquidity</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tc>
      </w:tr>
      <w:tr>
        <w:trPr/>
        <w:tc>
          <w:tcPr>
            <w:tcW w:w="8086" w:type="dxa"/>
            <w:tcBorders/>
            <w:vAlign w:val="center"/>
          </w:tcPr>
          <w:p>
            <w:pPr>
              <w:pStyle w:val="TableContents"/>
              <w:bidi w:val="0"/>
              <w:spacing w:lineRule="auto" w:line="259" w:before="0" w:after="283"/>
              <w:jc w:val="left"/>
              <w:rPr/>
            </w:pPr>
            <w:hyperlink w:anchor="FSNote4">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4 – Earnings (Loss) Per Share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r>
      <w:tr>
        <w:trPr/>
        <w:tc>
          <w:tcPr>
            <w:tcW w:w="8086" w:type="dxa"/>
            <w:tcBorders/>
            <w:shd w:fill="CCEEFF" w:val="clear"/>
            <w:vAlign w:val="center"/>
          </w:tcPr>
          <w:p>
            <w:pPr>
              <w:pStyle w:val="TableContents"/>
              <w:bidi w:val="0"/>
              <w:spacing w:lineRule="auto" w:line="259" w:before="0" w:after="283"/>
              <w:jc w:val="left"/>
              <w:rPr/>
            </w:pPr>
            <w:hyperlink w:anchor="FSNote5">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5 – Real Estate Transactions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r>
      <w:tr>
        <w:trPr/>
        <w:tc>
          <w:tcPr>
            <w:tcW w:w="8086" w:type="dxa"/>
            <w:tcBorders/>
            <w:vAlign w:val="center"/>
          </w:tcPr>
          <w:p>
            <w:pPr>
              <w:pStyle w:val="TableContents"/>
              <w:bidi w:val="0"/>
              <w:spacing w:lineRule="auto" w:line="259" w:before="0" w:after="283"/>
              <w:jc w:val="left"/>
              <w:rPr/>
            </w:pPr>
            <w:hyperlink w:anchor="FSNote6">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6 – Properties and Equipment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tc>
      </w:tr>
      <w:tr>
        <w:trPr/>
        <w:tc>
          <w:tcPr>
            <w:tcW w:w="8086" w:type="dxa"/>
            <w:tcBorders/>
            <w:shd w:fill="CCEEFF" w:val="clear"/>
            <w:vAlign w:val="center"/>
          </w:tcPr>
          <w:p>
            <w:pPr>
              <w:pStyle w:val="TableContents"/>
              <w:bidi w:val="0"/>
              <w:spacing w:lineRule="auto" w:line="259" w:before="0" w:after="283"/>
              <w:jc w:val="left"/>
              <w:rPr/>
            </w:pPr>
            <w:hyperlink w:anchor="Note18_Leases">
              <w:r>
                <w:rPr>
                  <w:rStyle w:val="InternetLink"/>
                  <w:rFonts w:ascii="Times New Roman;serif" w:hAnsi="Times New Roman;serif"/>
                  <w:b w:val="false"/>
                  <w:i w:val="false"/>
                  <w:caps w:val="false"/>
                  <w:smallCaps w:val="false"/>
                  <w:strike w:val="false"/>
                  <w:dstrike w:val="false"/>
                  <w:color w:val="0000FF"/>
                  <w:sz w:val="20"/>
                  <w:u w:val="single"/>
                  <w:effect w:val="none"/>
                </w:rPr>
                <w:t>Note 7 – Leases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tc>
      </w:tr>
      <w:tr>
        <w:trPr/>
        <w:tc>
          <w:tcPr>
            <w:tcW w:w="8086" w:type="dxa"/>
            <w:tcBorders/>
            <w:vAlign w:val="center"/>
          </w:tcPr>
          <w:p>
            <w:pPr>
              <w:pStyle w:val="TableContents"/>
              <w:bidi w:val="0"/>
              <w:spacing w:lineRule="auto" w:line="259" w:before="0" w:after="283"/>
              <w:jc w:val="left"/>
              <w:rPr/>
            </w:pPr>
            <w:hyperlink w:anchor="FSNote7">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8 – Investments in Unconsolidated Joint Ventures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tc>
      </w:tr>
      <w:tr>
        <w:trPr/>
        <w:tc>
          <w:tcPr>
            <w:tcW w:w="8086" w:type="dxa"/>
            <w:tcBorders/>
            <w:shd w:fill="CCEEFF" w:val="clear"/>
            <w:vAlign w:val="center"/>
          </w:tcPr>
          <w:p>
            <w:pPr>
              <w:pStyle w:val="TableContents"/>
              <w:bidi w:val="0"/>
              <w:spacing w:lineRule="auto" w:line="259" w:before="0" w:after="283"/>
              <w:jc w:val="left"/>
              <w:rPr/>
            </w:pPr>
            <w:hyperlink w:anchor="FSNote8">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9 – Goodwill and Intangible Assets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tc>
      </w:tr>
      <w:tr>
        <w:trPr/>
        <w:tc>
          <w:tcPr>
            <w:tcW w:w="8086" w:type="dxa"/>
            <w:tcBorders/>
            <w:vAlign w:val="center"/>
          </w:tcPr>
          <w:p>
            <w:pPr>
              <w:pStyle w:val="TableContents"/>
              <w:bidi w:val="0"/>
              <w:spacing w:lineRule="auto" w:line="259" w:before="0" w:after="283"/>
              <w:jc w:val="left"/>
              <w:rPr/>
            </w:pPr>
            <w:hyperlink w:anchor="FSNote9">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10 – Prepaid and Other Assets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r>
      <w:tr>
        <w:trPr/>
        <w:tc>
          <w:tcPr>
            <w:tcW w:w="8086" w:type="dxa"/>
            <w:tcBorders/>
            <w:shd w:fill="CCEEFF" w:val="clear"/>
            <w:vAlign w:val="center"/>
          </w:tcPr>
          <w:p>
            <w:pPr>
              <w:pStyle w:val="TableContents"/>
              <w:bidi w:val="0"/>
              <w:spacing w:lineRule="auto" w:line="259" w:before="0" w:after="283"/>
              <w:jc w:val="left"/>
              <w:rPr/>
            </w:pPr>
            <w:hyperlink w:anchor="FSNote10">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11 – Income Taxes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r>
      <w:tr>
        <w:trPr/>
        <w:tc>
          <w:tcPr>
            <w:tcW w:w="8086" w:type="dxa"/>
            <w:tcBorders/>
            <w:vAlign w:val="center"/>
          </w:tcPr>
          <w:p>
            <w:pPr>
              <w:pStyle w:val="TableContents"/>
              <w:bidi w:val="0"/>
              <w:spacing w:lineRule="auto" w:line="259" w:before="0" w:after="283"/>
              <w:jc w:val="left"/>
              <w:rPr/>
            </w:pPr>
            <w:hyperlink w:anchor="FSNote11">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12 – Borrowings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tc>
      </w:tr>
      <w:tr>
        <w:trPr/>
        <w:tc>
          <w:tcPr>
            <w:tcW w:w="8086" w:type="dxa"/>
            <w:tcBorders/>
            <w:shd w:fill="CCEEFF" w:val="clear"/>
            <w:vAlign w:val="center"/>
          </w:tcPr>
          <w:p>
            <w:pPr>
              <w:pStyle w:val="TableContents"/>
              <w:bidi w:val="0"/>
              <w:spacing w:lineRule="auto" w:line="259" w:before="0" w:after="283"/>
              <w:jc w:val="left"/>
              <w:rPr/>
            </w:pPr>
            <w:hyperlink w:anchor="FSNote12">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13 – Pension and Other Liabilities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tc>
      </w:tr>
      <w:tr>
        <w:trPr/>
        <w:tc>
          <w:tcPr>
            <w:tcW w:w="8086" w:type="dxa"/>
            <w:tcBorders/>
            <w:vAlign w:val="center"/>
          </w:tcPr>
          <w:p>
            <w:pPr>
              <w:pStyle w:val="TableContents"/>
              <w:bidi w:val="0"/>
              <w:spacing w:lineRule="auto" w:line="259" w:before="0" w:after="283"/>
              <w:jc w:val="left"/>
              <w:rPr/>
            </w:pPr>
            <w:hyperlink w:anchor="FSNote13">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14 – Commitments and Contingencies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r>
      <w:tr>
        <w:trPr/>
        <w:tc>
          <w:tcPr>
            <w:tcW w:w="8086" w:type="dxa"/>
            <w:tcBorders/>
            <w:shd w:fill="CCEEFF" w:val="clear"/>
            <w:vAlign w:val="center"/>
          </w:tcPr>
          <w:p>
            <w:pPr>
              <w:pStyle w:val="TableContents"/>
              <w:bidi w:val="0"/>
              <w:spacing w:lineRule="auto" w:line="259" w:before="0" w:after="283"/>
              <w:jc w:val="left"/>
              <w:rPr/>
            </w:pPr>
            <w:hyperlink w:anchor="FSNote14">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15 – Noncontrolling Interests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r>
      <w:tr>
        <w:trPr/>
        <w:tc>
          <w:tcPr>
            <w:tcW w:w="8086" w:type="dxa"/>
            <w:tcBorders/>
            <w:vAlign w:val="center"/>
          </w:tcPr>
          <w:p>
            <w:pPr>
              <w:pStyle w:val="TableContents"/>
              <w:bidi w:val="0"/>
              <w:spacing w:lineRule="auto" w:line="259" w:before="0" w:after="283"/>
              <w:jc w:val="left"/>
              <w:rPr/>
            </w:pPr>
            <w:hyperlink w:anchor="FSNote15">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16 – Share-based Compensation and Repurchase Plans </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tc>
      </w:tr>
      <w:tr>
        <w:trPr/>
        <w:tc>
          <w:tcPr>
            <w:tcW w:w="8086" w:type="dxa"/>
            <w:tcBorders/>
            <w:shd w:fill="CCEEFF" w:val="clear"/>
            <w:vAlign w:val="center"/>
          </w:tcPr>
          <w:p>
            <w:pPr>
              <w:pStyle w:val="TableContents"/>
              <w:bidi w:val="0"/>
              <w:spacing w:lineRule="auto" w:line="259" w:before="0" w:after="283"/>
              <w:jc w:val="left"/>
              <w:rPr/>
            </w:pPr>
            <w:hyperlink w:anchor="FSNote16">
              <w:r>
                <w:rPr>
                  <w:rStyle w:val="InternetLink"/>
                  <w:rFonts w:ascii="Times New Roman;serif" w:hAnsi="Times New Roman;serif"/>
                  <w:b w:val="false"/>
                  <w:i w:val="false"/>
                  <w:caps w:val="false"/>
                  <w:smallCaps w:val="false"/>
                  <w:strike w:val="false"/>
                  <w:dstrike w:val="false"/>
                  <w:color w:val="0000FF"/>
                  <w:sz w:val="20"/>
                  <w:u w:val="single"/>
                  <w:effect w:val="none"/>
                </w:rPr>
                <w:t xml:space="preserve">Note 17 – Accumulated Other Comprehensive Income </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tc>
      </w:tr>
      <w:tr>
        <w:trPr/>
        <w:tc>
          <w:tcPr>
            <w:tcW w:w="8086" w:type="dxa"/>
            <w:tcBorders/>
            <w:vAlign w:val="center"/>
          </w:tcPr>
          <w:p>
            <w:pPr>
              <w:pStyle w:val="TableContents"/>
              <w:bidi w:val="0"/>
              <w:spacing w:lineRule="auto" w:line="259" w:before="0" w:after="283"/>
              <w:jc w:val="left"/>
              <w:rPr/>
            </w:pPr>
            <w:hyperlink w:anchor="FSNote17">
              <w:r>
                <w:rPr>
                  <w:rStyle w:val="InternetLink"/>
                  <w:rFonts w:ascii="Times New Roman;serif" w:hAnsi="Times New Roman;serif"/>
                  <w:b w:val="false"/>
                  <w:i w:val="false"/>
                  <w:caps w:val="false"/>
                  <w:smallCaps w:val="false"/>
                  <w:strike w:val="false"/>
                  <w:dstrike w:val="false"/>
                  <w:color w:val="0000FF"/>
                  <w:sz w:val="20"/>
                  <w:u w:val="single"/>
                  <w:effect w:val="none"/>
                </w:rPr>
                <w:t>Note 18 – Fair Value Measurements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tc>
      </w:tr>
      <w:tr>
        <w:trPr/>
        <w:tc>
          <w:tcPr>
            <w:tcW w:w="8086" w:type="dxa"/>
            <w:tcBorders/>
            <w:shd w:fill="CCEEFF" w:val="clear"/>
            <w:vAlign w:val="center"/>
          </w:tcPr>
          <w:p>
            <w:pPr>
              <w:pStyle w:val="TableContents"/>
              <w:bidi w:val="0"/>
              <w:spacing w:lineRule="auto" w:line="259" w:before="0" w:after="283"/>
              <w:jc w:val="left"/>
              <w:rPr/>
            </w:pPr>
            <w:hyperlink w:anchor="Note17_HedgeAccounting">
              <w:r>
                <w:rPr>
                  <w:rStyle w:val="InternetLink"/>
                  <w:rFonts w:ascii="Times New Roman;serif" w:hAnsi="Times New Roman;serif"/>
                  <w:b w:val="false"/>
                  <w:i w:val="false"/>
                  <w:caps w:val="false"/>
                  <w:smallCaps w:val="false"/>
                  <w:strike w:val="false"/>
                  <w:dstrike w:val="false"/>
                  <w:color w:val="0000FF"/>
                  <w:sz w:val="20"/>
                  <w:u w:val="single"/>
                  <w:effect w:val="none"/>
                </w:rPr>
                <w:t>Note 19 – Hedge Accounting</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tc>
      </w:tr>
      <w:tr>
        <w:trPr/>
        <w:tc>
          <w:tcPr>
            <w:tcW w:w="8086" w:type="dxa"/>
            <w:tcBorders/>
            <w:vAlign w:val="center"/>
          </w:tcPr>
          <w:p>
            <w:pPr>
              <w:pStyle w:val="TableContents"/>
              <w:bidi w:val="0"/>
              <w:spacing w:lineRule="auto" w:line="259" w:before="0" w:after="283"/>
              <w:jc w:val="left"/>
              <w:rPr/>
            </w:pPr>
            <w:hyperlink w:anchor="Note21_Unaudited">
              <w:r>
                <w:rPr>
                  <w:rStyle w:val="InternetLink"/>
                  <w:rFonts w:ascii="Times New Roman;serif" w:hAnsi="Times New Roman;serif"/>
                  <w:b w:val="false"/>
                  <w:i w:val="false"/>
                  <w:caps w:val="false"/>
                  <w:smallCaps w:val="false"/>
                  <w:strike w:val="false"/>
                  <w:dstrike w:val="false"/>
                  <w:color w:val="0000FF"/>
                  <w:sz w:val="20"/>
                  <w:u w:val="single"/>
                  <w:effect w:val="none"/>
                </w:rPr>
                <w:t>Note 20 – Related Parties</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r>
      <w:tr>
        <w:trPr/>
        <w:tc>
          <w:tcPr>
            <w:tcW w:w="8086" w:type="dxa"/>
            <w:tcBorders/>
            <w:shd w:fill="CCEEFF" w:val="clear"/>
            <w:vAlign w:val="center"/>
          </w:tcPr>
          <w:p>
            <w:pPr>
              <w:pStyle w:val="TableContents"/>
              <w:bidi w:val="0"/>
              <w:spacing w:lineRule="auto" w:line="259" w:before="0" w:after="283"/>
              <w:jc w:val="left"/>
              <w:rPr/>
            </w:pPr>
            <w:hyperlink w:anchor="FSNote22">
              <w:r>
                <w:rPr>
                  <w:rStyle w:val="InternetLink"/>
                  <w:rFonts w:ascii="Times New Roman;serif" w:hAnsi="Times New Roman;serif"/>
                  <w:b w:val="false"/>
                  <w:i w:val="false"/>
                  <w:caps w:val="false"/>
                  <w:smallCaps w:val="false"/>
                  <w:strike w:val="false"/>
                  <w:dstrike w:val="false"/>
                  <w:color w:val="0000FF"/>
                  <w:sz w:val="20"/>
                  <w:u w:val="single"/>
                  <w:effect w:val="none"/>
                </w:rPr>
                <w:t>Note 21 – Subsequent Events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tc>
      </w:tr>
      <w:tr>
        <w:trPr/>
        <w:tc>
          <w:tcPr>
            <w:tcW w:w="8086" w:type="dxa"/>
            <w:tcBorders/>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
        </w:rPr>
      </w:pPr>
      <w:r>
        <w:rPr>
          <w:rFonts w:ascii="Times New Roman;serif" w:hAnsi="Times New Roman;serif"/>
          <w:b w:val="false"/>
          <w:i w:val="false"/>
          <w:caps w:val="false"/>
          <w:smallCaps w:val="false"/>
          <w:sz w:val="2"/>
        </w:rPr>
        <w:br/>
        <w:t>‎</w:t>
      </w:r>
      <w:r>
        <w:rPr>
          <w:rFonts w:ascii="Times New Roman;serif" w:hAnsi="Times New Roman;serif"/>
          <w:caps w:val="false"/>
          <w:smallCaps w:val="false"/>
          <w:sz w:val="2"/>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before="0" w:after="200"/>
        <w:jc w:val="both"/>
        <w:rPr>
          <w:rFonts w:ascii="Times New Roman;serif" w:hAnsi="Times New Roman;serif"/>
          <w:sz w:val="24"/>
        </w:rPr>
      </w:pPr>
      <w:r>
        <w:rPr>
          <w:rFonts w:ascii="Times New Roman;serif" w:hAnsi="Times New Roman;serif"/>
          <w:b/>
          <w:i w:val="false"/>
          <w:caps w:val="false"/>
          <w:smallCaps w:val="false"/>
          <w:sz w:val="24"/>
          <w:u w:val="single"/>
        </w:rPr>
        <w:t>MANAGEMENT'S REPORT ON INTERNAL CONTROL OVER FINANCIAL REPORT</w:t>
      </w:r>
      <w:bookmarkStart w:id="49" w:name="ManagementControlsReport"/>
      <w:bookmarkEnd w:id="49"/>
      <w:r>
        <w:rPr>
          <w:rFonts w:ascii="Times New Roman;serif" w:hAnsi="Times New Roman;serif"/>
          <w:b/>
          <w:i w:val="false"/>
          <w:caps w:val="false"/>
          <w:smallCaps w:val="false"/>
          <w:sz w:val="24"/>
          <w:u w:val="single"/>
        </w:rPr>
        <w:t>ING</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Board of Directors and Stockholders</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Reading International, Inc.</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on this assessment, our management believes that the Company’s internal control over financial reporting is effective as of December 31, 2023.</w:t>
      </w:r>
    </w:p>
    <w:tbl>
      <w:tblPr>
        <w:tblW w:w="7533" w:type="dxa"/>
        <w:jc w:val="left"/>
        <w:tblInd w:w="0" w:type="dxa"/>
        <w:tblLayout w:type="fixed"/>
        <w:tblCellMar>
          <w:top w:w="0" w:type="dxa"/>
          <w:left w:w="0" w:type="dxa"/>
          <w:bottom w:w="0" w:type="dxa"/>
          <w:right w:w="0" w:type="dxa"/>
        </w:tblCellMar>
      </w:tblPr>
      <w:tblGrid>
        <w:gridCol w:w="3586"/>
        <w:gridCol w:w="3947"/>
      </w:tblGrid>
      <w:tr>
        <w:trPr/>
        <w:tc>
          <w:tcPr>
            <w:tcW w:w="3586"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 Ellen M. Cotter</w:t>
            </w:r>
          </w:p>
          <w:p>
            <w:pPr>
              <w:pStyle w:val="TableContents"/>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ableContents"/>
              <w:bidi w:val="0"/>
              <w:spacing w:lineRule="auto" w:line="259"/>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President and Chief Executive Officer </w:t>
            </w:r>
          </w:p>
          <w:p>
            <w:pPr>
              <w:pStyle w:val="TableContents"/>
              <w:bidi w:val="0"/>
              <w:spacing w:lineRule="auto" w:line="259" w:before="0" w:after="283"/>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c>
          <w:tcPr>
            <w:tcW w:w="3947" w:type="dxa"/>
            <w:tcBorders/>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 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EVP, Chief Financial Officer and Treasurer</w:t>
            </w:r>
          </w:p>
          <w:p>
            <w:pPr>
              <w:pStyle w:val="TableContents"/>
              <w:bidi w:val="0"/>
              <w:spacing w:lineRule="auto" w:line="259" w:before="0" w:after="283"/>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bl>
    <w:p>
      <w:pPr>
        <w:pStyle w:val="TextBody"/>
        <w:bidi w:val="0"/>
        <w:spacing w:lineRule="auto" w:line="259"/>
        <w:jc w:val="both"/>
        <w:rPr>
          <w:rFonts w:ascii="Times New Roman;serif" w:hAnsi="Times New Roman;serif"/>
          <w:sz w:val="24"/>
        </w:rPr>
      </w:pPr>
      <w:r>
        <w:rPr>
          <w:rFonts w:ascii="Times New Roman;serif" w:hAnsi="Times New Roman;serif"/>
          <w:b/>
          <w:i w:val="false"/>
          <w:caps w:val="false"/>
          <w:smallCaps w:val="false"/>
          <w:color w:val="FF0000"/>
          <w:sz w:val="24"/>
        </w:rPr>
        <w:br/>
        <w:t>‎</w:t>
      </w:r>
      <w:r>
        <w:rPr>
          <w:rFonts w:ascii="Times New Roman;serif" w:hAnsi="Times New Roman;serif"/>
          <w:caps w:val="false"/>
          <w:smallCaps w:val="false"/>
          <w:sz w:val="24"/>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0"/>
        </w:rPr>
      </w:pPr>
      <w:bookmarkStart w:id="50" w:name="_Hlk98176929"/>
      <w:bookmarkEnd w:id="50"/>
      <w:r>
        <w:rPr>
          <w:rFonts w:ascii="Times New Roman;serif" w:hAnsi="Times New Roman;serif"/>
          <w:b/>
          <w:i w:val="false"/>
          <w:caps w:val="false"/>
          <w:smallCaps w:val="false"/>
          <w:sz w:val="20"/>
          <w:u w:val="single"/>
        </w:rPr>
        <w:t>REPORT OF INDEPENDENT REGISTERED PUBLIC ACCOUNTING FI</w:t>
      </w:r>
      <w:bookmarkStart w:id="51" w:name="AuditorsReportICFR"/>
      <w:bookmarkEnd w:id="51"/>
      <w:r>
        <w:rPr>
          <w:rFonts w:ascii="Times New Roman;serif" w:hAnsi="Times New Roman;serif"/>
          <w:b/>
          <w:i w:val="false"/>
          <w:caps w:val="false"/>
          <w:smallCaps w:val="false"/>
          <w:sz w:val="20"/>
          <w:u w:val="single"/>
        </w:rPr>
        <w:t>RM</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Board of Directors and Stockholders </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Reading International, Inc.</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Opinion on the financial statements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audited the accompanying consolidated balance sheets of Reading International, Inc. and subsidiaries (the “Company”) as of December 31, 2023 and 2022, the related consolidated statements of operations, comprehensive income, changes in stockholders’ equity, and cash flows for each of the three years in the period ended December 31, 2023, and the related notes and financial statement schedule included under Item 15(a)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Basis for opinion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Critical Audit Matters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GRANT THORNTON LLP</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served as the Company’s auditor since 2011.</w:t>
      </w:r>
    </w:p>
    <w:p>
      <w:pPr>
        <w:pStyle w:val="TextBody"/>
        <w:bidi w:val="0"/>
        <w:spacing w:lineRule="auto" w:line="254" w:before="0" w:after="16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 Angeles, California</w:t>
        <w:br/>
        <w:t>‎March 29, 2024</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 xml:space="preserve">Consolidated Balance Sheets as of December 31, </w:t>
      </w:r>
      <w:bookmarkStart w:id="52" w:name="ConsolidatedBS"/>
      <w:bookmarkEnd w:id="52"/>
      <w:r>
        <w:rPr>
          <w:rFonts w:ascii="Times New Roman;serif" w:hAnsi="Times New Roman;serif"/>
          <w:b/>
          <w:i w:val="false"/>
          <w:caps w:val="false"/>
          <w:smallCaps w:val="false"/>
          <w:color w:val="000000"/>
          <w:sz w:val="20"/>
        </w:rPr>
        <w:t>2023 and 2022</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information)</w:t>
      </w:r>
    </w:p>
    <w:tbl>
      <w:tblPr>
        <w:tblW w:w="9472" w:type="dxa"/>
        <w:jc w:val="left"/>
        <w:tblInd w:w="0" w:type="dxa"/>
        <w:tblLayout w:type="fixed"/>
        <w:tblCellMar>
          <w:top w:w="0" w:type="dxa"/>
          <w:left w:w="0" w:type="dxa"/>
          <w:bottom w:w="0" w:type="dxa"/>
          <w:right w:w="0" w:type="dxa"/>
        </w:tblCellMar>
      </w:tblPr>
      <w:tblGrid>
        <w:gridCol w:w="7081"/>
        <w:gridCol w:w="109"/>
        <w:gridCol w:w="211"/>
        <w:gridCol w:w="853"/>
        <w:gridCol w:w="109"/>
        <w:gridCol w:w="211"/>
        <w:gridCol w:w="898"/>
      </w:tblGrid>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708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70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29,947</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5,032</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6,206</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1,616</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current portion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907</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3,804</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 groups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70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47,512</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262,417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286,952</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200,417</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and development properties,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8,792</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25,504</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2,391</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10,284</w:t>
            </w:r>
          </w:p>
        </w:tc>
      </w:tr>
      <w:tr>
        <w:trPr/>
        <w:tc>
          <w:tcPr>
            <w:tcW w:w="7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533,051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587,055</w:t>
            </w:r>
          </w:p>
        </w:tc>
      </w:tr>
      <w:tr>
        <w:trPr/>
        <w:tc>
          <w:tcPr>
            <w:tcW w:w="70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42,590</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5,678</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37,279</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747</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current revenue</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10,286</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23,971</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813</w:t>
            </w:r>
          </w:p>
        </w:tc>
      </w:tr>
      <w:tr>
        <w:trPr/>
        <w:tc>
          <w:tcPr>
            <w:tcW w:w="70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127,083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121,664</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148,688</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26,950</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7,117</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200,037</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19,320</w:t>
            </w:r>
          </w:p>
        </w:tc>
      </w:tr>
      <w:tr>
        <w:trPr/>
        <w:tc>
          <w:tcPr>
            <w:tcW w:w="7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523,776</w:t>
            </w:r>
          </w:p>
        </w:tc>
      </w:tr>
      <w:tr>
        <w:trPr/>
        <w:tc>
          <w:tcPr>
            <w:tcW w:w="70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33,602,627</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20,666,516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2023 and 33,348,295</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issued and 20,412,185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2022</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December 31, 2023 and 2022</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70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December 31, 2023 and 2022</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153,784</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 (accumulated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(79,489)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(48,816)</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 at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(1,957)</w:t>
            </w:r>
          </w:p>
        </w:tc>
      </w:tr>
      <w:tr>
        <w:trPr/>
        <w:tc>
          <w:tcPr>
            <w:tcW w:w="70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("RDI")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62,856</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423</w:t>
            </w:r>
          </w:p>
        </w:tc>
      </w:tr>
      <w:tr>
        <w:trPr/>
        <w:tc>
          <w:tcPr>
            <w:tcW w:w="7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63,279</w:t>
            </w:r>
          </w:p>
        </w:tc>
      </w:tr>
      <w:tr>
        <w:trPr/>
        <w:tc>
          <w:tcPr>
            <w:tcW w:w="7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533,051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587,055</w:t>
            </w:r>
          </w:p>
        </w:tc>
      </w:tr>
    </w:tbl>
    <w:p>
      <w:pPr>
        <w:pStyle w:val="TextBody"/>
        <w:bidi w:val="0"/>
        <w:spacing w:lineRule="auto" w:line="259"/>
        <w:jc w:val="center"/>
        <w:rPr>
          <w:rFonts w:ascii="Times New Roman;serif" w:hAnsi="Times New Roman;serif"/>
          <w:sz w:val="16"/>
        </w:rPr>
      </w:pPr>
      <w:r>
        <w:rPr>
          <w:rFonts w:ascii="Times New Roman;serif" w:hAnsi="Times New Roman;serif"/>
          <w:b w:val="false"/>
          <w:i/>
          <w:sz w:val="16"/>
        </w:rPr>
        <w:t>The accompanying Notes are an integral part of the Consolidated Financial Statements.</w:t>
      </w:r>
      <w:r>
        <w:rPr>
          <w:rFonts w:ascii="Times New Roman;serif" w:hAnsi="Times New Roman;serif"/>
          <w:caps w:val="false"/>
          <w:smallCaps w:val="false"/>
          <w:sz w:val="16"/>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Consolidated Statements of Operations for the Three Years Ended December </w:t>
      </w:r>
      <w:bookmarkStart w:id="53" w:name="ConsolidatedIS"/>
      <w:bookmarkEnd w:id="53"/>
      <w:r>
        <w:rPr>
          <w:rFonts w:ascii="Times New Roman;serif" w:hAnsi="Times New Roman;serif"/>
          <w:b/>
          <w:i w:val="false"/>
          <w:caps w:val="false"/>
          <w:smallCaps w:val="false"/>
          <w:color w:val="000000"/>
          <w:sz w:val="20"/>
        </w:rPr>
        <w:t>31, 2023</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and per share data)</w:t>
      </w:r>
    </w:p>
    <w:tbl>
      <w:tblPr>
        <w:tblW w:w="10205" w:type="dxa"/>
        <w:jc w:val="left"/>
        <w:tblInd w:w="0" w:type="dxa"/>
        <w:tblLayout w:type="fixed"/>
        <w:tblCellMar>
          <w:top w:w="0" w:type="dxa"/>
          <w:left w:w="0" w:type="dxa"/>
          <w:bottom w:w="0" w:type="dxa"/>
          <w:right w:w="0" w:type="dxa"/>
        </w:tblCellMar>
      </w:tblPr>
      <w:tblGrid>
        <w:gridCol w:w="5876"/>
        <w:gridCol w:w="109"/>
        <w:gridCol w:w="211"/>
        <w:gridCol w:w="1108"/>
        <w:gridCol w:w="109"/>
        <w:gridCol w:w="211"/>
        <w:gridCol w:w="1108"/>
        <w:gridCol w:w="109"/>
        <w:gridCol w:w="211"/>
        <w:gridCol w:w="1153"/>
      </w:tblGrid>
      <w:tr>
        <w:trPr/>
        <w:tc>
          <w:tcPr>
            <w:tcW w:w="58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58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587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58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126,812</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12,248</w:t>
            </w:r>
          </w:p>
        </w:tc>
      </w:tr>
      <w:tr>
        <w:trPr/>
        <w:tc>
          <w:tcPr>
            <w:tcW w:w="58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222,744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139,060</w:t>
            </w:r>
          </w:p>
        </w:tc>
      </w:tr>
      <w:tr>
        <w:trPr/>
        <w:tc>
          <w:tcPr>
            <w:tcW w:w="58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(122,901)</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(10,106)</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(22,746)</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(25,100)</w:t>
            </w:r>
          </w:p>
        </w:tc>
      </w:tr>
      <w:tr>
        <w:trPr/>
        <w:tc>
          <w:tcPr>
            <w:tcW w:w="58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58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(234,775)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(231,598)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(180,853)</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(41,793)</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(13,688)</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92,219</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3,762</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40,500</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40,758</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(5,944)</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34,814</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2,893</w:t>
            </w:r>
          </w:p>
        </w:tc>
      </w:tr>
      <w:tr>
        <w:trPr/>
        <w:tc>
          <w:tcPr>
            <w:tcW w:w="58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(30,673)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31,921</w:t>
            </w:r>
          </w:p>
        </w:tc>
      </w:tr>
      <w:tr>
        <w:trPr/>
        <w:tc>
          <w:tcPr>
            <w:tcW w:w="587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w:t>
            </w:r>
          </w:p>
        </w:tc>
      </w:tr>
      <w:tr>
        <w:trPr/>
        <w:tc>
          <w:tcPr>
            <w:tcW w:w="587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1.42</w:t>
            </w:r>
          </w:p>
        </w:tc>
      </w:tr>
      <w:tr>
        <w:trPr/>
        <w:tc>
          <w:tcPr>
            <w:tcW w:w="58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21,801,719</w:t>
            </w:r>
          </w:p>
        </w:tc>
      </w:tr>
      <w:tr>
        <w:trPr/>
        <w:tc>
          <w:tcPr>
            <w:tcW w:w="587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23,347,308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22,956,245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22,406,816</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w:t>
      </w:r>
    </w:p>
    <w:p>
      <w:pPr>
        <w:pStyle w:val="TextBody"/>
        <w:bidi w:val="0"/>
        <w:spacing w:lineRule="auto" w:line="259"/>
        <w:jc w:val="left"/>
        <w:rPr>
          <w:rFonts w:ascii="Times New Roman;serif" w:hAnsi="Times New Roman;serif"/>
          <w:sz w:val="16"/>
        </w:rPr>
      </w:pPr>
      <w:r>
        <w:rPr>
          <w:rFonts w:ascii="Times New Roman;serif" w:hAnsi="Times New Roman;serif"/>
          <w:b w:val="false"/>
          <w:i w:val="false"/>
          <w:caps w:val="false"/>
          <w:smallCaps w:val="false"/>
          <w:sz w:val="16"/>
        </w:rPr>
        <w:br/>
        <w:t>‎</w:t>
      </w:r>
      <w:r>
        <w:rPr>
          <w:rFonts w:ascii="Times New Roman;serif" w:hAnsi="Times New Roman;serif"/>
          <w:caps w:val="false"/>
          <w:smallCaps w:val="false"/>
          <w:sz w:val="16"/>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bookmarkStart w:id="54" w:name="ConsolidatedCI"/>
      <w:bookmarkEnd w:id="54"/>
      <w:r>
        <w:rPr>
          <w:rFonts w:ascii="Times New Roman;serif" w:hAnsi="Times New Roman;serif"/>
          <w:b/>
          <w:i w:val="false"/>
          <w:caps w:val="false"/>
          <w:smallCaps w:val="false"/>
          <w:color w:val="000000"/>
          <w:sz w:val="20"/>
        </w:rPr>
        <w:t>Consolidated Statements of Comprehensive Income for the Three Years Ended December </w:t>
      </w:r>
      <w:bookmarkStart w:id="55" w:name="ConsolidatedCI2"/>
      <w:bookmarkEnd w:id="55"/>
      <w:r>
        <w:rPr>
          <w:rFonts w:ascii="Times New Roman;serif" w:hAnsi="Times New Roman;serif"/>
          <w:b/>
          <w:i w:val="false"/>
          <w:caps w:val="false"/>
          <w:smallCaps w:val="false"/>
          <w:color w:val="000000"/>
          <w:sz w:val="20"/>
        </w:rPr>
        <w:t>31, 2023</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9640" w:type="dxa"/>
        <w:jc w:val="left"/>
        <w:tblInd w:w="0" w:type="dxa"/>
        <w:tblLayout w:type="fixed"/>
        <w:tblCellMar>
          <w:top w:w="0" w:type="dxa"/>
          <w:left w:w="0" w:type="dxa"/>
          <w:bottom w:w="0" w:type="dxa"/>
          <w:right w:w="0" w:type="dxa"/>
        </w:tblCellMar>
      </w:tblPr>
      <w:tblGrid>
        <w:gridCol w:w="6136"/>
        <w:gridCol w:w="109"/>
        <w:gridCol w:w="211"/>
        <w:gridCol w:w="868"/>
        <w:gridCol w:w="109"/>
        <w:gridCol w:w="211"/>
        <w:gridCol w:w="868"/>
        <w:gridCol w:w="109"/>
        <w:gridCol w:w="211"/>
        <w:gridCol w:w="808"/>
      </w:tblGrid>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34,814</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(8,123)</w:t>
            </w:r>
          </w:p>
        </w:tc>
      </w:tr>
      <w:tr>
        <w:trPr/>
        <w:tc>
          <w:tcPr>
            <w:tcW w:w="613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340</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(31,902)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(43,503)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27,195</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2,893</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61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(31,389)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(43,023)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24,301</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Consolidated Statements of Stockholders’ Equity for the Three Years Ended December </w:t>
      </w:r>
      <w:bookmarkStart w:id="56" w:name="ConsolidatedSE"/>
      <w:bookmarkEnd w:id="56"/>
      <w:r>
        <w:rPr>
          <w:rFonts w:ascii="Times New Roman;serif" w:hAnsi="Times New Roman;serif"/>
          <w:b/>
          <w:i w:val="false"/>
          <w:caps w:val="false"/>
          <w:smallCaps w:val="false"/>
          <w:sz w:val="20"/>
        </w:rPr>
        <w:t>31, 2023</w:t>
      </w:r>
    </w:p>
    <w:p>
      <w:pPr>
        <w:pStyle w:val="TextBody"/>
        <w:bidi w:val="0"/>
        <w:spacing w:lineRule="auto" w:line="259"/>
        <w:jc w:val="center"/>
        <w:rPr>
          <w:rFonts w:ascii="Times New Roman;serif" w:hAnsi="Times New Roman;serif"/>
          <w:b w:val="false"/>
          <w:i/>
          <w:sz w:val="20"/>
        </w:rPr>
      </w:pPr>
      <w:r>
        <w:rPr>
          <w:rFonts w:ascii="Times New Roman;serif" w:hAnsi="Times New Roman;serif"/>
          <w:b w:val="false"/>
          <w:i/>
          <w:sz w:val="20"/>
        </w:rPr>
        <w:t>(In thousands)</w:t>
      </w:r>
    </w:p>
    <w:tbl>
      <w:tblPr>
        <w:tblW w:w="10205" w:type="dxa"/>
        <w:jc w:val="left"/>
        <w:tblInd w:w="0" w:type="dxa"/>
        <w:tblLayout w:type="fixed"/>
        <w:tblCellMar>
          <w:top w:w="0" w:type="dxa"/>
          <w:left w:w="0" w:type="dxa"/>
          <w:bottom w:w="0" w:type="dxa"/>
          <w:right w:w="0" w:type="dxa"/>
        </w:tblCellMar>
      </w:tblPr>
      <w:tblGrid>
        <w:gridCol w:w="1011"/>
        <w:gridCol w:w="796"/>
        <w:gridCol w:w="190"/>
        <w:gridCol w:w="366"/>
        <w:gridCol w:w="571"/>
        <w:gridCol w:w="201"/>
        <w:gridCol w:w="385"/>
        <w:gridCol w:w="181"/>
        <w:gridCol w:w="586"/>
        <w:gridCol w:w="232"/>
        <w:gridCol w:w="714"/>
        <w:gridCol w:w="181"/>
        <w:gridCol w:w="556"/>
        <w:gridCol w:w="274"/>
        <w:gridCol w:w="777"/>
        <w:gridCol w:w="283"/>
        <w:gridCol w:w="918"/>
        <w:gridCol w:w="287"/>
        <w:gridCol w:w="764"/>
        <w:gridCol w:w="207"/>
        <w:gridCol w:w="725"/>
      </w:tblGrid>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c>
          <w:tcPr>
            <w:tcW w:w="764"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32" w:type="dxa"/>
            <w:tcBorders/>
            <w:shd w:fill="FFFFFF" w:val="clear"/>
            <w:vAlign w:val="center"/>
          </w:tcPr>
          <w:p>
            <w:pPr>
              <w:pStyle w:val="TableContents"/>
              <w:bidi w:val="0"/>
              <w:spacing w:before="0" w:after="283"/>
              <w:jc w:val="left"/>
              <w:rPr>
                <w:sz w:val="4"/>
                <w:szCs w:val="4"/>
              </w:rPr>
            </w:pPr>
            <w:r>
              <w:rPr>
                <w:sz w:val="4"/>
                <w:szCs w:val="4"/>
              </w:rPr>
            </w:r>
          </w:p>
        </w:tc>
        <w:tc>
          <w:tcPr>
            <w:tcW w:w="714"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74"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c>
          <w:tcPr>
            <w:tcW w:w="764"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Shares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287" w:type="dxa"/>
            <w:tcBorders/>
            <w:shd w:fill="FFFFFF" w:val="clear"/>
            <w:vAlign w:val="center"/>
          </w:tcPr>
          <w:p>
            <w:pPr>
              <w:pStyle w:val="TableContents"/>
              <w:bidi w:val="0"/>
              <w:spacing w:before="0" w:after="283"/>
              <w:jc w:val="left"/>
              <w:rPr>
                <w:sz w:val="4"/>
                <w:szCs w:val="4"/>
              </w:rPr>
            </w:pPr>
            <w:r>
              <w:rPr>
                <w:sz w:val="4"/>
                <w:szCs w:val="4"/>
              </w:rPr>
            </w:r>
          </w:p>
        </w:tc>
        <w:tc>
          <w:tcPr>
            <w:tcW w:w="764"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287" w:type="dxa"/>
            <w:tcBorders/>
            <w:shd w:fill="FFFFFF" w:val="clear"/>
            <w:vAlign w:val="center"/>
          </w:tcPr>
          <w:p>
            <w:pPr>
              <w:pStyle w:val="TableContents"/>
              <w:bidi w:val="0"/>
              <w:spacing w:before="0" w:after="283"/>
              <w:jc w:val="left"/>
              <w:rPr>
                <w:sz w:val="4"/>
                <w:szCs w:val="4"/>
              </w:rPr>
            </w:pPr>
            <w:r>
              <w:rPr>
                <w:sz w:val="4"/>
                <w:szCs w:val="4"/>
              </w:rPr>
            </w:r>
          </w:p>
        </w:tc>
        <w:tc>
          <w:tcPr>
            <w:tcW w:w="764"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1"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1"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January 1, 2021</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20,069</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231</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149,979</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(44,553)</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12,502</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77,769</w:t>
            </w:r>
          </w:p>
        </w:tc>
        <w:tc>
          <w:tcPr>
            <w:tcW w:w="2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3,404</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81,173</w:t>
            </w:r>
          </w:p>
        </w:tc>
      </w:tr>
      <w:tr>
        <w:trPr/>
        <w:tc>
          <w:tcPr>
            <w:tcW w:w="1011"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31,921</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31,921</w:t>
            </w:r>
          </w:p>
        </w:tc>
        <w:tc>
          <w:tcPr>
            <w:tcW w:w="28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2,893</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34,814</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(7,620)</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(7,620)</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(7,619)</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c>
          <w:tcPr>
            <w:tcW w:w="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2,152</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(148)</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w:t>
            </w:r>
          </w:p>
        </w:tc>
      </w:tr>
      <w:tr>
        <w:trPr/>
        <w:tc>
          <w:tcPr>
            <w:tcW w:w="1011"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(5,315)</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(5,315)</w:t>
            </w:r>
          </w:p>
        </w:tc>
      </w:tr>
      <w:tr>
        <w:trPr/>
        <w:tc>
          <w:tcPr>
            <w:tcW w:w="1011"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2021</w:t>
            </w:r>
          </w:p>
        </w:tc>
        <w:tc>
          <w:tcPr>
            <w:tcW w:w="796"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20,260</w:t>
            </w:r>
          </w:p>
        </w:tc>
        <w:tc>
          <w:tcPr>
            <w:tcW w:w="190"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233</w:t>
            </w:r>
          </w:p>
        </w:tc>
        <w:tc>
          <w:tcPr>
            <w:tcW w:w="571"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151,981</w:t>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(12,632)</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4,882</w:t>
            </w:r>
          </w:p>
        </w:tc>
        <w:tc>
          <w:tcPr>
            <w:tcW w:w="2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104,074</w:t>
            </w:r>
          </w:p>
        </w:tc>
        <w:tc>
          <w:tcPr>
            <w:tcW w:w="2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986</w:t>
            </w:r>
          </w:p>
        </w:tc>
        <w:tc>
          <w:tcPr>
            <w:tcW w:w="2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105,060</w:t>
            </w:r>
          </w:p>
        </w:tc>
      </w:tr>
      <w:tr>
        <w:trPr/>
        <w:tc>
          <w:tcPr>
            <w:tcW w:w="1011"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28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(476)</w:t>
            </w:r>
          </w:p>
        </w:tc>
        <w:tc>
          <w:tcPr>
            <w:tcW w:w="20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(36,660)</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(6,843)</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c>
          <w:tcPr>
            <w:tcW w:w="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1"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2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2022</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20,410</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235</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153,783</w:t>
            </w:r>
          </w:p>
        </w:tc>
        <w:tc>
          <w:tcPr>
            <w:tcW w:w="2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(48,816)</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(1,957)</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62,856</w:t>
            </w:r>
          </w:p>
        </w:tc>
        <w:tc>
          <w:tcPr>
            <w:tcW w:w="28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423</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63,279</w:t>
            </w:r>
          </w:p>
        </w:tc>
      </w:tr>
      <w:tr>
        <w:trPr/>
        <w:tc>
          <w:tcPr>
            <w:tcW w:w="1011"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4"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(30,673)</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77"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(30,673)</w:t>
            </w:r>
          </w:p>
        </w:tc>
        <w:tc>
          <w:tcPr>
            <w:tcW w:w="28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4"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(512)</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(31,185)</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(716)</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(716)</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c>
          <w:tcPr>
            <w:tcW w:w="28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(245)</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71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74"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(243)</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764"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(243)</w:t>
            </w:r>
          </w:p>
        </w:tc>
      </w:tr>
      <w:tr>
        <w:trPr/>
        <w:tc>
          <w:tcPr>
            <w:tcW w:w="1011"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2023</w:t>
            </w:r>
          </w:p>
        </w:tc>
        <w:tc>
          <w:tcPr>
            <w:tcW w:w="796"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20,664</w:t>
            </w:r>
          </w:p>
        </w:tc>
        <w:tc>
          <w:tcPr>
            <w:tcW w:w="190"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237</w:t>
            </w:r>
          </w:p>
        </w:tc>
        <w:tc>
          <w:tcPr>
            <w:tcW w:w="571"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155,402</w:t>
            </w:r>
          </w:p>
        </w:tc>
        <w:tc>
          <w:tcPr>
            <w:tcW w:w="2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(79,489)</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7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7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(2,673)</w:t>
            </w:r>
          </w:p>
        </w:tc>
        <w:tc>
          <w:tcPr>
            <w:tcW w:w="2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33,087</w:t>
            </w:r>
          </w:p>
        </w:tc>
        <w:tc>
          <w:tcPr>
            <w:tcW w:w="2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w:t>
            </w:r>
          </w:p>
        </w:tc>
        <w:tc>
          <w:tcPr>
            <w:tcW w:w="2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32,996</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 xml:space="preserve">Consolidated Statements of Cash Flows for the Three Years Ended December 31, </w:t>
      </w:r>
      <w:bookmarkStart w:id="57" w:name="ConsolidatedCF"/>
      <w:bookmarkEnd w:id="57"/>
      <w:r>
        <w:rPr>
          <w:rFonts w:ascii="Times New Roman;serif" w:hAnsi="Times New Roman;serif"/>
          <w:b/>
          <w:i w:val="false"/>
          <w:caps w:val="false"/>
          <w:smallCaps w:val="false"/>
          <w:color w:val="000000"/>
          <w:sz w:val="20"/>
        </w:rPr>
        <w:t>2023</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10051" w:type="dxa"/>
        <w:jc w:val="left"/>
        <w:tblInd w:w="0" w:type="dxa"/>
        <w:tblLayout w:type="fixed"/>
        <w:tblCellMar>
          <w:top w:w="0" w:type="dxa"/>
          <w:left w:w="0" w:type="dxa"/>
          <w:bottom w:w="0" w:type="dxa"/>
          <w:right w:w="0" w:type="dxa"/>
        </w:tblCellMar>
      </w:tblPr>
      <w:tblGrid>
        <w:gridCol w:w="6601"/>
        <w:gridCol w:w="109"/>
        <w:gridCol w:w="211"/>
        <w:gridCol w:w="796"/>
        <w:gridCol w:w="109"/>
        <w:gridCol w:w="211"/>
        <w:gridCol w:w="796"/>
        <w:gridCol w:w="109"/>
        <w:gridCol w:w="211"/>
        <w:gridCol w:w="898"/>
      </w:tblGrid>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660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660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34,814</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to net cash flows from operating activities: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recognized on foreign currency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(2,085)</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 (gain)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(92,219)</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23,357</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(21,506)</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hedged derivatives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967</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 of derivative instruments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22,746</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1,368</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2,152</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(2,817)</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2,122</w:t>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6,313</w:t>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4,725</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10,943</w:t>
            </w:r>
          </w:p>
        </w:tc>
      </w:tr>
      <w:tr>
        <w:trPr/>
        <w:tc>
          <w:tcPr>
            <w:tcW w:w="6601" w:type="dxa"/>
            <w:tcBorders>
              <w:bottom w:val="single" w:sz="8" w:space="0" w:color="000000"/>
            </w:tcBorders>
            <w:tcMar>
              <w:bottom w:w="28" w:type="dxa"/>
            </w:tcM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(3,368)</w:t>
            </w:r>
          </w:p>
        </w:tc>
      </w:tr>
      <w:tr>
        <w:trPr/>
        <w:tc>
          <w:tcPr>
            <w:tcW w:w="6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(13,498)</w:t>
            </w:r>
          </w:p>
        </w:tc>
      </w:tr>
      <w:tr>
        <w:trPr/>
        <w:tc>
          <w:tcPr>
            <w:tcW w:w="66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145,165</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(15,555)</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129,610</w:t>
            </w:r>
          </w:p>
        </w:tc>
      </w:tr>
      <w:tr>
        <w:trPr/>
        <w:tc>
          <w:tcPr>
            <w:tcW w:w="66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long-term borrowings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(88,417)</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45,337</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(1,691)</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(payments) from stock option exercises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contributions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distributions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(5,315)</w:t>
            </w:r>
          </w:p>
        </w:tc>
      </w:tr>
      <w:tr>
        <w:trPr/>
        <w:tc>
          <w:tcPr>
            <w:tcW w:w="6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(50,280)</w:t>
            </w:r>
          </w:p>
        </w:tc>
      </w:tr>
      <w:tr>
        <w:trPr/>
        <w:tc>
          <w:tcPr>
            <w:tcW w:w="66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(4,095)</w:t>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61,737</w:t>
            </w:r>
          </w:p>
        </w:tc>
      </w:tr>
      <w:tr>
        <w:trPr/>
        <w:tc>
          <w:tcPr>
            <w:tcW w:w="66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year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26,834</w:t>
            </w:r>
          </w:p>
        </w:tc>
      </w:tr>
      <w:tr>
        <w:trPr/>
        <w:tc>
          <w:tcPr>
            <w:tcW w:w="6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r>
      <w:tr>
        <w:trPr/>
        <w:tc>
          <w:tcPr>
            <w:tcW w:w="66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83,251</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5,320</w:t>
            </w:r>
          </w:p>
        </w:tc>
      </w:tr>
      <w:tr>
        <w:trPr/>
        <w:tc>
          <w:tcPr>
            <w:tcW w:w="6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r>
      <w:tr>
        <w:trPr/>
        <w:tc>
          <w:tcPr>
            <w:tcW w:w="6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12,394</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paid (refunded), net</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(6,479)</w:t>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make-good accrual</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3,177</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Notes to Consolidated Financial Statemen</w:t>
      </w:r>
      <w:bookmarkStart w:id="58" w:name="ConsNotes"/>
      <w:bookmarkEnd w:id="58"/>
      <w:r>
        <w:rPr>
          <w:rFonts w:ascii="Times New Roman;serif" w:hAnsi="Times New Roman;serif"/>
          <w:b/>
          <w:i w:val="false"/>
          <w:caps w:val="false"/>
          <w:smallCaps w:val="false"/>
          <w:sz w:val="20"/>
        </w:rPr>
        <w:t>ts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and for Three Years Ended December 31, 2023</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________________________________________________________________________________________________________</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1 – </w:t>
      </w:r>
      <w:bookmarkStart w:id="59" w:name="FSNote1"/>
      <w:bookmarkEnd w:id="59"/>
      <w:r>
        <w:rPr>
          <w:rFonts w:ascii="Times New Roman;serif" w:hAnsi="Times New Roman;serif"/>
          <w:b/>
          <w:i w:val="false"/>
          <w:caps w:val="false"/>
          <w:smallCaps w:val="false"/>
          <w:sz w:val="20"/>
          <w:u w:val="single"/>
        </w:rPr>
        <w:t>DESCRIPTION OF BUSINESS AND SEGMENT REPORTING</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The Company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before="100" w:after="283"/>
        <w:ind w:left="720" w:right="0" w:hanging="360"/>
        <w:jc w:val="left"/>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ind w:left="274" w:right="0" w:hanging="0"/>
        <w:jc w:val="left"/>
        <w:rPr>
          <w:rFonts w:ascii="Times New Roman;serif" w:hAnsi="Times New Roman;serif"/>
          <w:b/>
          <w:i/>
          <w:sz w:val="20"/>
        </w:rPr>
      </w:pPr>
      <w:r>
        <w:rPr>
          <w:rFonts w:ascii="Times New Roman;serif" w:hAnsi="Times New Roman;serif"/>
          <w:b/>
          <w:i/>
          <w:sz w:val="20"/>
        </w:rPr>
        <w:t>Business Segments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business is comprised of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operating segments, as follows: (i) cinema exhibition and (ii) real estate. Each of these segments has discrete and separate financial information and for which operating results are evaluated regularly by our Chief Executive Officer, the chief operating decision-maker of the Company. As part of our real estate activities, we have historically held undeveloped land in urban and suburban centers in the United States, Australia, and New Zealand. However, in 2021, and 2023, we monetized certain raw landholdings and other real estate assets as detailed at </w:t>
      </w:r>
      <w:r>
        <w:rPr>
          <w:rFonts w:ascii="Times New Roman;serif" w:hAnsi="Times New Roman;serif"/>
          <w:b w:val="false"/>
          <w:i/>
          <w:sz w:val="20"/>
        </w:rPr>
        <w:t>Note 5 – Real Estate Transactions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tables below summarize the results of operations for each of our business segments. Operating expense includes costs associated with the day-to-day operations of the cinemas and the management of rental properties, including our live theatre assets.</w:t>
      </w:r>
    </w:p>
    <w:tbl>
      <w:tblPr>
        <w:tblW w:w="10205" w:type="dxa"/>
        <w:jc w:val="left"/>
        <w:tblInd w:w="0" w:type="dxa"/>
        <w:tblLayout w:type="fixed"/>
        <w:tblCellMar>
          <w:top w:w="0" w:type="dxa"/>
          <w:left w:w="0" w:type="dxa"/>
          <w:bottom w:w="0" w:type="dxa"/>
          <w:right w:w="0" w:type="dxa"/>
        </w:tblCellMar>
      </w:tblPr>
      <w:tblGrid>
        <w:gridCol w:w="1973"/>
        <w:gridCol w:w="109"/>
        <w:gridCol w:w="181"/>
        <w:gridCol w:w="644"/>
        <w:gridCol w:w="109"/>
        <w:gridCol w:w="181"/>
        <w:gridCol w:w="569"/>
        <w:gridCol w:w="109"/>
        <w:gridCol w:w="181"/>
        <w:gridCol w:w="644"/>
        <w:gridCol w:w="109"/>
        <w:gridCol w:w="181"/>
        <w:gridCol w:w="644"/>
        <w:gridCol w:w="109"/>
        <w:gridCol w:w="181"/>
        <w:gridCol w:w="569"/>
        <w:gridCol w:w="109"/>
        <w:gridCol w:w="181"/>
        <w:gridCol w:w="644"/>
        <w:gridCol w:w="109"/>
        <w:gridCol w:w="181"/>
        <w:gridCol w:w="644"/>
        <w:gridCol w:w="109"/>
        <w:gridCol w:w="181"/>
        <w:gridCol w:w="569"/>
        <w:gridCol w:w="109"/>
        <w:gridCol w:w="181"/>
        <w:gridCol w:w="695"/>
      </w:tblGrid>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9"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2021</w:t>
            </w:r>
          </w:p>
        </w:tc>
      </w:tr>
      <w:tr>
        <w:trPr/>
        <w:tc>
          <w:tcPr>
            <w:tcW w:w="197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9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Revenue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203,115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139,060</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revenue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segment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227,511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139,575</w:t>
            </w:r>
          </w:p>
        </w:tc>
      </w:tr>
      <w:tr>
        <w:trPr/>
        <w:tc>
          <w:tcPr>
            <w:tcW w:w="1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Expense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(196,181)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(187,715)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(133,007)</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Operating Expenses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(515)</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of services and products (excluding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(200,948)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(183,791)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(192,738)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(123,416)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(133,522)</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(11,335)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(6,376)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(17,711)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(13,351)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(6,495)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(14,422)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(7,092)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(21,514)</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(3,997)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(5,215)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(920)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(8,531)</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(219,348)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(18,118)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(163,567)</w:t>
            </w:r>
          </w:p>
        </w:tc>
      </w:tr>
      <w:tr>
        <w:trPr/>
        <w:tc>
          <w:tcPr>
            <w:tcW w:w="1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3,915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(11,716)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(11,210)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(18,637)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(5,355)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(23,992)</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(1)Inter-segment Revenues and Operating Expense relates to the internal charge between the two</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segments where the cinema operates within real estate owned within the group.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reconciliation of segment operating income to income before income taxes is as follows: </w:t>
      </w:r>
    </w:p>
    <w:tbl>
      <w:tblPr>
        <w:tblW w:w="8113" w:type="dxa"/>
        <w:jc w:val="left"/>
        <w:tblInd w:w="0" w:type="dxa"/>
        <w:tblLayout w:type="fixed"/>
        <w:tblCellMar>
          <w:top w:w="0" w:type="dxa"/>
          <w:left w:w="0" w:type="dxa"/>
          <w:bottom w:w="0" w:type="dxa"/>
          <w:right w:w="0" w:type="dxa"/>
        </w:tblCellMar>
      </w:tblPr>
      <w:tblGrid>
        <w:gridCol w:w="4576"/>
        <w:gridCol w:w="109"/>
        <w:gridCol w:w="211"/>
        <w:gridCol w:w="796"/>
        <w:gridCol w:w="109"/>
        <w:gridCol w:w="211"/>
        <w:gridCol w:w="868"/>
        <w:gridCol w:w="109"/>
        <w:gridCol w:w="211"/>
        <w:gridCol w:w="913"/>
      </w:tblGrid>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(23,992)</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(1,232)</w:t>
            </w:r>
          </w:p>
        </w:tc>
      </w:tr>
      <w:tr>
        <w:trPr/>
        <w:tc>
          <w:tcPr>
            <w:tcW w:w="457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(16,569)</w:t>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(13,688)</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258</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92,219</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3,762</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40,758</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Assuming cash and cash equivalents are accounted for as corporate assets, total assets by business segment and by country are presented as follows: </w:t>
      </w:r>
    </w:p>
    <w:tbl>
      <w:tblPr>
        <w:tblW w:w="4072" w:type="dxa"/>
        <w:jc w:val="left"/>
        <w:tblInd w:w="0" w:type="dxa"/>
        <w:tblLayout w:type="fixed"/>
        <w:tblCellMar>
          <w:top w:w="0" w:type="dxa"/>
          <w:left w:w="0" w:type="dxa"/>
          <w:bottom w:w="0" w:type="dxa"/>
          <w:right w:w="0" w:type="dxa"/>
        </w:tblCellMar>
      </w:tblPr>
      <w:tblGrid>
        <w:gridCol w:w="1681"/>
        <w:gridCol w:w="109"/>
        <w:gridCol w:w="211"/>
        <w:gridCol w:w="853"/>
        <w:gridCol w:w="109"/>
        <w:gridCol w:w="211"/>
        <w:gridCol w:w="898"/>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16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267,874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247,247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71,934</w:t>
            </w:r>
          </w:p>
        </w:tc>
      </w:tr>
      <w:tr>
        <w:trPr/>
        <w:tc>
          <w:tcPr>
            <w:tcW w:w="1681"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533,051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587,055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291,581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337,595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200,220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49,240</w:t>
            </w:r>
          </w:p>
        </w:tc>
      </w:tr>
      <w:tr>
        <w:trPr/>
        <w:tc>
          <w:tcPr>
            <w:tcW w:w="16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587,055</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(1)Corporate Assets includes cash and cash equivalents of $12.9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and $29.9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as of December 31, 2023 and 2022, respectively.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our operating properties by country: </w:t>
      </w:r>
    </w:p>
    <w:tbl>
      <w:tblPr>
        <w:tblW w:w="4642" w:type="dxa"/>
        <w:jc w:val="left"/>
        <w:tblInd w:w="0" w:type="dxa"/>
        <w:tblLayout w:type="fixed"/>
        <w:tblCellMar>
          <w:top w:w="0" w:type="dxa"/>
          <w:left w:w="0" w:type="dxa"/>
          <w:bottom w:w="0" w:type="dxa"/>
          <w:right w:w="0" w:type="dxa"/>
        </w:tblCellMar>
      </w:tblPr>
      <w:tblGrid>
        <w:gridCol w:w="2251"/>
        <w:gridCol w:w="109"/>
        <w:gridCol w:w="211"/>
        <w:gridCol w:w="853"/>
        <w:gridCol w:w="109"/>
        <w:gridCol w:w="211"/>
        <w:gridCol w:w="898"/>
      </w:tblGrid>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171,756</w:t>
            </w:r>
          </w:p>
        </w:tc>
      </w:tr>
      <w:tr>
        <w:trPr/>
        <w:tc>
          <w:tcPr>
            <w:tcW w:w="225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95,467</w:t>
            </w:r>
          </w:p>
        </w:tc>
      </w:tr>
      <w:tr>
        <w:trPr/>
        <w:tc>
          <w:tcPr>
            <w:tcW w:w="22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19,729</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262,417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286,952</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capital expenditures for the three years ended December 31, 2023: </w:t>
      </w:r>
    </w:p>
    <w:tbl>
      <w:tblPr>
        <w:tblW w:w="5665" w:type="dxa"/>
        <w:jc w:val="left"/>
        <w:tblInd w:w="0" w:type="dxa"/>
        <w:tblLayout w:type="fixed"/>
        <w:tblCellMar>
          <w:top w:w="0" w:type="dxa"/>
          <w:left w:w="0" w:type="dxa"/>
          <w:bottom w:w="0" w:type="dxa"/>
          <w:right w:w="0" w:type="dxa"/>
        </w:tblCellMar>
      </w:tblPr>
      <w:tblGrid>
        <w:gridCol w:w="2626"/>
        <w:gridCol w:w="109"/>
        <w:gridCol w:w="211"/>
        <w:gridCol w:w="643"/>
        <w:gridCol w:w="109"/>
        <w:gridCol w:w="211"/>
        <w:gridCol w:w="643"/>
        <w:gridCol w:w="109"/>
        <w:gridCol w:w="211"/>
        <w:gridCol w:w="793"/>
      </w:tblGrid>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14,428</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14,428</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2 – SUMMARY OF SIGNIFICANT ACCOUNTING POLICI</w:t>
      </w:r>
      <w:bookmarkStart w:id="60" w:name="FSNote2"/>
      <w:bookmarkEnd w:id="60"/>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Significant Accounting Policies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Basis of Consolidation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consolidated financial statements have been prepared in accordance with accounting principles generally accepted in the United States of America (“U.S. GAAP”).</w:t>
      </w:r>
      <w:r>
        <w:rPr>
          <w:rFonts w:ascii="Times New Roman;serif" w:hAnsi="Times New Roman;serif"/>
          <w:sz w:val="20"/>
        </w:rPr>
        <w:t xml:space="preserve"> </w:t>
      </w:r>
      <w:r>
        <w:rPr>
          <w:rFonts w:ascii="Times New Roman;serif" w:hAnsi="Times New Roman;serif"/>
          <w:b w:val="false"/>
          <w:i w:val="false"/>
          <w:caps w:val="false"/>
          <w:smallCaps w:val="false"/>
          <w:sz w:val="20"/>
        </w:rPr>
        <w:t>These consolidated financial statements include the accounts of our wholly owned subsidiaries, which are RDGE, CRG, and CDL.  We have also consolidated the following entities that are not wholly owned for which we have control:</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Australia Country Cinemas Pty, Limited, a company in which we own a 75% interest and whose only assets are our leasehold cinema at Dubbo, Australia and our owned cinema at Townsville, Australia;</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Sutton Hill Properties, LLC (“SHP”), a company based in New York in which we own a 75% interest and whose only asset is the fee interest in the Cinemas 123; and,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Shadow View Land and Farming, LLC in which we own a 50% controlling membership interest and whose only asset was a 202-acre land parcel in Coachella, California which was sold in March 2021. The company is now in the process of winding up.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33.3% undivided interest in the unincorporated joint venture that owns the Mt. Gravatt cinema in a suburb of Brisbane, Australia;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50% undivided interest in the unincorporated joint venture that owns Rialto Cinemas in New Zealand.</w:t>
      </w:r>
    </w:p>
    <w:p>
      <w:pPr>
        <w:pStyle w:val="TextBody"/>
        <w:bidi w:val="0"/>
        <w:spacing w:lineRule="auto" w:line="259"/>
        <w:ind w:left="274" w:right="0" w:hanging="0"/>
        <w:jc w:val="center"/>
        <w:rPr>
          <w:rFonts w:ascii="Times New Roman;serif" w:hAnsi="Times New Roman;serif"/>
          <w:sz w:val="20"/>
        </w:rPr>
      </w:pPr>
      <w:r>
        <w:rPr>
          <w:rFonts w:ascii="Times New Roman;serif" w:hAnsi="Times New Roman;serif"/>
          <w:b w:val="false"/>
          <w:i w:val="false"/>
          <w:caps w:val="false"/>
          <w:smallCaps w:val="false"/>
          <w:sz w:val="20"/>
        </w:rPr>
        <w:t>- 63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consider that we have control over our partially owned subsidiaries and joint venture interests (collectively “investee”) when these conditions exist: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(i)we own a majority of the voting rights or interests of the investee (typically above 50%), or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(ii)in the case when we own less than the majority voting rights or interests, we have the power over the investee when the voting rights or interests are sufficient to give it the practical ability to direct the relevant activities of the investee unilaterally.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considers all relevant facts and circumstances in assessing whether or not our voting rights in the investee are sufficient to give it power, including: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(i)the size of our voting rights and interests relative to the size and dispersion of holdings of other vote holders;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(ii)potential voting rights and interests held by us;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(iii)rights and interests arising from other contractual arrangements; and,</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(iv)any additional other relevant facts.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intercompany balances and transactions have been eliminated on the consolidation.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Use of Estimates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but are not limited to: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(i)projections we make regarding the recoverability and impairment of our assets (including goodwill and intangibles); </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(ii)valuations of our derivative instruments;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(iii)allocation of insurance proceeds to various recoverable components;</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(iv)recoverability of our deferred tax;</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(v)estimation of our Incremental Borrowing Rate (“IBR”) as relates to the valuation of our right-of-use assets and lease liabilities; and,</w:t>
      </w:r>
    </w:p>
    <w:p>
      <w:pPr>
        <w:pStyle w:val="TextBody"/>
        <w:bidi w:val="0"/>
        <w:spacing w:lineRule="auto" w:line="259"/>
        <w:ind w:left="720" w:right="0" w:hanging="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(vi)estimation of gift card and gift certificate breakage where we have concluded that the likelihood of redemption is remote. </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Revenue Recognition</w:t>
      </w:r>
      <w:r>
        <w:rPr>
          <w:rFonts w:ascii="Times New Roman;serif" w:hAnsi="Times New Roman;serif"/>
          <w:sz w:val="20"/>
        </w:rPr>
        <w:t xml:space="preserve">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Cinema Exhibition</w:t>
      </w:r>
      <w:r>
        <w:rPr>
          <w:rFonts w:ascii="Times New Roman;serif" w:hAnsi="Times New Roman;serif"/>
          <w:caps w:val="false"/>
          <w:smallCaps w:val="false"/>
          <w:sz w:val="20"/>
        </w:rPr>
        <w:t xml:space="preserve"> </w:t>
      </w:r>
      <w:r>
        <w:rPr>
          <w:rFonts w:ascii="Times New Roman;serif" w:hAnsi="Times New Roman;serif"/>
          <w:b w:val="false"/>
          <w:i/>
          <w:sz w:val="20"/>
        </w:rPr>
        <w:t>Segment (all net of related taxes):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Sales of Cinema tickets (excluding bulk and advanced ticket sales) and food and beverage (“F&amp;B”)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when sold and collected, either in cash or credit card at our theatre locations and through our online selling channels;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Sales of Bulk and Advanced Cinema Ticket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deferred and recognized as revenue when the promised performance or movie that the ticket has been purchased for is shown;</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 xml:space="preserve">Gift Cards and Gift Certificate Sales </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deferred and recognized as revenue when redeemed, except for the breakage portion, as described below;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Breakage Income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for unredeemed cards and certificates using the proportional method, whereby breakage revenue is 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Loyalty Income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color w:val="000000"/>
          <w:sz w:val="20"/>
        </w:rPr>
        <w:t>a component of revenue from members of our loyalty programs relating to the earning of loyalty rewards is deferred until such a time as members redeem rewards, or until we believe the likelihood of redemption by the member is remote. Deferral is based on the progress made toward the next reward, the fair value of that reward, and the likelihood of redemption, determined by historical redemption data, a</w:t>
      </w:r>
      <w:r>
        <w:rPr>
          <w:rFonts w:ascii="Times New Roman;serif" w:hAnsi="Times New Roman;serif"/>
          <w:b w:val="false"/>
          <w:i w:val="false"/>
          <w:caps w:val="false"/>
          <w:smallCaps w:val="false"/>
          <w:sz w:val="20"/>
        </w:rPr>
        <w:t>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Advertising Revenues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recognized based on contractual arrangements or relevant admissions information, as appropriate, when the related performance obligation is satisfied.</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Real Estate</w:t>
      </w:r>
      <w:r>
        <w:rPr>
          <w:rFonts w:ascii="Times New Roman;serif" w:hAnsi="Times New Roman;serif"/>
          <w:caps w:val="false"/>
          <w:smallCaps w:val="false"/>
          <w:sz w:val="20"/>
        </w:rPr>
        <w:t xml:space="preserve"> </w:t>
      </w:r>
      <w:r>
        <w:rPr>
          <w:rFonts w:ascii="Times New Roman;serif" w:hAnsi="Times New Roman;serif"/>
          <w:b w:val="false"/>
          <w:i/>
          <w:sz w:val="20"/>
        </w:rPr>
        <w:t>Segment:</w:t>
      </w:r>
      <w:r>
        <w:rPr>
          <w:rFonts w:ascii="Times New Roman;serif" w:hAnsi="Times New Roman;serif"/>
          <w:caps w:val="false"/>
          <w:smallCaps w:val="false"/>
          <w:sz w:val="20"/>
        </w:rPr>
        <w:t xml:space="preserve">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Property Rentals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we contractually retain substantially all of the risks and benefits of ownership of our real estate properties and therefore, we account for our tenant leases as operating leases. Accordingly, rental revenue is recognized on a straight-line basis over the lease term; and,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u w:val="single"/>
        </w:rPr>
        <w:t>Live Theatre License Fees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w:t>
      </w:r>
      <w:r>
        <w:rPr>
          <w:rFonts w:ascii="Times New Roman;serif" w:hAnsi="Times New Roman;serif"/>
          <w:b w:val="false"/>
          <w:i w:val="false"/>
          <w:caps w:val="false"/>
          <w:smallCaps w:val="false"/>
          <w:color w:val="000000"/>
          <w:sz w:val="20"/>
        </w:rPr>
        <w:t>e have real property interest in, and license theatre space to third parties for, the presentation of theatrical productions. Revenue is recognized in accordance with the license agreement and is typically recorded on a weekly basis after the performance of a show has occurred</w:t>
      </w:r>
      <w:r>
        <w:rPr>
          <w:rFonts w:ascii="Times New Roman;serif" w:hAnsi="Times New Roman;serif"/>
          <w:b w:val="false"/>
          <w:i w:val="false"/>
          <w:caps w:val="false"/>
          <w:smallCaps w:val="false"/>
          <w:sz w:val="20"/>
        </w:rP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Cash and Cash Equivalents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consider all highly liquid investments with original maturities of three months or less at the time of purchase as cash equivalents for which cost approximates fair value.</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Receivables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net Goods and Service Tax (“GST”) receivable from our Australian taxing authorities, rents receivable from our third-party tenants, and the management fee receivable from the managed cinemas. We have no history of significant bad debt losses but we have established an allowance for accounts that we deem uncollectible.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Inventory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 is composed of food and beverage items in our theater operations and books and associated stationery items at our State Cinema bookstore, and is stated at the lower of cost (first-in, first-out method) or net realizable value.</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Restricted Cash</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Restricted cash includes those cash accounts for which the use of funds is restricted by any contract or bank covenant. At December 31, 2023 and 2022, our restricted cash balance was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respectively.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Derivative Financial Instruments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we purchase interest rate derivative instruments to hedge the interest rate risk that results from the variability of certain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2023 we had no derivative positions designated as accounting hedges. As of December 31, 2022, we had favorable derivative positions designated as accounting hedges of $907,000</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With regards to accounting hedges, the Company has elected, by reference to certain practical expedients contained within ASC 848 </w:t>
      </w:r>
      <w:r>
        <w:rPr>
          <w:rFonts w:ascii="Times New Roman;serif" w:hAnsi="Times New Roman;serif"/>
          <w:b w:val="false"/>
          <w:i/>
          <w:sz w:val="20"/>
        </w:rPr>
        <w:t>Reference Rate Reform</w:t>
      </w:r>
      <w:r>
        <w:rPr>
          <w:rFonts w:ascii="Times New Roman;serif" w:hAnsi="Times New Roman;serif"/>
          <w:b w:val="false"/>
          <w:i w:val="false"/>
          <w:caps w:val="false"/>
          <w:smallCaps w:val="false"/>
          <w:sz w:val="20"/>
        </w:rPr>
        <w:t xml:space="preserve">, to continue the method of assessing effectiveness as documented in the original hedge, so that the reference rate on the hypothetical derivative matches the reference rate on the hedging instrument. In addition, the Company has elected the expedient permitting the assertion of probability of the hedged interest payments regardless of any expected modification in the terms related to reference rate reform.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Operating Properties, net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Operating Properties consist of land, buildings and improvements, leasehold improvements, fixtures and equipment, which we use to derive operating income associated with our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Depreciation and amortization are provided using the straight-line method over the estimated useful lives of the assets. The estimated useful lives are generally as follows: </w:t>
      </w:r>
    </w:p>
    <w:tbl>
      <w:tblPr>
        <w:tblW w:w="6257" w:type="dxa"/>
        <w:jc w:val="center"/>
        <w:tblInd w:w="0" w:type="dxa"/>
        <w:tblLayout w:type="fixed"/>
        <w:tblCellMar>
          <w:top w:w="0" w:type="dxa"/>
          <w:left w:w="0" w:type="dxa"/>
          <w:bottom w:w="0" w:type="dxa"/>
          <w:right w:w="0" w:type="dxa"/>
        </w:tblCellMar>
      </w:tblPr>
      <w:tblGrid>
        <w:gridCol w:w="2056"/>
        <w:gridCol w:w="4201"/>
      </w:tblGrid>
      <w:tr>
        <w:trPr/>
        <w:tc>
          <w:tcPr>
            <w:tcW w:w="205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Building and improvements</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15</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60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Leasehold improvements</w:t>
            </w:r>
          </w:p>
        </w:tc>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Shorter of the lease term or useful life of the improvement</w:t>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Theater equipment</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7</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Furniture and fixtures</w:t>
            </w:r>
          </w:p>
        </w:tc>
        <w:tc>
          <w:tcPr>
            <w:tcW w:w="420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10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Investment and Development Properties, net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Properties consist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category are building and improvement costs directly associated with the development of potential cinemas (whether for sale or lease), the development of entertainment-themed centers (“ETCs”), or other improvements to real property. In the case of investments in land and the redevelopment of existing improvements, where we have a confirmed capital project we capitalize cost associated with title work, land use matters, and design, engineering and architectural work.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Impairment of Long-Lived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internal management reports on a monthly basis as well as monitor current and potential future competition in film markets for indications of potential impairment. </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 xml:space="preserve">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for long-lived and finite-lived intangible assets for the year ended December 31, 2023, based on historical information and projected cash flow. We recorded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impairment losses against long-lived and finite-lived intangible assets in 2022. This impairment was recorded against cinemas whose performance had not improved commensurate to the rest of our portfolio. No impairment losses were recorded in 2021.</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(ii)Impairment of Goodwill and Intangible Assets with indefinite lives – </w:t>
      </w:r>
      <w:r>
        <w:rPr>
          <w:rFonts w:ascii="Times New Roman;serif" w:hAnsi="Times New Roman;serif"/>
          <w:b w:val="false"/>
          <w:i w:val="false"/>
          <w:caps w:val="false"/>
          <w:smallCaps w:val="false"/>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for goodwill and indefinite-lived intangible assets for the three years ended December 31, 2023.</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detailed discussion of our impairment assessments, refer to </w:t>
      </w:r>
      <w:r>
        <w:rPr>
          <w:rFonts w:ascii="Times New Roman;serif" w:hAnsi="Times New Roman;serif"/>
          <w:b w:val="false"/>
          <w:i/>
          <w:sz w:val="20"/>
        </w:rPr>
        <w:t>Note 3</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Variable Interest Entity</w:t>
      </w:r>
      <w:r>
        <w:rPr>
          <w:rFonts w:ascii="Times New Roman;serif" w:hAnsi="Times New Roman;serif"/>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Reading International Trust I is a VIE. It is not consolidated in our financial statements because we are not the primary beneficiary. We carry our investment in the Reading International Trust I, recorded under “</w:t>
      </w:r>
      <w:r>
        <w:rPr>
          <w:rFonts w:ascii="Times New Roman;serif" w:hAnsi="Times New Roman;serif"/>
          <w:b w:val="false"/>
          <w:i/>
          <w:sz w:val="20"/>
        </w:rPr>
        <w:t>Other Assets”</w:t>
      </w:r>
      <w:r>
        <w:rPr>
          <w:rFonts w:ascii="Times New Roman;serif" w:hAnsi="Times New Roman;serif"/>
          <w:b w:val="false"/>
          <w:i w:val="false"/>
          <w:caps w:val="false"/>
          <w:smallCaps w:val="false"/>
          <w:sz w:val="20"/>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Land and Property Held for Sale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Refer to </w:t>
      </w:r>
      <w:r>
        <w:rPr>
          <w:rFonts w:ascii="Times New Roman;serif" w:hAnsi="Times New Roman;serif"/>
          <w:b w:val="false"/>
          <w:i/>
          <w:sz w:val="20"/>
        </w:rPr>
        <w:t>Note 5 – Real Estate Transactions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details.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 xml:space="preserve">Deferred Leasing/Financing Costs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using the effective interest method. Net deferred financing costs are presented as a reduction in the associated debt account (see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 xml:space="preserve">Film Rental Costs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Film rental costs are accrued based on the applicable box office receipts and estimates of the final settlement to the film licensors.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Advertising Expense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expense our advertising as incurred. The amount of our advertising expense was $1.6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$1.4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2023, 2022, and 2021,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Operating Leases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t>As Lessee</w:t>
        <w:br/>
        <w:t>‎</w:t>
      </w:r>
      <w:r>
        <w:rPr>
          <w:rFonts w:ascii="Times New Roman;serif" w:hAnsi="Times New Roman;serif"/>
          <w:b w:val="false"/>
          <w:i w:val="false"/>
          <w:caps w:val="false"/>
          <w:smallCaps w:val="false"/>
          <w:sz w:val="20"/>
        </w:rPr>
        <w:t>We determine if an arrangement is a lease at inception. Operating leases are included in operating lease right-of-use (“ROU”) assets and operating lease liabilities, current and non-current, in our consolidated balance sheets. Finance leases are included in operating properties, other current liabilities, and other long-term liabilities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our consolidated balance sheets.</w:t>
      </w:r>
    </w:p>
    <w:p>
      <w:pPr>
        <w:pStyle w:val="TextBody"/>
        <w:bidi w:val="0"/>
        <w:spacing w:lineRule="auto" w:line="259" w:before="100" w:after="10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 terms may include options to extend or not to terminate the lease when it is reasonably certain that we will exercise that option. Lease expense for lease payments is recognized on a straight-line basis over the lease term.</w:t>
      </w:r>
    </w:p>
    <w:p>
      <w:pPr>
        <w:pStyle w:val="TextBody"/>
        <w:bidi w:val="0"/>
        <w:spacing w:lineRule="auto" w:line="259" w:before="100" w:after="10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lease agreements with lease and non-lease components, which we do not separate. For certain equipment leases, such as cinema equipment, we account for the lease and non-lease components as a single lease component.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As a result of the impacts of COVID-19, we have obtained certain concessions from our landlords. </w:t>
      </w:r>
      <w:r>
        <w:rPr>
          <w:rFonts w:ascii="Times New Roman;serif" w:hAnsi="Times New Roman;serif"/>
          <w:b w:val="false"/>
          <w:i w:val="false"/>
          <w:caps w:val="false"/>
          <w:smallCaps w:val="false"/>
          <w:color w:val="000000"/>
          <w:sz w:val="20"/>
        </w:rPr>
        <w:t xml:space="preserve">Where we have obtained rent concessions from our landlords, or provided concessions to our tenants, we have elected not to perform the standard Topic 842 modification evaluation where the concession does not result in the total consideration required by the contract being substantially more than the total consideration originally required by the contract. </w:t>
      </w:r>
      <w:r>
        <w:rPr>
          <w:rFonts w:ascii="Times New Roman;serif" w:hAnsi="Times New Roman;serif"/>
          <w:b w:val="false"/>
          <w:i w:val="false"/>
          <w:caps w:val="false"/>
          <w:smallCaps w:val="false"/>
          <w:sz w:val="20"/>
        </w:rPr>
        <w:t xml:space="preserve">We have elected to account for these concessions as if there have been no changes to the underlying contracts, thereby recognizing abatements secured as variable lease expenses, and increasing payables for lease payment deferrals.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 Lessor</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part of our real estate operations, we own certain real estate property in the U.S., Australia and New Zealand which we lease to third parties. We recognize lease payments for operating leases as property revenue on a straight-line basis over the lease term. Lease incentive payments we make to lessees are amortized as a reduction in property revenue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over the lease term. The lease term includes all non-cancellable periods contracted for within the lease and excludes any option periods which a tenant may hold.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a result of the impacts of COVID-19, we have provided certain concessions to specific tenants. W</w:t>
      </w:r>
      <w:r>
        <w:rPr>
          <w:rFonts w:ascii="Times New Roman;serif" w:hAnsi="Times New Roman;serif"/>
          <w:b w:val="false"/>
          <w:i w:val="false"/>
          <w:caps w:val="false"/>
          <w:smallCaps w:val="false"/>
          <w:color w:val="000000"/>
          <w:sz w:val="20"/>
        </w:rPr>
        <w:t>here we have provided deferrals of rent, we have recorded the deferrals as receivables, and where we have provided abatements, we have recorded these as variable rents in the consolidated statements of income.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Share-based Compensation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Times New Roman;serif" w:hAnsi="Times New Roman;serif"/>
          <w:b w:val="false"/>
          <w:i/>
          <w:sz w:val="20"/>
        </w:rPr>
        <w:t>Note 16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Treasury Shares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recent years,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Times New Roman;serif" w:hAnsi="Times New Roman;serif"/>
          <w:b w:val="false"/>
          <w:i/>
          <w:sz w:val="20"/>
        </w:rPr>
        <w:t>Note 16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of our stock repurchase plan.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Insurance Recoveries and Other Contingency Matters</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(i)Loss contingencies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we record any loss contingencies if there is a “probable” likelihood that the liability had been incurred, and the amount of the loss can be reasonably estimated. </w:t>
      </w:r>
    </w:p>
    <w:p>
      <w:pPr>
        <w:pStyle w:val="TextBody"/>
        <w:bidi w:val="0"/>
        <w:spacing w:lineRule="auto" w:line="259"/>
        <w:ind w:left="720" w:right="0" w:hanging="360"/>
        <w:jc w:val="left"/>
        <w:rPr>
          <w:rFonts w:ascii="Times New Roman;serif" w:hAnsi="Times New Roman;serif"/>
          <w:b w:val="false"/>
          <w:i/>
          <w:sz w:val="20"/>
        </w:rPr>
      </w:pPr>
      <w:r>
        <w:rPr>
          <w:rFonts w:ascii="Times New Roman;serif" w:hAnsi="Times New Roman;serif"/>
          <w:b w:val="false"/>
          <w:i/>
          <w:sz w:val="20"/>
        </w:rPr>
        <w:t>(ii)Gain contingencies: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u w:val="single"/>
        </w:rPr>
        <w:t>Insurance recoveries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u w:val="single"/>
        </w:rPr>
        <w:t>Others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other gain contingencies typically result from legal settlements and we record those settlements in income when cash or other forms of payments are received.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Legal costs relating to our litigation matters, whether we are the plaintiff or the defendant, are recorded when incurred. For the years ended December 31, 2023, 2022, and 2021, we recorded gains/(losses) relating to litigation settlement of ($265,000), $40,000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($3.2) million,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Currency Translation Policy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2023: </w:t>
      </w:r>
    </w:p>
    <w:tbl>
      <w:tblPr>
        <w:tblW w:w="6616" w:type="dxa"/>
        <w:jc w:val="center"/>
        <w:tblInd w:w="0" w:type="dxa"/>
        <w:tblLayout w:type="fixed"/>
        <w:tblCellMar>
          <w:top w:w="0" w:type="dxa"/>
          <w:left w:w="0" w:type="dxa"/>
          <w:bottom w:w="0" w:type="dxa"/>
          <w:right w:w="0" w:type="dxa"/>
        </w:tblCellMar>
      </w:tblPr>
      <w:tblGrid>
        <w:gridCol w:w="1741"/>
        <w:gridCol w:w="109"/>
        <w:gridCol w:w="1501"/>
        <w:gridCol w:w="109"/>
        <w:gridCol w:w="1501"/>
        <w:gridCol w:w="109"/>
        <w:gridCol w:w="154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2021</w:t>
            </w:r>
          </w:p>
        </w:tc>
      </w:tr>
      <w:tr>
        <w:trPr/>
        <w:tc>
          <w:tcPr>
            <w:tcW w:w="174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0.7260</w:t>
            </w:r>
          </w:p>
        </w:tc>
      </w:tr>
      <w:tr>
        <w:trPr/>
        <w:tc>
          <w:tcPr>
            <w:tcW w:w="174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0.6340</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0.6342</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0.6839</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0.6647</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0.6946</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0.7517</w:t>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0.7077</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Income Taxes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are 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tax benefit from an uncertain tax position may be recognized when it is more likely than not that the position will be sustained upon examination, including resolutions of any related appeals or litigation processes, based on the technical merits.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U.S. Tax Cuts and Jobs Act of 2017 (the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Earnings (Loss) Per Share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Government Grants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During COVID-19, we received certain wage subsidies from the Australian and New Zealand governments. The aim of these subsidies was to protect as many jobs as possible during the COVID-19 pandemic. The subsidies were not loans from the respective governments. The impact of these subsidies is included within ‘other operating expenses’ and ‘general and administrative expenses’ in our cinema and real estate segments. We received no subsidies in the year ended December 31, 2023, or the year ended December 31, 2022. In the year ended December 31, 2021, we received subsidies totaling $2.6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(AU$3.5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million) in Australia and $366,000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(NZ$518,000) in New Zealand, respectively.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Business Acquisition Valuation and Purchase Price Allocation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acquisitions meeting the definition of a “business” in accordance with ASC 805, </w:t>
      </w:r>
      <w:r>
        <w:rPr>
          <w:rFonts w:ascii="Times New Roman;serif" w:hAnsi="Times New Roman;serif"/>
          <w:b w:val="false"/>
          <w:i/>
          <w:sz w:val="20"/>
        </w:rPr>
        <w:t>Business Combinations</w:t>
      </w:r>
      <w:r>
        <w:rPr>
          <w:rFonts w:ascii="Times New Roman;serif" w:hAnsi="Times New Roman;serif"/>
          <w:b w:val="false"/>
          <w:i w:val="false"/>
          <w:caps w:val="false"/>
          <w:smallCaps w:val="false"/>
          <w:sz w:val="20"/>
        </w:rPr>
        <w:t>, the assets acquired, and the liabilities assumed are recorded at their fair values as of the acquisition date. To accomplish this, we typically obtain third-party valuations to allocate the purchase price to the assets acquired and liabilities assumed, including both tangible and intangible components. The determination of the fair values of the acquisition components and its related determination of the estimated lives of depreciable tangible assets and amortizing intangible assets/liabilities require significant judgment and several considerations, described as follows:</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(i)Tangible assets – </w:t>
      </w:r>
      <w:r>
        <w:rPr>
          <w:rFonts w:ascii="Times New Roman;serif" w:hAnsi="Times New Roman;serif"/>
          <w:b w:val="false"/>
          <w:i w:val="false"/>
          <w:caps w:val="false"/>
          <w:smallCaps w:val="false"/>
          <w:sz w:val="20"/>
        </w:rPr>
        <w:t>we allocate the purchase price to the tangible assets of an acquired property (which typically includes land, building and site/tenant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site/tenant improvements are based on present values determined based upon the application of hypothetical leases with market rates and terms. Estimates of plant and equipment, leasehold improvements and any cinema related equipment are based on their current market values with relation to their age and condition. Building and site improvements are depreciated over their remaining economic lives, while tenant improvements are depreciated over the remaining non-cancelable terms of the respective leases. Plant and equipment, leasehold improvements and any cinema related equipment are depreciated over the shorter of their useful economic lives and the underlying cinema lease.</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sz w:val="20"/>
        </w:rPr>
        <w:t xml:space="preserve">(ii)Intangible assets and liabilities – </w:t>
      </w:r>
      <w:r>
        <w:rPr>
          <w:rFonts w:ascii="Times New Roman;serif" w:hAnsi="Times New Roman;serif"/>
          <w:b w:val="false"/>
          <w:i w:val="false"/>
          <w:caps w:val="false"/>
          <w:smallCaps w:val="false"/>
          <w:sz w:val="20"/>
        </w:rPr>
        <w:t>the valuation of the intangible assets and liabilities in a typical real estate acquisition is described below:</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Above-market and below-market leases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where we are the lessor, 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(an intangible asset) and capitalized below-market lease values (an intangible liability) over the remaining non-cancelable terms of the respective leases. Where we are the lessee, lease arrangements entered into are assessed under ASC 842 </w:t>
      </w:r>
      <w:r>
        <w:rPr>
          <w:rFonts w:ascii="Times New Roman;serif" w:hAnsi="Times New Roman;serif"/>
          <w:b w:val="false"/>
          <w:i/>
          <w:sz w:val="20"/>
        </w:rPr>
        <w:t>Leases.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sz w:val="20"/>
        </w:rPr>
        <w:t>Benefit of avoided costs due to existing tenancies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this typically includes (i) in-place leases (the value of avoided lease-up costs) and (ii) leasing commissions and legal/marketing costs avoided with the leases in place. We measure the fair values of the in-place leases based on the difference between (i) the property valued with existing in-place leases adjusted to market rental rates and (ii) the property valued as if vacant. Factors considered in the fair value determination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 </w:t>
      </w:r>
    </w:p>
    <w:p>
      <w:pPr>
        <w:pStyle w:val="TextBody"/>
        <w:bidi w:val="0"/>
        <w:spacing w:lineRule="auto" w:line="259" w:before="100" w:after="283"/>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amortize the value of in-place leases and unamortized leasing origination costs to expense over the remaining term of the respective leases. Should a tenant terminate its lease, the unamortized portion of the in-place lease values and leasing origination costs will be charged to expense. </w:t>
      </w:r>
    </w:p>
    <w:p>
      <w:pPr>
        <w:pStyle w:val="TextBody"/>
        <w:bidi w:val="0"/>
        <w:spacing w:lineRule="auto" w:line="259" w:before="100" w:after="283"/>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assets acquired in cinema business combination typically relate to the brand of the underlying business being acquired. </w:t>
      </w:r>
    </w:p>
    <w:p>
      <w:pPr>
        <w:pStyle w:val="TextBody"/>
        <w:bidi w:val="0"/>
        <w:spacing w:lineRule="auto" w:line="259"/>
        <w:ind w:left="634"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These assessments have a direct impact on revenue and net income, particularly on the depreciable base of the allocated assets which will impact the timing of expense allocation. In accordance with our adoption of </w:t>
      </w:r>
      <w:r>
        <w:rPr>
          <w:rFonts w:ascii="Times New Roman;serif" w:hAnsi="Times New Roman;serif"/>
          <w:b w:val="false"/>
          <w:i/>
          <w:sz w:val="20"/>
        </w:rPr>
        <w:t>ASU 2015-16</w:t>
      </w:r>
      <w:r>
        <w:rPr>
          <w:rFonts w:ascii="Times New Roman;serif" w:hAnsi="Times New Roman;serif"/>
          <w:b w:val="false"/>
          <w:i w:val="false"/>
          <w:caps w:val="false"/>
          <w:smallCaps w:val="false"/>
          <w:sz w:val="20"/>
        </w:rPr>
        <w:t>, we record the changes in depreciation and amortization in the period we finalized our purchase price allocation.</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New Accounting Standards and Accounting Changes</w:t>
      </w:r>
      <w:r>
        <w:rPr>
          <w:rFonts w:ascii="Times New Roman;serif" w:hAnsi="Times New Roman;serif"/>
          <w:sz w:val="20"/>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Recently Adopted and Issued Accounting Pronouncements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Adopted:</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ASU 2021-10 </w:t>
      </w:r>
      <w:r>
        <w:rPr>
          <w:rFonts w:ascii="Times New Roman;serif" w:hAnsi="Times New Roman;serif"/>
          <w:b/>
          <w:i/>
          <w:sz w:val="20"/>
          <w:u w:val="single"/>
        </w:rPr>
        <w:t xml:space="preserve">Government Assistance (Topic 832): Disclosures by Business Entities about Government Assistance / </w:t>
      </w:r>
      <w:r>
        <w:rPr>
          <w:rFonts w:ascii="Times New Roman;serif" w:hAnsi="Times New Roman;serif"/>
          <w:b/>
          <w:i w:val="false"/>
          <w:caps w:val="false"/>
          <w:smallCaps w:val="false"/>
          <w:sz w:val="20"/>
          <w:u w:val="single"/>
        </w:rPr>
        <w:t xml:space="preserve">IAS 20 – </w:t>
      </w:r>
      <w:r>
        <w:rPr>
          <w:rFonts w:ascii="Times New Roman;serif" w:hAnsi="Times New Roman;serif"/>
          <w:b/>
          <w:i/>
          <w:sz w:val="20"/>
          <w:u w:val="single"/>
        </w:rPr>
        <w:t>Accounting for Government Grants and Disclosure of Government Assistance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On December 15, 2021, we early adopted </w:t>
      </w:r>
      <w:r>
        <w:rPr>
          <w:rFonts w:ascii="Times New Roman;serif" w:hAnsi="Times New Roman;serif"/>
          <w:b w:val="false"/>
          <w:i/>
          <w:color w:val="000000"/>
          <w:sz w:val="20"/>
        </w:rPr>
        <w:t xml:space="preserve">ASU 2021-10, Government Assistance: Disclosures by Business Entities about Government Assistance (Topic 832). </w:t>
      </w:r>
      <w:r>
        <w:rPr>
          <w:rFonts w:ascii="Times New Roman;serif" w:hAnsi="Times New Roman;serif"/>
          <w:b w:val="false"/>
          <w:i w:val="false"/>
          <w:caps w:val="false"/>
          <w:smallCaps w:val="false"/>
          <w:color w:val="000000"/>
          <w:sz w:val="20"/>
        </w:rPr>
        <w:t xml:space="preserve">This ASU applies to transactions with a government that are accounted for by analogizing to accounting standards such as </w:t>
      </w:r>
      <w:r>
        <w:rPr>
          <w:rFonts w:ascii="Times New Roman;serif" w:hAnsi="Times New Roman;serif"/>
          <w:b w:val="false"/>
          <w:i/>
          <w:color w:val="000000"/>
          <w:sz w:val="20"/>
        </w:rPr>
        <w:t>International Accounting Standard 20 - Accounting for Government Grants and Disclosure of Government Assistance (“IAS 20”)</w:t>
      </w:r>
      <w:r>
        <w:rPr>
          <w:rFonts w:ascii="Times New Roman;serif" w:hAnsi="Times New Roman;serif"/>
          <w:b w:val="false"/>
          <w:i w:val="false"/>
          <w:caps w:val="false"/>
          <w:smallCaps w:val="false"/>
          <w:color w:val="000000"/>
          <w:sz w:val="20"/>
        </w:rPr>
        <w:t>, which we adopted in the second quarter of 2020 in order to account for the receipt of certain government grants in Australia and New Zealand. The early adoption of the ASU has no material effect on our consolidated financial statements.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3 – IMPACTS</w:t>
      </w:r>
      <w:bookmarkStart w:id="61" w:name="FSNote3"/>
      <w:bookmarkEnd w:id="61"/>
      <w:r>
        <w:rPr>
          <w:rFonts w:ascii="Times New Roman;serif" w:hAnsi="Times New Roman;serif"/>
          <w:caps w:val="false"/>
          <w:smallCaps w:val="false"/>
          <w:sz w:val="20"/>
          <w:u w:val="single"/>
        </w:rPr>
        <w:t xml:space="preserve"> </w:t>
      </w:r>
      <w:r>
        <w:rPr>
          <w:rFonts w:ascii="Times New Roman;serif" w:hAnsi="Times New Roman;serif"/>
          <w:b/>
          <w:i w:val="false"/>
          <w:caps w:val="false"/>
          <w:smallCaps w:val="false"/>
          <w:sz w:val="20"/>
          <w:u w:val="single"/>
        </w:rPr>
        <w:t>ON OUR BUSINESS DUE TO THE COVID-19 PANDEMIC, THE 2023 HOLLYWOOD STRIKES, THE DRAMATIC INTEREST RATE RISE AND INCREASED OPERATING COSTS, TOGETHER WITH OUR COMPANY’S RESOURCES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General</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COVID-19 has materially impacted our business since the declaration of a global pandemic in March 2020. Having navigated mandated global closures during the pandemic, our cinema operations were, again, materially disrupted and materially adversely impacted by the 2023 strikes by the Writers Guild of America (WGA) and the American actors’ union SAG-AFTRA (Screen Actors Guild-American Federation of Television and Radio Artists) (SAG) over labor disputes with the Alliance of Motion Picture and Television Producers (AMPTP), described in greater detail below (the “2023 Hollywood Strikes”). Also, between March 2022 and July 2023, the Federal Reserve increased the Federal Funds rate from 0.25% to 5.5%, which represented the fastest interest rate tightening in U.S. history.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these and other factors, we are experiencing, among other things, increasing costs related to inventory, labor and utilities, and many of our U.S. cinemas are obligated to repay rent deferrals to our landlords as negotiated in 2020-2022. In addition, some of our cinemas are facing automatic rent increases. Cost-reduction efforts in our cinema operating segment continue, including, but not limited to, restricting essential operating expenditures to the minimum levels necessary, reducing employment and utilities costs, and minimizing capital outlays. We continue to work with our landlords to manage our rent obligations.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operating segment has been less impacted by the COVID-19 pandemic and is generating the expected cash flows.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Going Concern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We continue to evaluate the going concern assertion required by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mitigate the consequential going concern substantial doubt. Our evaluation is informed by current liquidity positions, debt obligations,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w:t>
      </w:r>
      <w:r>
        <w:rPr>
          <w:rFonts w:ascii="Times New Roman;serif" w:hAnsi="Times New Roman;serif"/>
          <w:b w:val="false"/>
          <w:i/>
          <w:sz w:val="20"/>
        </w:rPr>
        <w:t>ASC 205-40 Going Concern</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$85.5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the twelve months from the issue of this Form 10-K. As at December 31, 2023, we have cash of $12.9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$88.4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In order to alleviate doubt that our Company will be able to generate sufficient cash flows for the coming twelve-months, these loans need to be refinanced and our revenues and net income need to improve.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believe that is probable that these loans will be extended on terms acceptable to us. Prior to the issuance of the Form 10-K, we extended our Bank of America facility to August 18, 2025. We believe that we have sufficient time to address our Santander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our Westpac ($8.8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facilities due in the second quarter of 2024 and the first quarter of 2025, respectively, and intend to execute an option on our Union Square financing facility. We have an indicative Term Sheet from NAB increasing and extending that facility to July 31, 2026.</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We believe that the global cinema industry will continue to recover in 2024 and 2025. This belief underpins our forecasts and cash flow projections. Our forecasts rely upon, among other things, the market reception to current films such as </w:t>
      </w:r>
      <w:r>
        <w:rPr>
          <w:rFonts w:ascii="Times New Roman;serif" w:hAnsi="Times New Roman;serif"/>
          <w:b w:val="false"/>
          <w:i/>
          <w:sz w:val="20"/>
        </w:rPr>
        <w:t>Dune II, Kung Fu Panda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Ghost Busters: Frozen Empire</w:t>
      </w:r>
      <w:r>
        <w:rPr>
          <w:rFonts w:ascii="Times New Roman;serif" w:hAnsi="Times New Roman;serif"/>
          <w:b w:val="false"/>
          <w:i w:val="false"/>
          <w:caps w:val="false"/>
          <w:smallCaps w:val="false"/>
          <w:sz w:val="20"/>
        </w:rPr>
        <w:t xml:space="preserve">, current industry movie release schedule, which demonstrates an increased number of movies from the major studios and other distributors and an improvement in the quality of the movie titles, and the public’s demonstrable desire to attend movies in a theatrical environment. These named factors are both out of Management’s control and are material, individually and in the aggregate, to the realization of Management’s forecasts and expectations. In the event that our forecasts and cash flow estimates, and our reasonable refinancing expectations, do not come to fruition to the extent needed to provide sufficient funding, we are willing and able to pursue additional asset monetizations. Since 2021, we have demonstrated our ability to complete such real estate transactions.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conclusion, as of the date of issuance of these financial statements, based on our evaluation of </w:t>
      </w:r>
      <w:r>
        <w:rPr>
          <w:rFonts w:ascii="Times New Roman;serif" w:hAnsi="Times New Roman;serif"/>
          <w:b w:val="false"/>
          <w:i/>
          <w:sz w:val="20"/>
        </w:rPr>
        <w:t>ASC 205-40 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the current conditions and events, considered in the aggregate, and our various plans for enhancing liquidity and the extent to which those plans are progressing, we conclude that our plans are probable of being implemented and that they alleviate the substantial doubt about our Company’s ability to continue as a going concern.</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continue to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xml:space="preserve">. At December 31, 2023, our Company performed a quantitative recoverability test of the carrying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values of all its asset groups. Our Company estimated the undiscounted future cash flows expected to result from the use of these asset groups and found that no impairment charge was necessary. This was due to our improved financial performance at the asset group level, and our more favorable expectations for future trading. We recorded impairment charges of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2022 against certain cinemas whose performance had not improved commensurate with the wider group.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the 2021 year. Actual performance against our forecasts is dependent on several variables and conditions, many of which are subject to the uncertainties associated with COVID-19 and as a result, actual results may materially differ from management’s estimates.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Our Company also considers that the events and factors described above continue to constitute impairment indicators under </w:t>
      </w:r>
      <w:r>
        <w:rPr>
          <w:rFonts w:ascii="Times New Roman;serif" w:hAnsi="Times New Roman;serif"/>
          <w:b w:val="false"/>
          <w:i/>
          <w:sz w:val="20"/>
        </w:rPr>
        <w:t>ASC 350 Intangibles – Goodwill and Other</w:t>
      </w:r>
      <w:r>
        <w:rPr>
          <w:rFonts w:ascii="Times New Roman;serif" w:hAnsi="Times New Roman;serif"/>
          <w:b w:val="false"/>
          <w:i w:val="false"/>
          <w:caps w:val="false"/>
          <w:smallCaps w:val="false"/>
          <w:sz w:val="20"/>
        </w:rPr>
        <w:t>. Our Company performed a quantitative goodwill impairment test and determined that our goodwill was not impaired as of December 31, 2023.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Actual performance against our forecasts is dependent on several variables and conditions, many of which are subject to the uncertainties associated with COVID-19 and as a result, actual results may materially differ from management’s estimates.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4 – EARNINGS (LOSS) PER SHA</w:t>
      </w:r>
      <w:bookmarkStart w:id="62" w:name="FSNote4"/>
      <w:bookmarkEnd w:id="62"/>
      <w:r>
        <w:rPr>
          <w:rFonts w:ascii="Times New Roman;serif" w:hAnsi="Times New Roman;serif"/>
          <w:b/>
          <w:i w:val="false"/>
          <w:caps w:val="false"/>
          <w:smallCaps w:val="false"/>
          <w:sz w:val="20"/>
          <w:u w:val="single"/>
        </w:rPr>
        <w:t>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earnings (loss) per share and a reconciliation of the weighted average number of common and common equivalent shares outstanding for the three years ended December 31, 2023:</w:t>
      </w:r>
    </w:p>
    <w:tbl>
      <w:tblPr>
        <w:tblW w:w="9280" w:type="dxa"/>
        <w:jc w:val="left"/>
        <w:tblInd w:w="0" w:type="dxa"/>
        <w:tblLayout w:type="fixed"/>
        <w:tblCellMar>
          <w:top w:w="0" w:type="dxa"/>
          <w:left w:w="0" w:type="dxa"/>
          <w:bottom w:w="0" w:type="dxa"/>
          <w:right w:w="0" w:type="dxa"/>
        </w:tblCellMar>
      </w:tblPr>
      <w:tblGrid>
        <w:gridCol w:w="4951"/>
        <w:gridCol w:w="109"/>
        <w:gridCol w:w="211"/>
        <w:gridCol w:w="1108"/>
        <w:gridCol w:w="109"/>
        <w:gridCol w:w="211"/>
        <w:gridCol w:w="1108"/>
        <w:gridCol w:w="109"/>
        <w:gridCol w:w="211"/>
        <w:gridCol w:w="1153"/>
      </w:tblGrid>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share and per share data)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95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31,921</w:t>
            </w:r>
          </w:p>
        </w:tc>
      </w:tr>
      <w:tr>
        <w:trPr/>
        <w:tc>
          <w:tcPr>
            <w:tcW w:w="49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21,801,719</w:t>
            </w:r>
          </w:p>
        </w:tc>
      </w:tr>
      <w:tr>
        <w:trPr/>
        <w:tc>
          <w:tcPr>
            <w:tcW w:w="4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dilutive impact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1,124,673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935,324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605,097</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23,347,308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22,956,245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22,406,816</w:t>
            </w:r>
          </w:p>
        </w:tc>
      </w:tr>
      <w:tr>
        <w:trPr/>
        <w:tc>
          <w:tcPr>
            <w:tcW w:w="49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1.46</w:t>
            </w:r>
          </w:p>
        </w:tc>
      </w:tr>
      <w:tr>
        <w:trPr/>
        <w:tc>
          <w:tcPr>
            <w:tcW w:w="49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1.42</w:t>
            </w:r>
          </w:p>
        </w:tc>
      </w:tr>
      <w:tr>
        <w:trPr/>
        <w:tc>
          <w:tcPr>
            <w:tcW w:w="4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Awards excluded from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517,344</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Outstanding awards of 205,122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year ended December 31, 2023 and 327,498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year ended December 31, 2022, were excluded from the computation of dilutive shares, as they were anti-dilutive because of the net loss from continuing operations.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5 – REAL ESTATE TRANSACTIO</w:t>
      </w:r>
      <w:bookmarkStart w:id="63" w:name="FSNote5"/>
      <w:bookmarkEnd w:id="63"/>
      <w:r>
        <w:rPr>
          <w:rFonts w:ascii="Times New Roman;serif" w:hAnsi="Times New Roman;serif"/>
          <w:b/>
          <w:i w:val="false"/>
          <w:caps w:val="false"/>
          <w:smallCaps w:val="false"/>
          <w:sz w:val="20"/>
          <w:u w:val="single"/>
        </w:rPr>
        <w:t>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Discussed below are the real estate transactions affecting the presentation in our consolidated balance sheets as of December 31, 2023 and 2022, and the profitability determination in our consolidated statements of income for the three years ended December 31, 2023, 2022 and 2021.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Monetizations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Beginning in 2020, we have on an ongoing basis reviewed our various real estate holdings in light of the fact that our cash flow from cinema operations has been adversely affected initially by the governmentally mandated cinema closings ordered in response to the COVID-19 pandemic and then by the lengthy 2023 Hollywood Strikes, and that our overall cash flow continues to be adversely affected by unprecedented increases in interest rates and the impact of inflation and government mandates on our cost of goods sold and cost of operations. Until cinema revenues return to normal and interest rates abate, other sources of cash would be needed to support our operations and only very limited funds would be available for capital investment in our properties. Between the fourth quarter of 2020 and the fourth quarter of 2023, we classified as assets held for sale disposal groups and thereafter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(sold in February 2024). A ‘disposal group’ represents assets to be disposed of in a single transaction. A disposal group may represent a single asset, or multiple assets. Each of these transactions is discussed separately below. As of December 31, 2023, we classify as assets held for sale our approximately 26.6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acre parcel of industrial land in Williamsport Pennsylvania and our Culver City office building.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Auburn/Redyard, New South Wales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January 2021, we classified our Auburn / Redyard ETC as held for sale, reflecting the fact that approximately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acres of this property was non-income producing land. This disposal group, which consisted of land, the ETC building and related property, plant and equipment, was transferred to Land and Property Held for Sale at its book value of $30.2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(AU$39.1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sale of Auburn/Redyard was completed on June 9, 2021, for $69.6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(AU$90.0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As part of the transaction, we entered into a lease with the purchaser for the cinema portion of the Auburn/Redyard site.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69,579</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(30,231)</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39,348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38,726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Manukau, New Zealand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December 2020, we classified our non-income producing land at Manukau, New Zealand, as held for sale. This disposal group, which consisted of land and certain improvements to that land, was transferred to Land Held for Sale at its book value of $13.6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this asset were required. The sale of this land was completed on March 4, 2021, for $56.1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(NZ$77.2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which NZ$1.0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was received on February 23, 2021, and the balance of funds was received on March 4, 2021.</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967" w:type="dxa"/>
        <w:jc w:val="left"/>
        <w:tblInd w:w="0" w:type="dxa"/>
        <w:tblLayout w:type="fixed"/>
        <w:tblCellMar>
          <w:top w:w="0" w:type="dxa"/>
          <w:left w:w="0" w:type="dxa"/>
          <w:bottom w:w="0" w:type="dxa"/>
          <w:right w:w="0" w:type="dxa"/>
        </w:tblCellMar>
      </w:tblPr>
      <w:tblGrid>
        <w:gridCol w:w="2806"/>
        <w:gridCol w:w="109"/>
        <w:gridCol w:w="211"/>
        <w:gridCol w:w="841"/>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56,058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(13,618)</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42,440</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(1,514)</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40,926</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Coachella, California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December 2020, we classified the non-income producing land at Coachella (held through Shadow View Land and Farming LLC) as held for sale. This disposal group, which consisted of land and certain improvements to that land, was transferred to Land and Property Held for Sale at its book value of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this asset were required. The sale of this land was completed on March 5, 2021 for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a 50% member in Shadow View Land and Farming LLC, our Company received the benefit of 50% of the sale proceeds, being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As the other 50% member was Estate of James J. Cotter, Sr., these actions were approved by our Audit and Conflicts Committee.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including both our interests and those of the other 50% owner of Shadow View Land and Farming, LLC, is calculated as follows:</w:t>
      </w:r>
    </w:p>
    <w:tbl>
      <w:tblPr>
        <w:tblW w:w="3919" w:type="dxa"/>
        <w:jc w:val="left"/>
        <w:tblInd w:w="0" w:type="dxa"/>
        <w:tblLayout w:type="fixed"/>
        <w:tblCellMar>
          <w:top w:w="0" w:type="dxa"/>
          <w:left w:w="0" w:type="dxa"/>
          <w:bottom w:w="0" w:type="dxa"/>
          <w:right w:w="0" w:type="dxa"/>
        </w:tblCellMar>
      </w:tblPr>
      <w:tblGrid>
        <w:gridCol w:w="2806"/>
        <w:gridCol w:w="109"/>
        <w:gridCol w:w="211"/>
        <w:gridCol w:w="793"/>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March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11,000</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(4,351)</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6,649</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(301)</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6,348</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Royal George Theatre, Chicago</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February 2021, we classified our Royal George Theatre as held for sale as part of our strategy to monetize certain real estate assets. This disposal group, which consisted of the Royal George Theatre building and the associated property, plant and equipment, was transferred to Land and Property Held for Sale at its book value of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contained within this disposal group were required. On June 30, 2021, we received net sale proceeds of $6.8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(net of closing costs).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3862" w:type="dxa"/>
        <w:jc w:val="left"/>
        <w:tblInd w:w="0" w:type="dxa"/>
        <w:tblLayout w:type="fixed"/>
        <w:tblCellMar>
          <w:top w:w="0" w:type="dxa"/>
          <w:left w:w="0" w:type="dxa"/>
          <w:bottom w:w="0" w:type="dxa"/>
          <w:right w:w="0" w:type="dxa"/>
        </w:tblCellMar>
      </w:tblPr>
      <w:tblGrid>
        <w:gridCol w:w="2806"/>
        <w:gridCol w:w="109"/>
        <w:gridCol w:w="211"/>
        <w:gridCol w:w="736"/>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June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7,075</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(1,824)</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5,251</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(295)</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4,956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Invercargill, New Zealand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30, 2021, we monetized our cinema building and land in Invercargill for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(NZ$5.4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to the owner of the adjacent property. This property, not then classified as held for sale, was monetized in a transaction whereby the purchaser leased back the Reading Cinema to our company.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on this property is calculated as follows:</w:t>
      </w:r>
    </w:p>
    <w:tbl>
      <w:tblPr>
        <w:tblW w:w="4055" w:type="dxa"/>
        <w:jc w:val="left"/>
        <w:tblInd w:w="0" w:type="dxa"/>
        <w:tblLayout w:type="fixed"/>
        <w:tblCellMar>
          <w:top w:w="0" w:type="dxa"/>
          <w:left w:w="0" w:type="dxa"/>
          <w:bottom w:w="0" w:type="dxa"/>
          <w:right w:w="0" w:type="dxa"/>
        </w:tblCellMar>
      </w:tblPr>
      <w:tblGrid>
        <w:gridCol w:w="2806"/>
        <w:gridCol w:w="109"/>
        <w:gridCol w:w="254"/>
        <w:gridCol w:w="886"/>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September 30</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3,803</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2,378</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2,372</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Maitland, New South Wales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October 25, 2023, we monetized our property in Maitland, NSW, Australia, for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property consisted of a cinema building and associated land. The purchaser leased back the Reading Cinema to our company.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4010" w:type="dxa"/>
        <w:jc w:val="left"/>
        <w:tblInd w:w="0" w:type="dxa"/>
        <w:tblLayout w:type="fixed"/>
        <w:tblCellMar>
          <w:top w:w="0" w:type="dxa"/>
          <w:left w:w="0" w:type="dxa"/>
          <w:bottom w:w="0" w:type="dxa"/>
          <w:right w:w="0" w:type="dxa"/>
        </w:tblCellMar>
      </w:tblPr>
      <w:tblGrid>
        <w:gridCol w:w="2806"/>
        <w:gridCol w:w="109"/>
        <w:gridCol w:w="257"/>
        <w:gridCol w:w="838"/>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838"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80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80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1,774</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(835)</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800</w:t>
            </w:r>
          </w:p>
        </w:tc>
      </w:tr>
    </w:tbl>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Asset Groups Held for Sale</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Los Angeles</w:t>
      </w:r>
    </w:p>
    <w:p>
      <w:pPr>
        <w:pStyle w:val="TextBody"/>
        <w:bidi w:val="0"/>
        <w:spacing w:lineRule="auto" w:line="228"/>
        <w:jc w:val="left"/>
        <w:rPr>
          <w:rFonts w:ascii="Times New Roman;serif" w:hAnsi="Times New Roman;serif"/>
          <w:sz w:val="20"/>
        </w:rPr>
      </w:pPr>
      <w:r>
        <w:rPr>
          <w:rFonts w:ascii="Times New Roman;serif" w:hAnsi="Times New Roman;serif"/>
          <w:b w:val="false"/>
          <w:i w:val="false"/>
          <w:caps w:val="false"/>
          <w:smallCaps w:val="false"/>
          <w:sz w:val="20"/>
        </w:rPr>
        <w:t>In May 2023, we classified our Culver City administrative building, commonly known as 5995 Sepulveda Blvd., as held for sale. Our book value (as opposed to fair value) of the property is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being the lower of cost and fair value less costs to sell.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contained within this disposal group were required. The disposal group consists of land, a building and various leasehold improvements. </w:t>
      </w:r>
    </w:p>
    <w:p>
      <w:pPr>
        <w:pStyle w:val="TextBody"/>
        <w:bidi w:val="0"/>
        <w:spacing w:lineRule="auto" w:line="228"/>
        <w:jc w:val="left"/>
        <w:rPr>
          <w:rFonts w:ascii="Times New Roman;serif" w:hAnsi="Times New Roman;serif"/>
          <w:sz w:val="20"/>
        </w:rPr>
      </w:pPr>
      <w:r>
        <w:rPr>
          <w:rFonts w:ascii="Times New Roman;serif" w:hAnsi="Times New Roman;serif"/>
          <w:b w:val="false"/>
          <w:i w:val="false"/>
          <w:caps w:val="false"/>
          <w:smallCaps w:val="false"/>
          <w:sz w:val="20"/>
        </w:rPr>
        <w:t>On February 23, 2024, we sold this property for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resulting in a book loss of $700,000. The proceeds were used to discharge the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first mortgage which the property was encumbered with and which became due on sale, brokerage fees of $210,000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associated costs of sale and transfer and recording taxes of $140,000. This price was less than we had anticipated based on discussions with our advisors prior to December 31, 2023. Accordingly, the loss on this sale will be recorded in 2024, rather than 2023.</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2483 Trenton Avenue, Williamsport, Pennsylvania</w:t>
      </w:r>
    </w:p>
    <w:p>
      <w:pPr>
        <w:pStyle w:val="TextBody"/>
        <w:bidi w:val="0"/>
        <w:spacing w:lineRule="auto" w:line="228"/>
        <w:ind w:left="0" w:right="187" w:hanging="0"/>
        <w:jc w:val="both"/>
        <w:rPr>
          <w:rFonts w:ascii="Times New Roman;serif" w:hAnsi="Times New Roman;serif"/>
          <w:sz w:val="20"/>
        </w:rPr>
      </w:pPr>
      <w:r>
        <w:rPr>
          <w:rFonts w:ascii="Times New Roman;serif" w:hAnsi="Times New Roman;serif"/>
          <w:b w:val="false"/>
          <w:i w:val="false"/>
          <w:caps w:val="false"/>
          <w:smallCaps w:val="false"/>
          <w:sz w:val="20"/>
        </w:rPr>
        <w:t>In June 2023, we classified our approximately 26.6-acre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foot industrial building and various rail road improvements. No adjustments to the book value of the assets contained within this disposal group were required. We expect to complete the sale within the next 12 months. The property is unencumbered. We have retained CBRE as our exclusive agent for the marketing of this property.</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Acquisitions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Exercise of Option to Acquire Ground Lessee’s Interest in Ground Lease and Improvements Constituting the Village East Cinema</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28, 2019, we exercised our option to acquire the ground lessee’s interest in the 13-year ground lease underlying and the real property assets constituent with our Village East Cinema in Manhattan. The purchase price under the option is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transaction is expected to close on July 1, 2024. Further information is at </w:t>
      </w:r>
      <w:r>
        <w:rPr>
          <w:rFonts w:ascii="Times New Roman;serif" w:hAnsi="Times New Roman;serif"/>
          <w:b w:val="false"/>
          <w:i/>
          <w:sz w:val="20"/>
        </w:rPr>
        <w:t>Note 20 – Related Parties</w:t>
      </w:r>
      <w:r>
        <w:rPr>
          <w:rFonts w:ascii="Times New Roman;serif" w:hAnsi="Times New Roman;serif"/>
          <w:b w:val="false"/>
          <w:i w:val="false"/>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6 – PROPERTIES AND EQUIPME</w:t>
      </w:r>
      <w:bookmarkStart w:id="64" w:name="FSNote6"/>
      <w:bookmarkEnd w:id="64"/>
      <w:r>
        <w:rPr>
          <w:rFonts w:ascii="Times New Roman;serif" w:hAnsi="Times New Roman;serif"/>
          <w:b/>
          <w:i w:val="false"/>
          <w:caps w:val="false"/>
          <w:smallCaps w:val="false"/>
          <w:sz w:val="20"/>
          <w:u w:val="single"/>
        </w:rPr>
        <w:t>NT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Operating Property, Net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67,392</w:t>
            </w:r>
          </w:p>
        </w:tc>
      </w:tr>
      <w:tr>
        <w:trPr/>
        <w:tc>
          <w:tcPr>
            <w:tcW w:w="26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205,821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213,226</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53,984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64,230</w:t>
            </w:r>
          </w:p>
        </w:tc>
      </w:tr>
      <w:tr>
        <w:trPr/>
        <w:tc>
          <w:tcPr>
            <w:tcW w:w="26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194,753</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6,839</w:t>
            </w:r>
          </w:p>
        </w:tc>
      </w:tr>
      <w:tr>
        <w:trPr/>
        <w:tc>
          <w:tcPr>
            <w:tcW w:w="26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480,346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546,440</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(259,488)</w:t>
            </w:r>
          </w:p>
        </w:tc>
      </w:tr>
      <w:tr>
        <w:trPr/>
        <w:tc>
          <w:tcPr>
            <w:tcW w:w="26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Properties,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262,417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286,952</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our total operating properties as disclosed above, the gross and carrying amounts of the portion of our properties currently on lease or held for leasing as of December 31, 2023 and 2022 are as follows:</w:t>
      </w:r>
    </w:p>
    <w:tbl>
      <w:tblPr>
        <w:tblW w:w="5152" w:type="dxa"/>
        <w:jc w:val="left"/>
        <w:tblInd w:w="0" w:type="dxa"/>
        <w:tblLayout w:type="fixed"/>
        <w:tblCellMar>
          <w:top w:w="0" w:type="dxa"/>
          <w:left w:w="0" w:type="dxa"/>
          <w:bottom w:w="0" w:type="dxa"/>
          <w:right w:w="0" w:type="dxa"/>
        </w:tblCellMar>
      </w:tblPr>
      <w:tblGrid>
        <w:gridCol w:w="2731"/>
        <w:gridCol w:w="109"/>
        <w:gridCol w:w="211"/>
        <w:gridCol w:w="868"/>
        <w:gridCol w:w="109"/>
        <w:gridCol w:w="211"/>
        <w:gridCol w:w="913"/>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1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731"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731"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73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136,749</w:t>
            </w:r>
          </w:p>
        </w:tc>
      </w:tr>
      <w:tr>
        <w:trPr/>
        <w:tc>
          <w:tcPr>
            <w:tcW w:w="273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(26,148)</w:t>
            </w:r>
          </w:p>
        </w:tc>
      </w:tr>
      <w:tr>
        <w:trPr/>
        <w:tc>
          <w:tcPr>
            <w:tcW w:w="273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103,952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110,601</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$18.3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$20.6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$22.0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year ended December 31, 2023, 2022 and 2021, respectively.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Investment and Development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property is summarized as follows: </w:t>
      </w:r>
    </w:p>
    <w:tbl>
      <w:tblPr>
        <w:tblW w:w="6667" w:type="dxa"/>
        <w:jc w:val="left"/>
        <w:tblInd w:w="0" w:type="dxa"/>
        <w:tblLayout w:type="fixed"/>
        <w:tblCellMar>
          <w:top w:w="0" w:type="dxa"/>
          <w:left w:w="0" w:type="dxa"/>
          <w:bottom w:w="0" w:type="dxa"/>
          <w:right w:w="0" w:type="dxa"/>
        </w:tblCellMar>
      </w:tblPr>
      <w:tblGrid>
        <w:gridCol w:w="4696"/>
        <w:gridCol w:w="109"/>
        <w:gridCol w:w="211"/>
        <w:gridCol w:w="643"/>
        <w:gridCol w:w="109"/>
        <w:gridCol w:w="211"/>
        <w:gridCol w:w="688"/>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69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69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3,857</w:t>
            </w:r>
          </w:p>
        </w:tc>
      </w:tr>
      <w:tr>
        <w:trPr/>
        <w:tc>
          <w:tcPr>
            <w:tcW w:w="469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 (including capitalized interest)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4,935</w:t>
            </w:r>
          </w:p>
        </w:tc>
      </w:tr>
      <w:tr>
        <w:trPr/>
        <w:tc>
          <w:tcPr>
            <w:tcW w:w="46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Investment and development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8,792</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did not capitalize any interest charges for the years ended December 31, 2023 or December 31, 2022, pertaining to our on-going development projects.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7 – LEAS</w:t>
      </w:r>
      <w:bookmarkStart w:id="65" w:name="Note18_Leases"/>
      <w:bookmarkEnd w:id="65"/>
      <w:r>
        <w:rPr>
          <w:rFonts w:ascii="Times New Roman;serif" w:hAnsi="Times New Roman;serif"/>
          <w:b/>
          <w:i w:val="false"/>
          <w:caps w:val="false"/>
          <w:smallCaps w:val="false"/>
          <w:sz w:val="20"/>
          <w:u w:val="single"/>
        </w:rPr>
        <w:t xml:space="preserve">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all leases, whether we are the lessor or lessee, we define lease term as the non-cancellable term of the lease plus any renewals covered by renewal options that are reasonably certain of exercise based on our assessment of economic factors relevant to the lessee. The non-cancellable term of the lease commences on the date the lessor makes the underlying property in the lease available to the lessee, irrespective of when lease payments begin under the contract.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operating leases for certain cinemas and corporate offices, and finance leases for certain equipment assets.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to up to a further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leases where we are the lessee, we recognize a right of use asset and lease liability at lease commencement, which is measured by discounting lease payments using an incremental borrowing rate applicable to the relevant country and term of the lease as the discount rate. Subsequent amortization of the right of use asset and accretion of the lease liability for an operating lease is recognized as a single lease cost, on a straight-line basis, over the term of the lease. Lease term includes option periods where we determine that we are reasonably certain to be exercising those options. A finance lease right-of-use asset is depreciated on a straight-line basis over the lesser of the useful life of the leased asset or the lease term. Interest on each finance lease liability is determined as the amount that results in a constant periodic discount rate on the remaining balance of the liability. Property taxes and other non-lease costs are accounted for on an accrual basis.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payments for our cinema operating leases consist of fixed base rent, and for certain leases, variable lease payments consisting of contracted percentages of revenue, changes in the relevant CPI, and/or other contracted financial metrics.</w:t>
      </w:r>
    </w:p>
    <w:p>
      <w:pPr>
        <w:pStyle w:val="TextBody"/>
        <w:bidi w:val="0"/>
        <w:spacing w:lineRule="auto" w:line="259"/>
        <w:jc w:val="left"/>
        <w:rPr>
          <w:rFonts w:ascii="Times New Roman;serif" w:hAnsi="Times New Roman;serif"/>
          <w:b w:val="false"/>
          <w:i w:val="false"/>
          <w:caps w:val="false"/>
          <w:smallCaps w:val="false"/>
          <w:sz w:val="20"/>
        </w:rPr>
      </w:pPr>
      <w:bookmarkStart w:id="66" w:name="_Hlk57290501"/>
      <w:bookmarkEnd w:id="66"/>
      <w:r>
        <w:rPr>
          <w:rFonts w:ascii="Times New Roman;serif" w:hAnsi="Times New Roman;serif"/>
          <w:b w:val="false"/>
          <w:i w:val="false"/>
          <w:caps w:val="false"/>
          <w:smallCaps w:val="false"/>
          <w:sz w:val="20"/>
        </w:rPr>
        <w:t xml:space="preserve">As a result of the impacts of COVID-19, we have obtained certain concessions from our landlords. We have elected to account for these concessions as if there have been no changes to the underlying contracts, thereby recognizing abatements secured as variable lease expenses, and increasing payables for lease payment deferrals.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are as follows:</w:t>
      </w:r>
    </w:p>
    <w:tbl>
      <w:tblPr>
        <w:tblW w:w="5078" w:type="dxa"/>
        <w:jc w:val="left"/>
        <w:tblInd w:w="0" w:type="dxa"/>
        <w:tblLayout w:type="fixed"/>
        <w:tblCellMar>
          <w:top w:w="0" w:type="dxa"/>
          <w:left w:w="0" w:type="dxa"/>
          <w:bottom w:w="0" w:type="dxa"/>
          <w:right w:w="0" w:type="dxa"/>
        </w:tblCellMar>
      </w:tblPr>
      <w:tblGrid>
        <w:gridCol w:w="2911"/>
        <w:gridCol w:w="109"/>
        <w:gridCol w:w="211"/>
        <w:gridCol w:w="734"/>
        <w:gridCol w:w="109"/>
        <w:gridCol w:w="211"/>
        <w:gridCol w:w="793"/>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9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r>
      <w:tr>
        <w:trPr/>
        <w:tc>
          <w:tcPr>
            <w:tcW w:w="291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291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33,422</w:t>
            </w:r>
          </w:p>
        </w:tc>
      </w:tr>
      <w:tr>
        <w:trPr/>
        <w:tc>
          <w:tcPr>
            <w:tcW w:w="291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34,081</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377" w:type="dxa"/>
        <w:jc w:val="left"/>
        <w:tblInd w:w="0" w:type="dxa"/>
        <w:tblLayout w:type="fixed"/>
        <w:tblCellMar>
          <w:top w:w="0" w:type="dxa"/>
          <w:left w:w="0" w:type="dxa"/>
          <w:bottom w:w="0" w:type="dxa"/>
          <w:right w:w="0" w:type="dxa"/>
        </w:tblCellMar>
      </w:tblPr>
      <w:tblGrid>
        <w:gridCol w:w="6196"/>
        <w:gridCol w:w="109"/>
        <w:gridCol w:w="211"/>
        <w:gridCol w:w="748"/>
        <w:gridCol w:w="109"/>
        <w:gridCol w:w="211"/>
        <w:gridCol w:w="793"/>
      </w:tblGrid>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619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r>
      <w:tr>
        <w:trPr/>
        <w:tc>
          <w:tcPr>
            <w:tcW w:w="619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34,685</w:t>
            </w:r>
          </w:p>
        </w:tc>
      </w:tr>
      <w:tr>
        <w:trPr/>
        <w:tc>
          <w:tcPr>
            <w:tcW w:w="619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77" w:type="dxa"/>
        <w:jc w:val="left"/>
        <w:tblInd w:w="0" w:type="dxa"/>
        <w:tblLayout w:type="fixed"/>
        <w:tblCellMar>
          <w:top w:w="0" w:type="dxa"/>
          <w:left w:w="0" w:type="dxa"/>
          <w:bottom w:w="0" w:type="dxa"/>
          <w:right w:w="0" w:type="dxa"/>
        </w:tblCellMar>
      </w:tblPr>
      <w:tblGrid>
        <w:gridCol w:w="4786"/>
        <w:gridCol w:w="109"/>
        <w:gridCol w:w="211"/>
        <w:gridCol w:w="853"/>
        <w:gridCol w:w="109"/>
        <w:gridCol w:w="211"/>
        <w:gridCol w:w="898"/>
      </w:tblGrid>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7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200,417</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23,971</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200,037</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203,945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224,008</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363</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(338)</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25</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w:t>
            </w:r>
          </w:p>
        </w:tc>
      </w:tr>
      <w:tr>
        <w:trPr/>
        <w:tc>
          <w:tcPr>
            <w:tcW w:w="4786" w:type="dxa"/>
            <w:tcBorders/>
            <w:vAlign w:val="center"/>
          </w:tcPr>
          <w:p>
            <w:pPr>
              <w:pStyle w:val="TableContents"/>
              <w:bidi w:val="0"/>
              <w:spacing w:before="0" w:after="283"/>
              <w:ind w:left="115" w:right="0" w:hanging="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3" w:type="dxa"/>
        <w:jc w:val="left"/>
        <w:tblInd w:w="0" w:type="dxa"/>
        <w:tblLayout w:type="fixed"/>
        <w:tblCellMar>
          <w:top w:w="0" w:type="dxa"/>
          <w:left w:w="0" w:type="dxa"/>
          <w:bottom w:w="0" w:type="dxa"/>
          <w:right w:w="0" w:type="dxa"/>
        </w:tblCellMar>
      </w:tblPr>
      <w:tblGrid>
        <w:gridCol w:w="1846"/>
        <w:gridCol w:w="109"/>
        <w:gridCol w:w="211"/>
        <w:gridCol w:w="853"/>
        <w:gridCol w:w="109"/>
        <w:gridCol w:w="250"/>
        <w:gridCol w:w="515"/>
      </w:tblGrid>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r>
      <w:tr>
        <w:trPr/>
        <w:tc>
          <w:tcPr>
            <w:tcW w:w="18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8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29,885</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25,738</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123,959</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(57,951)</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203,945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2023, we have no commitments for leases that are yet to commence.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entered into various leases as a lessor for our owned real estate properties.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Lease components consist of fixed base rent, and for certain leases, variable lease payments consisting of contracted percentages of revenue, changes in the relevant CPI, and/or other contracted financial metrics. None of our leases grant any right to the tenant to purchase the underlying asset.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lease payments for operating leases as property revenue on a straight-line basis over the lease term. Lease incentive payments we make to lessees are amortized as a reduction in property revenue over the lease term.</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bookmarkStart w:id="67" w:name="_Hlk57290541"/>
      <w:bookmarkEnd w:id="67"/>
      <w:r>
        <w:rPr>
          <w:rFonts w:ascii="Times New Roman;serif" w:hAnsi="Times New Roman;serif"/>
          <w:b w:val="false"/>
          <w:i w:val="false"/>
          <w:caps w:val="false"/>
          <w:smallCaps w:val="false"/>
          <w:sz w:val="20"/>
        </w:rPr>
        <w:t xml:space="preserve">As a result of the impacts of COVID-19, we have provided certain concessions to specific tenants. We have elected to account for these concessions as if there have been no changes to the underlying contracts, thereby recognizing abatements granted as variable lease payments through revenue and increasing receivables for lease payment deferrals.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4582" w:type="dxa"/>
        <w:jc w:val="left"/>
        <w:tblInd w:w="0" w:type="dxa"/>
        <w:tblLayout w:type="fixed"/>
        <w:tblCellMar>
          <w:top w:w="0" w:type="dxa"/>
          <w:left w:w="0" w:type="dxa"/>
          <w:bottom w:w="0" w:type="dxa"/>
          <w:right w:w="0" w:type="dxa"/>
        </w:tblCellMar>
      </w:tblPr>
      <w:tblGrid>
        <w:gridCol w:w="2506"/>
        <w:gridCol w:w="109"/>
        <w:gridCol w:w="211"/>
        <w:gridCol w:w="748"/>
        <w:gridCol w:w="109"/>
        <w:gridCol w:w="211"/>
        <w:gridCol w:w="688"/>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5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8,076</w:t>
            </w:r>
          </w:p>
        </w:tc>
      </w:tr>
      <w:tr>
        <w:trPr/>
        <w:tc>
          <w:tcPr>
            <w:tcW w:w="250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737</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11,879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8,813</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4929" w:type="dxa"/>
        <w:jc w:val="left"/>
        <w:tblInd w:w="0" w:type="dxa"/>
        <w:tblLayout w:type="fixed"/>
        <w:tblCellMar>
          <w:top w:w="0" w:type="dxa"/>
          <w:left w:w="0" w:type="dxa"/>
          <w:bottom w:w="0" w:type="dxa"/>
          <w:right w:w="0" w:type="dxa"/>
        </w:tblCellMar>
      </w:tblPr>
      <w:tblGrid>
        <w:gridCol w:w="2476"/>
        <w:gridCol w:w="109"/>
        <w:gridCol w:w="217"/>
        <w:gridCol w:w="878"/>
        <w:gridCol w:w="109"/>
        <w:gridCol w:w="217"/>
        <w:gridCol w:w="923"/>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923"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476"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136,749</w:t>
            </w:r>
          </w:p>
        </w:tc>
      </w:tr>
      <w:tr>
        <w:trPr/>
        <w:tc>
          <w:tcPr>
            <w:tcW w:w="2476"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(23,270)</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(26,148)</w:t>
            </w:r>
          </w:p>
        </w:tc>
      </w:tr>
      <w:tr>
        <w:trPr/>
        <w:tc>
          <w:tcPr>
            <w:tcW w:w="24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103,952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110,601</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Maturity of our leases were as follows:</w:t>
      </w:r>
    </w:p>
    <w:tbl>
      <w:tblPr>
        <w:tblW w:w="3121" w:type="dxa"/>
        <w:jc w:val="left"/>
        <w:tblInd w:w="0" w:type="dxa"/>
        <w:tblLayout w:type="fixed"/>
        <w:tblCellMar>
          <w:top w:w="0" w:type="dxa"/>
          <w:left w:w="0" w:type="dxa"/>
          <w:bottom w:w="0" w:type="dxa"/>
          <w:right w:w="0" w:type="dxa"/>
        </w:tblCellMar>
      </w:tblPr>
      <w:tblGrid>
        <w:gridCol w:w="1681"/>
        <w:gridCol w:w="109"/>
        <w:gridCol w:w="109"/>
        <w:gridCol w:w="109"/>
        <w:gridCol w:w="109"/>
        <w:gridCol w:w="211"/>
        <w:gridCol w:w="793"/>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9,793</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9,433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7,735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6,904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22,024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62,673</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8 – INVESTMENTS IN UNCONSOLIDATED JOINT VENTUR</w:t>
      </w:r>
      <w:bookmarkStart w:id="68" w:name="FSNote7"/>
      <w:bookmarkEnd w:id="68"/>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investments in unconsolidated joint ventures are accounted for under the equity method of accounting. 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unconsolidated joint ventures:</w:t>
      </w:r>
    </w:p>
    <w:tbl>
      <w:tblPr>
        <w:tblW w:w="4753" w:type="dxa"/>
        <w:jc w:val="left"/>
        <w:tblInd w:w="0" w:type="dxa"/>
        <w:tblLayout w:type="fixed"/>
        <w:tblCellMar>
          <w:top w:w="0" w:type="dxa"/>
          <w:left w:w="0" w:type="dxa"/>
          <w:bottom w:w="0" w:type="dxa"/>
          <w:right w:w="0" w:type="dxa"/>
        </w:tblCellMar>
      </w:tblPr>
      <w:tblGrid>
        <w:gridCol w:w="1861"/>
        <w:gridCol w:w="109"/>
        <w:gridCol w:w="109"/>
        <w:gridCol w:w="703"/>
        <w:gridCol w:w="109"/>
        <w:gridCol w:w="211"/>
        <w:gridCol w:w="643"/>
        <w:gridCol w:w="109"/>
        <w:gridCol w:w="211"/>
        <w:gridCol w:w="688"/>
      </w:tblGrid>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3,836</w:t>
            </w:r>
          </w:p>
        </w:tc>
      </w:tr>
      <w:tr>
        <w:trPr/>
        <w:tc>
          <w:tcPr>
            <w:tcW w:w="18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920</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recorded share of equity earnings (losses) from our investments in unconsolidated joint ventures are as follows: </w:t>
      </w:r>
    </w:p>
    <w:tbl>
      <w:tblPr>
        <w:tblW w:w="4483" w:type="dxa"/>
        <w:jc w:val="left"/>
        <w:tblInd w:w="0" w:type="dxa"/>
        <w:tblLayout w:type="fixed"/>
        <w:tblCellMar>
          <w:top w:w="0" w:type="dxa"/>
          <w:left w:w="0" w:type="dxa"/>
          <w:bottom w:w="0" w:type="dxa"/>
          <w:right w:w="0" w:type="dxa"/>
        </w:tblCellMar>
      </w:tblPr>
      <w:tblGrid>
        <w:gridCol w:w="1936"/>
        <w:gridCol w:w="109"/>
        <w:gridCol w:w="211"/>
        <w:gridCol w:w="436"/>
        <w:gridCol w:w="109"/>
        <w:gridCol w:w="211"/>
        <w:gridCol w:w="613"/>
        <w:gridCol w:w="109"/>
        <w:gridCol w:w="211"/>
        <w:gridCol w:w="538"/>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3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3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19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36"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3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254</w:t>
            </w:r>
          </w:p>
        </w:tc>
      </w:tr>
      <w:tr>
        <w:trPr/>
        <w:tc>
          <w:tcPr>
            <w:tcW w:w="19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1936"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258</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Mt. Gravatt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 undivided 33.3% interest in Mt. Gravatt, an unincorporated joint venture that owns and operates a sixteen-screen multiplex cinema in Australia.</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Rialto Cinemas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own an undivided 50.0% interest in the assets and liabilities of the Rialto Entertainment joint venture that owns and operates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movie theaters, with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screens in New Zealand.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9 – GOODWILL AND INTANGIBLE ASSE</w:t>
      </w:r>
      <w:bookmarkStart w:id="69" w:name="FSNote8"/>
      <w:bookmarkEnd w:id="69"/>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summarizes goodwill by business segment:</w:t>
      </w:r>
    </w:p>
    <w:tbl>
      <w:tblPr>
        <w:tblW w:w="6626" w:type="dxa"/>
        <w:jc w:val="left"/>
        <w:tblInd w:w="0" w:type="dxa"/>
        <w:tblLayout w:type="fixed"/>
        <w:tblCellMar>
          <w:top w:w="0" w:type="dxa"/>
          <w:left w:w="0" w:type="dxa"/>
          <w:bottom w:w="0" w:type="dxa"/>
          <w:right w:w="0" w:type="dxa"/>
        </w:tblCellMar>
      </w:tblPr>
      <w:tblGrid>
        <w:gridCol w:w="3361"/>
        <w:gridCol w:w="109"/>
        <w:gridCol w:w="211"/>
        <w:gridCol w:w="748"/>
        <w:gridCol w:w="109"/>
        <w:gridCol w:w="241"/>
        <w:gridCol w:w="734"/>
        <w:gridCol w:w="109"/>
        <w:gridCol w:w="211"/>
        <w:gridCol w:w="793"/>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January 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26,758</w:t>
            </w:r>
          </w:p>
        </w:tc>
      </w:tr>
      <w:tr>
        <w:trPr/>
        <w:tc>
          <w:tcPr>
            <w:tcW w:w="33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(1,254)</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(1,254)</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25,504</w:t>
            </w:r>
          </w:p>
        </w:tc>
      </w:tr>
      <w:tr>
        <w:trPr/>
        <w:tc>
          <w:tcPr>
            <w:tcW w:w="33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25,535</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2023. The assessment results, as described at </w:t>
      </w:r>
      <w:r>
        <w:rPr>
          <w:rFonts w:ascii="Times New Roman;serif" w:hAnsi="Times New Roman;serif"/>
          <w:b w:val="false"/>
          <w:i/>
          <w:sz w:val="20"/>
        </w:rPr>
        <w:t>Note 3</w:t>
      </w:r>
      <w:r>
        <w:rPr>
          <w:rFonts w:ascii="Times New Roman;serif" w:hAnsi="Times New Roman;serif"/>
          <w:b w:val="false"/>
          <w:i w:val="false"/>
          <w:caps w:val="false"/>
          <w:smallCaps w:val="false"/>
          <w:sz w:val="20"/>
        </w:rPr>
        <w:t>, indicated that there is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to our goodwill as of December 31, 2023.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tables below summarize intangible assets other than goodwill:</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24,707</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(22,661)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2,038</w:t>
            </w:r>
          </w:p>
        </w:tc>
      </w:tr>
    </w:tbl>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26,189</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(23,758)</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1,220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2,391</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Beneficial leases relate to our operations as lessor. Trade names are amortized using an accelerated amortization method over an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over their estimated useful life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with a balance of $741,000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of December 31, 2023 and 2022).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For the years ended December 31, 2023, 2022, and 2021, our amortization expense was $0.3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respectively.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the estimated amortization expense for our amortizable intangibles, in the five succeeding years and thereafter is as follows:</w:t>
      </w:r>
    </w:p>
    <w:tbl>
      <w:tblPr>
        <w:tblW w:w="4236" w:type="dxa"/>
        <w:jc w:val="center"/>
        <w:tblInd w:w="0" w:type="dxa"/>
        <w:tblLayout w:type="fixed"/>
        <w:tblCellMar>
          <w:top w:w="0" w:type="dxa"/>
          <w:left w:w="0" w:type="dxa"/>
          <w:bottom w:w="0" w:type="dxa"/>
          <w:right w:w="0" w:type="dxa"/>
        </w:tblCellMar>
      </w:tblPr>
      <w:tblGrid>
        <w:gridCol w:w="3001"/>
        <w:gridCol w:w="109"/>
        <w:gridCol w:w="268"/>
        <w:gridCol w:w="858"/>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‎Amortization</w:t>
              <w:br/>
              <w:t>‎Expense</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559</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1,297</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10 – PREPAID AND OTHER ASSE</w:t>
      </w:r>
      <w:bookmarkStart w:id="70" w:name="FSNote9"/>
      <w:bookmarkEnd w:id="70"/>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233" w:type="dxa"/>
        <w:jc w:val="left"/>
        <w:tblInd w:w="0" w:type="dxa"/>
        <w:tblLayout w:type="fixed"/>
        <w:tblCellMar>
          <w:top w:w="0" w:type="dxa"/>
          <w:left w:w="0" w:type="dxa"/>
          <w:bottom w:w="0" w:type="dxa"/>
          <w:right w:w="0" w:type="dxa"/>
        </w:tblCellMar>
      </w:tblPr>
      <w:tblGrid>
        <w:gridCol w:w="4171"/>
        <w:gridCol w:w="109"/>
        <w:gridCol w:w="211"/>
        <w:gridCol w:w="643"/>
        <w:gridCol w:w="109"/>
        <w:gridCol w:w="211"/>
        <w:gridCol w:w="779"/>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3"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1,859</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1,687</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receivable</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4171" w:type="dxa"/>
            <w:tcBorders/>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3,804</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8,302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4171" w:type="dxa"/>
            <w:tcBorders/>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non-current assets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10,284</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11 - INCOME TAX</w:t>
      </w:r>
      <w:bookmarkStart w:id="71" w:name="FSNote10"/>
      <w:bookmarkEnd w:id="71"/>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 includes the following:</w:t>
      </w:r>
    </w:p>
    <w:tbl>
      <w:tblPr>
        <w:tblW w:w="10205" w:type="dxa"/>
        <w:jc w:val="left"/>
        <w:tblInd w:w="0" w:type="dxa"/>
        <w:tblLayout w:type="fixed"/>
        <w:tblCellMar>
          <w:top w:w="0" w:type="dxa"/>
          <w:left w:w="0" w:type="dxa"/>
          <w:bottom w:w="0" w:type="dxa"/>
          <w:right w:w="0" w:type="dxa"/>
        </w:tblCellMar>
      </w:tblPr>
      <w:tblGrid>
        <w:gridCol w:w="6619"/>
        <w:gridCol w:w="109"/>
        <w:gridCol w:w="211"/>
        <w:gridCol w:w="860"/>
        <w:gridCol w:w="109"/>
        <w:gridCol w:w="211"/>
        <w:gridCol w:w="860"/>
        <w:gridCol w:w="109"/>
        <w:gridCol w:w="211"/>
        <w:gridCol w:w="906"/>
      </w:tblGrid>
      <w:tr>
        <w:trPr/>
        <w:tc>
          <w:tcPr>
            <w:tcW w:w="6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before="0" w:after="283"/>
              <w:jc w:val="left"/>
              <w:rPr>
                <w:sz w:val="4"/>
                <w:szCs w:val="4"/>
              </w:rPr>
            </w:pPr>
            <w:r>
              <w:rPr>
                <w:sz w:val="4"/>
                <w:szCs w:val="4"/>
              </w:rPr>
            </w:r>
          </w:p>
        </w:tc>
      </w:tr>
      <w:tr>
        <w:trPr/>
        <w:tc>
          <w:tcPr>
            <w:tcW w:w="6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before="0" w:after="283"/>
              <w:jc w:val="left"/>
              <w:rPr>
                <w:sz w:val="4"/>
                <w:szCs w:val="4"/>
              </w:rPr>
            </w:pPr>
            <w:r>
              <w:rPr>
                <w:sz w:val="4"/>
                <w:szCs w:val="4"/>
              </w:rPr>
            </w:r>
          </w:p>
        </w:tc>
      </w:tr>
      <w:tr>
        <w:trPr/>
        <w:tc>
          <w:tcPr>
            <w:tcW w:w="6619"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661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(35,835)</w:t>
            </w:r>
          </w:p>
        </w:tc>
      </w:tr>
      <w:tr>
        <w:trPr/>
        <w:tc>
          <w:tcPr>
            <w:tcW w:w="66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6"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76,335</w:t>
            </w:r>
          </w:p>
        </w:tc>
      </w:tr>
      <w:tr>
        <w:trPr/>
        <w:tc>
          <w:tcPr>
            <w:tcW w:w="66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40,500</w:t>
            </w:r>
          </w:p>
        </w:tc>
      </w:tr>
      <w:tr>
        <w:trPr/>
        <w:tc>
          <w:tcPr>
            <w:tcW w:w="6619"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color w:val="000000"/>
                <w:sz w:val="20"/>
              </w:rPr>
              <w:t>Equity earnings of unconsolidated joint ventures</w:t>
            </w: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61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1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258</w:t>
            </w:r>
          </w:p>
        </w:tc>
      </w:tr>
      <w:tr>
        <w:trPr/>
        <w:tc>
          <w:tcPr>
            <w:tcW w:w="66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40,758</w:t>
            </w:r>
          </w:p>
        </w:tc>
      </w:tr>
    </w:tbl>
    <w:p>
      <w:pPr>
        <w:pStyle w:val="TextBody"/>
        <w:bidi w:val="0"/>
        <w:spacing w:lineRule="auto" w:line="259"/>
        <w:ind w:left="187" w:right="0" w:hanging="187"/>
        <w:jc w:val="center"/>
        <w:rPr>
          <w:rFonts w:ascii="Times New Roman;serif" w:hAnsi="Times New Roman;serif"/>
          <w:sz w:val="20"/>
        </w:rPr>
      </w:pPr>
      <w:r>
        <w:rPr>
          <w:rFonts w:ascii="Times New Roman;serif" w:hAnsi="Times New Roman;serif"/>
          <w:b w:val="false"/>
          <w:i w:val="false"/>
          <w:caps w:val="false"/>
          <w:smallCaps w:val="false"/>
          <w:sz w:val="20"/>
        </w:rPr>
        <w:t>- 82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components of the provision for income taxes are as follows:</w:t>
      </w:r>
    </w:p>
    <w:tbl>
      <w:tblPr>
        <w:tblW w:w="6238" w:type="dxa"/>
        <w:jc w:val="left"/>
        <w:tblInd w:w="0" w:type="dxa"/>
        <w:tblLayout w:type="fixed"/>
        <w:tblCellMar>
          <w:top w:w="0" w:type="dxa"/>
          <w:left w:w="0" w:type="dxa"/>
          <w:bottom w:w="0" w:type="dxa"/>
          <w:right w:w="0" w:type="dxa"/>
        </w:tblCellMar>
      </w:tblPr>
      <w:tblGrid>
        <w:gridCol w:w="3286"/>
        <w:gridCol w:w="109"/>
        <w:gridCol w:w="211"/>
        <w:gridCol w:w="541"/>
        <w:gridCol w:w="109"/>
        <w:gridCol w:w="211"/>
        <w:gridCol w:w="643"/>
        <w:gridCol w:w="109"/>
        <w:gridCol w:w="211"/>
        <w:gridCol w:w="808"/>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32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income tax expense (benefit)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(5,727)</w:t>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(6,426)</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Foreign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17,217</w:t>
            </w:r>
          </w:p>
        </w:tc>
      </w:tr>
      <w:tr>
        <w:trPr/>
        <w:tc>
          <w:tcPr>
            <w:tcW w:w="32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5,064</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Deferred income tax expense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State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1,031</w:t>
            </w:r>
          </w:p>
        </w:tc>
      </w:tr>
      <w:tr>
        <w:trPr/>
        <w:tc>
          <w:tcPr>
            <w:tcW w:w="328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880</w:t>
            </w:r>
          </w:p>
        </w:tc>
      </w:tr>
      <w:tr>
        <w:trPr/>
        <w:tc>
          <w:tcPr>
            <w:tcW w:w="3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5,944</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tbl>
      <w:tblPr>
        <w:tblW w:w="6562" w:type="dxa"/>
        <w:jc w:val="left"/>
        <w:tblInd w:w="0" w:type="dxa"/>
        <w:tblLayout w:type="fixed"/>
        <w:tblCellMar>
          <w:top w:w="0" w:type="dxa"/>
          <w:left w:w="0" w:type="dxa"/>
          <w:bottom w:w="0" w:type="dxa"/>
          <w:right w:w="0" w:type="dxa"/>
        </w:tblCellMar>
      </w:tblPr>
      <w:tblGrid>
        <w:gridCol w:w="4171"/>
        <w:gridCol w:w="109"/>
        <w:gridCol w:w="211"/>
        <w:gridCol w:w="853"/>
        <w:gridCol w:w="109"/>
        <w:gridCol w:w="211"/>
        <w:gridCol w:w="898"/>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operating loss carry-forwards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26,237</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Compensation and employee benefits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3,252</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Deferred revenue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2,713</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12,206</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56,119</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1,620</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109,746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105,890</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(52,747)</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(532)</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(444)</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(942)</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(54,665)</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deferred tax assets before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51,225</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(50,778)</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deferred tax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447</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2023, based on all available evidence, we believe the U.S. and state deferred tax assets do not support a conclusion of being more-likely-than-not to be realized. Accordingly, we recorded an increase to valuation allowance of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We reassess the valuation allowance quarterly and a tax benefit is recorded if future evidence allows for a partial or full release of the valuation allowance.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we had the following carry-forwards: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$88.6</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Federal loss carry-forwards with no expiration date;</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$58.8</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California loss carry-forwards expiring in 2043;</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$34.2</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Hawaii loss carry-forwards expiring in 2043;</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$3.3</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New Jersey state loss carry-forwards expiring in 2043;</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$53.9</w:t>
      </w:r>
      <w:r>
        <w:rPr>
          <w:rFonts w:ascii="Symbol" w:hAnsi="Symbol"/>
          <w:caps w:val="false"/>
          <w:smallCaps w:val="false"/>
          <w:sz w:val="20"/>
        </w:rPr>
        <w:t> </w:t>
      </w:r>
      <w:r>
        <w:rPr>
          <w:rFonts w:ascii="Times New Roman;serif" w:hAnsi="Times New Roman;serif"/>
          <w:b w:val="false"/>
          <w:i w:val="false"/>
          <w:caps w:val="false"/>
          <w:smallCaps w:val="false"/>
          <w:sz w:val="20"/>
        </w:rPr>
        <w:t>million in New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York state loss carry-forwards expiring in 2043;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approximately $52.0</w:t>
      </w:r>
      <w:r>
        <w:rPr>
          <w:rFonts w:ascii="Symbol" w:hAnsi="Symbol"/>
          <w:caps w:val="false"/>
          <w:smallCaps w:val="false"/>
          <w:sz w:val="20"/>
        </w:rPr>
        <w:t> </w:t>
      </w:r>
      <w:r>
        <w:rPr>
          <w:rFonts w:ascii="Times New Roman;serif" w:hAnsi="Times New Roman;serif"/>
          <w:b w:val="false"/>
          <w:i w:val="false"/>
          <w:caps w:val="false"/>
          <w:smallCaps w:val="false"/>
          <w:sz w:val="20"/>
        </w:rPr>
        <w:t xml:space="preserve">million in New York city loss carry-forwards expiring in 2043; and,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no substantial limitations on the future use of U.S. loss carry-forwards.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provision for income taxes is different from amounts computed by applying U.S. statutory rates to consolidated losses before taxes. The significant reason for these differences is as follows:</w:t>
      </w:r>
    </w:p>
    <w:tbl>
      <w:tblPr>
        <w:tblW w:w="7234" w:type="dxa"/>
        <w:jc w:val="left"/>
        <w:tblInd w:w="0" w:type="dxa"/>
        <w:tblLayout w:type="fixed"/>
        <w:tblCellMar>
          <w:top w:w="0" w:type="dxa"/>
          <w:left w:w="0" w:type="dxa"/>
          <w:bottom w:w="0" w:type="dxa"/>
          <w:right w:w="0" w:type="dxa"/>
        </w:tblCellMar>
      </w:tblPr>
      <w:tblGrid>
        <w:gridCol w:w="4156"/>
        <w:gridCol w:w="109"/>
        <w:gridCol w:w="211"/>
        <w:gridCol w:w="691"/>
        <w:gridCol w:w="109"/>
        <w:gridCol w:w="211"/>
        <w:gridCol w:w="691"/>
        <w:gridCol w:w="109"/>
        <w:gridCol w:w="211"/>
        <w:gridCol w:w="736"/>
      </w:tblGrid>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41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1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Expected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8,559</w:t>
            </w:r>
          </w:p>
        </w:tc>
      </w:tr>
      <w:tr>
        <w:trPr/>
        <w:tc>
          <w:tcPr>
            <w:tcW w:w="4156"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Increase (decrease) in tax expense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rate differential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6,473</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(6,339)</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and local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(6,458)</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Prior year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(3,937)</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GILTI</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7,858</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415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5,944</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undistributed earnings of the Company's Australian subsidiaries are not indefinitely reinvested. Due to the enactment of the Tax Act, future repatriations of foreign earnings will generally not be subject to U.S. federal taxation but may incur minimal state taxes.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is a summary of the activity related to unrecognized tax benefits, excluding interest and penalties, for the years ended December 31, 2023, 2022, 2021: </w:t>
      </w:r>
    </w:p>
    <w:tbl>
      <w:tblPr>
        <w:tblW w:w="7690" w:type="dxa"/>
        <w:jc w:val="left"/>
        <w:tblInd w:w="0" w:type="dxa"/>
        <w:tblLayout w:type="fixed"/>
        <w:tblCellMar>
          <w:top w:w="0" w:type="dxa"/>
          <w:left w:w="0" w:type="dxa"/>
          <w:bottom w:w="0" w:type="dxa"/>
          <w:right w:w="0" w:type="dxa"/>
        </w:tblCellMar>
      </w:tblPr>
      <w:tblGrid>
        <w:gridCol w:w="4426"/>
        <w:gridCol w:w="109"/>
        <w:gridCol w:w="211"/>
        <w:gridCol w:w="748"/>
        <w:gridCol w:w="109"/>
        <w:gridCol w:w="211"/>
        <w:gridCol w:w="748"/>
        <w:gridCol w:w="109"/>
        <w:gridCol w:w="211"/>
        <w:gridCol w:w="808"/>
      </w:tblGrid>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44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44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 – gross beginning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2,086</w:t>
            </w:r>
          </w:p>
        </w:tc>
      </w:tr>
      <w:tr>
        <w:trPr/>
        <w:tc>
          <w:tcPr>
            <w:tcW w:w="4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prior year tax positions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current year tax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11,114</w:t>
            </w:r>
          </w:p>
        </w:tc>
      </w:tr>
      <w:tr>
        <w:trPr/>
        <w:tc>
          <w:tcPr>
            <w:tcW w:w="4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Unrecognized tax benefits – gross ending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11,536</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2023 and 2022, if recognized, $11.1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respectively, of the unrecognized tax benefits would impact the Company’s effective tax rate.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year ended December 31, 2023, we recorded a decrease to tax interest of $151,000, resulting in a total $491,000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interest. During the year ended December 31, 2022, we recorded a decrease to tax interest of $257,000, resulting in a total $641,000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interest.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reasons for such change include but are not limited to tax positions expected to be taken during 2023, revaluation of current uncertain tax positions, and expiring statutes of limitations.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federal income tax returns for 2020 and after are open for examination. California worldwide unitary income tax returns for 2019 and after are open for examination. The Company’s net operating loss carry-forwards are subject to examination until they are fully utilized or expired. Some of the tax years which the losses originated from are currently closed. Australia income tax returns for calendar years 2019 and after are open for examination. Generally, New Zealand returns for calendar years 2018 and after remain open for examination.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12 – BORROWIN</w:t>
      </w:r>
      <w:bookmarkStart w:id="72" w:name="FSNote11"/>
      <w:bookmarkEnd w:id="72"/>
      <w:r>
        <w:rPr>
          <w:rFonts w:ascii="Times New Roman;serif" w:hAnsi="Times New Roman;serif"/>
          <w:b/>
          <w:i w:val="false"/>
          <w:caps w:val="false"/>
          <w:smallCaps w:val="false"/>
          <w:sz w:val="20"/>
          <w:u w:val="single"/>
        </w:rPr>
        <w:t>GS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borrowings at December 31, 2023 and 2022, net of deferred financing costs and incorporating the impact of interest rate swaps on our effective interest rates, are summarized below: </w:t>
      </w:r>
    </w:p>
    <w:tbl>
      <w:tblPr>
        <w:tblW w:w="10205" w:type="dxa"/>
        <w:jc w:val="left"/>
        <w:tblInd w:w="0" w:type="dxa"/>
        <w:tblLayout w:type="fixed"/>
        <w:tblCellMar>
          <w:top w:w="0" w:type="dxa"/>
          <w:left w:w="0" w:type="dxa"/>
          <w:bottom w:w="0" w:type="dxa"/>
          <w:right w:w="0" w:type="dxa"/>
        </w:tblCellMar>
      </w:tblPr>
      <w:tblGrid>
        <w:gridCol w:w="2998"/>
        <w:gridCol w:w="109"/>
        <w:gridCol w:w="1499"/>
        <w:gridCol w:w="109"/>
        <w:gridCol w:w="218"/>
        <w:gridCol w:w="773"/>
        <w:gridCol w:w="109"/>
        <w:gridCol w:w="196"/>
        <w:gridCol w:w="691"/>
        <w:gridCol w:w="109"/>
        <w:gridCol w:w="196"/>
        <w:gridCol w:w="691"/>
        <w:gridCol w:w="109"/>
        <w:gridCol w:w="1119"/>
        <w:gridCol w:w="109"/>
        <w:gridCol w:w="1170"/>
      </w:tblGrid>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before="0" w:after="283"/>
              <w:jc w:val="left"/>
              <w:rPr>
                <w:sz w:val="4"/>
                <w:szCs w:val="4"/>
              </w:rPr>
            </w:pPr>
            <w:r>
              <w:rPr>
                <w:sz w:val="4"/>
                <w:szCs w:val="4"/>
              </w:rPr>
            </w:r>
          </w:p>
        </w:tc>
      </w:tr>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before="0" w:after="283"/>
              <w:jc w:val="left"/>
              <w:rPr>
                <w:sz w:val="4"/>
                <w:szCs w:val="4"/>
              </w:rPr>
            </w:pPr>
            <w:r>
              <w:rPr>
                <w:sz w:val="4"/>
                <w:szCs w:val="4"/>
              </w:rPr>
            </w:r>
          </w:p>
        </w:tc>
      </w:tr>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8"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2023</w:t>
            </w:r>
          </w:p>
        </w:tc>
      </w:tr>
      <w:tr>
        <w:trPr/>
        <w:tc>
          <w:tcPr>
            <w:tcW w:w="299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2998"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Bank of America Credit Facility (US)</w:t>
            </w:r>
            <w:r>
              <w:rPr>
                <w:rFonts w:ascii="Times New Roman;serif" w:hAnsi="Times New Roman;serif"/>
                <w:b w:val="false"/>
                <w:i w:val="false"/>
                <w:caps w:val="false"/>
                <w:smallCaps w:val="false"/>
                <w:color w:val="000000"/>
                <w:position w:val="5"/>
                <w:sz w:val="13"/>
                <w:sz w:val="16"/>
              </w:rPr>
              <w:t>(3</w:t>
            </w: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4,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20,080</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46,925</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2998"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Denominated in foreign currency ("FC")</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r>
      <w:tr>
        <w:trPr/>
        <w:tc>
          <w:tcPr>
            <w:tcW w:w="299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218,159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$1.5</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(2)The contractual</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facilities and outstanding balances of the FC-denominated borrowings were translated into U.S. dollars based on exchange rates as of December 31, 2023.</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piece of debt was extended after December 31, 2023. See the relevant heading below for discussion regarding this extension. </w:t>
      </w:r>
    </w:p>
    <w:tbl>
      <w:tblPr>
        <w:tblW w:w="9978" w:type="dxa"/>
        <w:jc w:val="left"/>
        <w:tblInd w:w="0" w:type="dxa"/>
        <w:tblLayout w:type="fixed"/>
        <w:tblCellMar>
          <w:top w:w="0" w:type="dxa"/>
          <w:left w:w="0" w:type="dxa"/>
          <w:bottom w:w="0" w:type="dxa"/>
          <w:right w:w="0" w:type="dxa"/>
        </w:tblCellMar>
      </w:tblPr>
      <w:tblGrid>
        <w:gridCol w:w="3106"/>
        <w:gridCol w:w="109"/>
        <w:gridCol w:w="1516"/>
        <w:gridCol w:w="109"/>
        <w:gridCol w:w="218"/>
        <w:gridCol w:w="773"/>
        <w:gridCol w:w="109"/>
        <w:gridCol w:w="196"/>
        <w:gridCol w:w="691"/>
        <w:gridCol w:w="109"/>
        <w:gridCol w:w="196"/>
        <w:gridCol w:w="691"/>
        <w:gridCol w:w="109"/>
        <w:gridCol w:w="1141"/>
        <w:gridCol w:w="109"/>
        <w:gridCol w:w="796"/>
      </w:tblGrid>
      <w:tr>
        <w:trPr/>
        <w:tc>
          <w:tcPr>
            <w:tcW w:w="3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2022</w:t>
            </w:r>
          </w:p>
        </w:tc>
      </w:tr>
      <w:tr>
        <w:trPr/>
        <w:tc>
          <w:tcPr>
            <w:tcW w:w="31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8.41%</w:t>
            </w:r>
          </w:p>
        </w:tc>
      </w:tr>
      <w:tr>
        <w:trPr/>
        <w:tc>
          <w:tcPr>
            <w:tcW w:w="3106"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Bank of America Credit Facility (US)(</w:t>
            </w:r>
            <w:r>
              <w:rPr>
                <w:rFonts w:ascii="Times New Roman;serif" w:hAnsi="Times New Roman;serif"/>
                <w:b w:val="false"/>
                <w:i w:val="false"/>
                <w:caps w:val="false"/>
                <w:smallCaps w:val="false"/>
                <w:color w:val="000000"/>
                <w:position w:val="5"/>
                <w:sz w:val="13"/>
                <w:sz w:val="16"/>
              </w:rPr>
              <w:t>5</w:t>
            </w: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26,750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26,663</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10.00%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Cinemas 1, 2, 3 Term Loan (US)(</w:t>
            </w:r>
            <w:r>
              <w:rPr>
                <w:rFonts w:ascii="Times New Roman;serif" w:hAnsi="Times New Roman;serif"/>
                <w:b w:val="false"/>
                <w:i w:val="false"/>
                <w:caps w:val="false"/>
                <w:smallCaps w:val="false"/>
                <w:position w:val="5"/>
                <w:sz w:val="13"/>
                <w:sz w:val="16"/>
              </w:rPr>
              <w:t>5</w:t>
            </w: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22,208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6.63%</w:t>
            </w:r>
          </w:p>
        </w:tc>
      </w:tr>
      <w:tr>
        <w:trPr/>
        <w:tc>
          <w:tcPr>
            <w:tcW w:w="3106"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Minetta &amp; Orpheum Theatres Loan (US)</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November 1, 2023</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7,974</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7.12%</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w:t>
            </w:r>
          </w:p>
        </w:tc>
      </w:tr>
      <w:tr>
        <w:trPr/>
        <w:tc>
          <w:tcPr>
            <w:tcW w:w="3106"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sz w:val="16"/>
              </w:rPr>
              <w:t>Union Square Financing (US)(</w:t>
            </w:r>
            <w:r>
              <w:rPr>
                <w:rFonts w:ascii="Times New Roman;serif" w:hAnsi="Times New Roman;serif"/>
                <w:b w:val="false"/>
                <w:i w:val="false"/>
                <w:caps w:val="false"/>
                <w:smallCaps w:val="false"/>
                <w:position w:val="5"/>
                <w:sz w:val="13"/>
                <w:sz w:val="16"/>
              </w:rPr>
              <w:t>3</w:t>
            </w: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43,000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42,484</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7.40%</w:t>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310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Denominated in foreign currency ("FC")</w:t>
            </w:r>
            <w:r>
              <w:rPr>
                <w:rFonts w:ascii="Times New Roman;serif" w:hAnsi="Times New Roman;serif"/>
                <w:b w:val="false"/>
                <w:i w:val="false"/>
                <w:caps w:val="false"/>
                <w:smallCaps w:val="false"/>
                <w:position w:val="5"/>
                <w:sz w:val="13"/>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4.82%</w:t>
            </w:r>
          </w:p>
        </w:tc>
      </w:tr>
      <w:tr>
        <w:trPr/>
        <w:tc>
          <w:tcPr>
            <w:tcW w:w="310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8,777</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227,633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215,633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213,664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$2.0</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(2)The interest rate derivative associated with the Minetta &amp; Orpheum loan provides for an effective fixed rate of 6.00%.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(3)The interest rate derivative associated with the Union Square loan provides for a maximum effective rate of 7.40%.</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(4)The contractual</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facilities and outstanding balances of the FC-denominated borrowings were translated into U.S. dollars based on exchange rates as of December 31, 2022.</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(5)These two pieces of debt were extended after December 31, 2022. See the relevant heading below for discussion regarding extensions.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602" w:type="dxa"/>
        <w:jc w:val="center"/>
        <w:tblInd w:w="0" w:type="dxa"/>
        <w:tblLayout w:type="fixed"/>
        <w:tblCellMar>
          <w:top w:w="0" w:type="dxa"/>
          <w:left w:w="0" w:type="dxa"/>
          <w:bottom w:w="0" w:type="dxa"/>
          <w:right w:w="0" w:type="dxa"/>
        </w:tblCellMar>
      </w:tblPr>
      <w:tblGrid>
        <w:gridCol w:w="3211"/>
        <w:gridCol w:w="109"/>
        <w:gridCol w:w="211"/>
        <w:gridCol w:w="853"/>
        <w:gridCol w:w="109"/>
        <w:gridCol w:w="211"/>
        <w:gridCol w:w="898"/>
      </w:tblGrid>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2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Caption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3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37,279</w:t>
            </w:r>
          </w:p>
        </w:tc>
      </w:tr>
      <w:tr>
        <w:trPr/>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148,688</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747</w:t>
            </w:r>
          </w:p>
        </w:tc>
      </w:tr>
      <w:tr>
        <w:trPr/>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26,950</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213,664</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Impact of COVID-19</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address the impact of COVID-19 on our business, we sought and obtained certain modifications to our loan agreements with the Bank of America, National Australia Bank, and Westpac. These loan modifications included changes to some of the covenant compliance terms and waivers of certain covenant testing periods. We are currently in compliance with our loan covenants as so modified. To date it has not been necessary for us to seek modifications or waivers with respect to our other loan agreements, as we continue to be in compliance with the terms of such loan agreements without the need for any such modifications or waivers.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USD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Bank of America Credit Facility</w:t>
      </w:r>
    </w:p>
    <w:p>
      <w:pPr>
        <w:pStyle w:val="TextBody"/>
        <w:bidi w:val="0"/>
        <w:spacing w:lineRule="auto" w:line="228"/>
        <w:jc w:val="left"/>
        <w:rPr>
          <w:rFonts w:ascii="Times New Roman;serif" w:hAnsi="Times New Roman;serif"/>
          <w:sz w:val="20"/>
        </w:rPr>
      </w:pPr>
      <w:r>
        <w:rPr>
          <w:rFonts w:ascii="Times New Roman;serif" w:hAnsi="Times New Roman;serif"/>
          <w:b w:val="false"/>
          <w:i w:val="false"/>
          <w:caps w:val="false"/>
          <w:smallCaps w:val="false"/>
          <w:sz w:val="20"/>
        </w:rPr>
        <w:t>As at December 31, 2023, our Bank of America facility matured on September 4, 2024, following a Q1 2023 loan modification, which, among other things, extended the maturity date from March 1, 2024. The current facility requires monthly repayments of $725,000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commencing in May 2023, with a balloon payment upon maturity. Interest is charged at a fixed rate of 3.0% above the Bank of America Prime rate, which itself has a floor of 1.0%. Payment-in-kind interest of 0.5% accrues from January 1, 2024, but will be waived in the event of repayment of the entire debt prior to April 1, 2024.</w:t>
      </w:r>
    </w:p>
    <w:p>
      <w:pPr>
        <w:pStyle w:val="TextBody"/>
        <w:bidi w:val="0"/>
        <w:spacing w:lineRule="auto" w:line="228"/>
        <w:jc w:val="left"/>
        <w:rPr>
          <w:rFonts w:ascii="Times New Roman;serif" w:hAnsi="Times New Roman;serif"/>
          <w:sz w:val="20"/>
        </w:rPr>
      </w:pPr>
      <w:r>
        <w:rPr>
          <w:rFonts w:ascii="Times New Roman;serif" w:hAnsi="Times New Roman;serif"/>
          <w:b w:val="false"/>
          <w:i w:val="false"/>
          <w:caps w:val="false"/>
          <w:smallCaps w:val="false"/>
          <w:sz w:val="20"/>
        </w:rPr>
        <w:t>On March 27, 2024, our Bank of America facility was amended to provide,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principal paydown, (iii) eliminate the minimum liquidity covenant, (iv) reduce the principal amortization amounts and provide a principal holiday period, and (v) require certain paydowns on the sale of certain real estate assets.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Minetta and Orpheum Theatres Loan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November 1, 2023, our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loan with Santander Bank, which is secured by our Minetta and Orpheum Theatres, matured. On January 26, 2024, we have extended this loan for a further six months to June 1, 2024, while a full refinancing is pursued.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Union Square Financing</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May 7, 2021, we closed on a new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facility with Emerald Creek Capital secured by our 44 Union Square property and certain limited guarantees. Following the phase out of LIBOR, the facility bears a variable interest rate of TERM SOFR plus 6.9% and includes provisions for a prepaid interest and property tax reserve fund. The loan has two 12-month options to extend, and may be repaid at any time, without the payment of any premium. As these options are within our control, we continue to keep the loan classified as long-term.</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U.S. Corporate Office Term Loan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December 13, 2016, we obtained a ten-year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mortgage loan on our new Los Angeles property at a fixed annual interest rate of 4.64%. On June 26, 2017, we obtained a further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under this provision at a fixed annual interest rate of 4.44%. In February 2024 this loan was fully discharged using a portion of the proceeds from the sale of our 5995 Sepulveda office building.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Cinemas 1,2,3 Term Loan and Line of Credit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1,2,3 Term Loan is held by Sutton Hill Properties LLC (“SHP”), a 75% owned subsidiary of RDI. On September 29, 2023, we extended the maturity of this loan from October 3, 2023, to October 1, 2024. The loan is with Valley National Bank, carries an interest rate of 3.50% above monthly SOFR, with a floor of 7.50%, and includes provisions for a prepaid interest reserve.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related party aspect of this loan is discussed at </w:t>
      </w:r>
      <w:r>
        <w:rPr>
          <w:rFonts w:ascii="Times New Roman;serif" w:hAnsi="Times New Roman;serif"/>
          <w:b w:val="false"/>
          <w:i/>
          <w:sz w:val="20"/>
        </w:rPr>
        <w:t>Note 20 – Related Parties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Purchase Money Promissory Note</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September 18, 2019, we purchased 407,000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Company shares in a privately negotiated transaction under our Share Repurchase Program for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this amount,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was paid by the issuance of a Purchase Money Promissory Note, which bears an interest rate of 5.0% per annum, payable in equal quarterly payments of principal plus accrued interest. The Purchase Money Promissory Note matures on September 18, 2024.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Trust Preferred Securities (“TPS”)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February 5, 2007, we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20-year fully subordinated notes to a trust over which we have significant influence, which in turn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in securities. Of the </w:t>
      </w:r>
      <w:bookmarkStart w:id="73" w:name="BridgeLoan"/>
      <w:bookmarkEnd w:id="73"/>
      <w:r>
        <w:rPr>
          <w:rFonts w:ascii="Times New Roman;serif" w:hAnsi="Times New Roman;serif"/>
          <w:b w:val="false"/>
          <w:i w:val="false"/>
          <w:caps w:val="false"/>
          <w:smallCaps w:val="false"/>
          <w:sz w:val="20"/>
        </w:rPr>
        <w:t>$51.5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TPS were issued to unrelated investors in a private placement and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of common trust securities were issued by the trust to Reading called “Investment in Reading International Trust I” on our balance sheets. Effective May 1, 2012, the interest rate on our Trust Preferred Securities changed from a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fixed rate of 9.22%, which was in effect for five years, to a variable rate of three month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LIBOR plus 4.00%, which will reset each quarter through the end of the loan unless we exercise our right to re-fix the rate at the current market rate at that time.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payments due until maturity in 2027 when the notes and the trust securities are scheduled to be paid in full. We may pay off the debt after the first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100%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(through December 31, 2017), in consideration of the payment of $1.6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made in December 2011, and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December 2014. The covenant waiver expired January 1, 2018, after which a further covenant waiver was secured on October 11, 2018 for the remaining term of the loan, in consideration of payments totaling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paid on October 31, 2018, and a further payment made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October 2021 and $225,000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payable in October 2025.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first quarter of 2009, we took advantage of the then current market illiquidity for securities such as our TPS to repurchase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face value of those securities through an exchange of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worth of marketable securities purchased during the period for the express purpose of executing this exchange transaction with the third-party holder of these TPS. During the twelve months ended 2009, we amortized $106,000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discount to interest income associated with the holding of these securities prior to their extinguishment. On April 30, 2009, we extinguished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these TPS, which resulted in a gain on retirement of subordinated debt (TPS) of $10.7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net of loss on the associated write-off of deferred loan costs of $749,000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 reduction in our Investment in Reading International Trust I from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to $838,000.</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three years ended December 31, 2023, we paid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2021,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2022 and $2.5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2023 in preferred dividends to unrelated investors that are included in interest expense. At December 31, 2023 and 2022, we had preferred dividends payable of $443,000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$387,000, respectively. Interest payments for this loan are required every three months.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foreign currencies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Australian NAB Corporate Loan Facility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Revolving Corporate Markets Loan Facility with National Australia Bank (“NAB”) matures on July 31, 2025. It currently consists of (i) a AU$100.0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is revolving and AU$40.0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is core and (ii) a Bank Guarantee Facility of AU$5.0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at a rate of 1.9% per annum.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New Zealand Westpac Bank Corporate Credit Facility</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Westpac Corporate Credit Facility for NZ$13.8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matures on January 1, 2025. The facility currently carries an interest rate and line of credit charge of 2.40% above the Bank Bill Bid Rate and 1.65% respectively. Westpac has waived the requirement to test certain covenants for each quarter since the third quarter of 2020, including the quarter ending December 31, 2023.</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Aggregate amount of future principal debt payments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our aggregate amount of future principal debt payments is estimated as follows:</w:t>
      </w:r>
    </w:p>
    <w:tbl>
      <w:tblPr>
        <w:tblW w:w="4581" w:type="dxa"/>
        <w:jc w:val="center"/>
        <w:tblInd w:w="0" w:type="dxa"/>
        <w:tblLayout w:type="fixed"/>
        <w:tblCellMar>
          <w:top w:w="0" w:type="dxa"/>
          <w:left w:w="0" w:type="dxa"/>
          <w:bottom w:w="0" w:type="dxa"/>
          <w:right w:w="0" w:type="dxa"/>
        </w:tblCellMar>
      </w:tblPr>
      <w:tblGrid>
        <w:gridCol w:w="3226"/>
        <w:gridCol w:w="109"/>
        <w:gridCol w:w="240"/>
        <w:gridCol w:w="100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Future</w:t>
              <w:br/>
              <w:t>‎Principal</w:t>
              <w:br/>
              <w:t>‎Debt Payments</w:t>
            </w:r>
          </w:p>
        </w:tc>
      </w:tr>
      <w:tr>
        <w:trPr/>
        <w:tc>
          <w:tcPr>
            <w:tcW w:w="32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82,471</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92,102</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35,413</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principal debt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210,300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13 – PENSION AND OTHER LIABILITI</w:t>
      </w:r>
      <w:bookmarkStart w:id="74" w:name="FSNote12"/>
      <w:bookmarkEnd w:id="74"/>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including pension are summarized as follows:</w:t>
      </w:r>
    </w:p>
    <w:tbl>
      <w:tblPr>
        <w:tblW w:w="4659" w:type="dxa"/>
        <w:jc w:val="left"/>
        <w:tblInd w:w="0" w:type="dxa"/>
        <w:tblLayout w:type="fixed"/>
        <w:tblCellMar>
          <w:top w:w="0" w:type="dxa"/>
          <w:left w:w="0" w:type="dxa"/>
          <w:bottom w:w="0" w:type="dxa"/>
          <w:right w:w="0" w:type="dxa"/>
        </w:tblCellMar>
      </w:tblPr>
      <w:tblGrid>
        <w:gridCol w:w="2506"/>
        <w:gridCol w:w="109"/>
        <w:gridCol w:w="211"/>
        <w:gridCol w:w="734"/>
        <w:gridCol w:w="109"/>
        <w:gridCol w:w="211"/>
        <w:gridCol w:w="779"/>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5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Lease liability</w:t>
            </w:r>
            <w:r>
              <w:rPr>
                <w:rFonts w:ascii="Times New Roman;serif" w:hAnsi="Times New Roman;serif"/>
                <w:b w:val="false"/>
                <w:i w:val="false"/>
                <w:caps w:val="false"/>
                <w:smallCaps w:val="false"/>
                <w:color w:val="000000"/>
                <w:position w:val="7"/>
                <w:sz w:val="16"/>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6,131</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2,484</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Lease liability</w:t>
            </w:r>
            <w:r>
              <w:rPr>
                <w:rFonts w:ascii="Times New Roman;serif" w:hAnsi="Times New Roman;serif"/>
                <w:b w:val="false"/>
                <w:i w:val="false"/>
                <w:caps w:val="false"/>
                <w:smallCaps w:val="false"/>
                <w:color w:val="000000"/>
                <w:position w:val="7"/>
                <w:sz w:val="16"/>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Acquired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19,320</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(1)Represents the pension liability associated with the Supplemental Executive Retirement Plan explained below. </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(2)Represents the lease liability of the option associated with the ground lease purchase of the Village East Cinema. See </w:t>
      </w:r>
      <w:r>
        <w:rPr>
          <w:rFonts w:ascii="Times New Roman;serif" w:hAnsi="Times New Roman;serif"/>
          <w:b w:val="false"/>
          <w:i/>
          <w:sz w:val="16"/>
        </w:rPr>
        <w:t xml:space="preserve">Note 20 – Related Parties </w:t>
      </w:r>
      <w:r>
        <w:rPr>
          <w:rFonts w:ascii="Times New Roman;serif" w:hAnsi="Times New Roman;serif"/>
          <w:b w:val="false"/>
          <w:i w:val="false"/>
          <w:caps w:val="false"/>
          <w:smallCaps w:val="false"/>
          <w:sz w:val="16"/>
        </w:rPr>
        <w:t xml:space="preserve">for more information.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Pension Liability – Supplemental Executive Retirement Plan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29, 2014, the Supplemental Executive Retirement Plan (“SERP”) that was effective since March 1, 2007, was ended and replaced with a new pension annuity. As a result of the termination of the SERP program, the accrued pension liability of $7.6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reversed and replaced with a new pension annuity liability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valuation of the liability is based on the present value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discounted at 4.25% over a 15-year term, resulting in a monthly payment of $57,000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payable to the estate of Mr. James J. Cotter, Sr. The discounted value of $2.7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(which is the difference between the estimated payout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the present value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will be amortized and expensed based on the 15-year term. In addition, the accumulated actuarial loss of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recorded, as part of other comprehensive income, will also be amortized based on the 15-year term.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a result of the above, included in our other current and non-current liabilities are accrued pension costs of $3.3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December 31, 2023 and 2022, respectively. The benefits of our pension plans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costs were recognized in 2023 and 2022. Our pension plans are unfunded.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 in the SERP pension benefit obligation and the funded status are as follows:</w:t>
      </w:r>
    </w:p>
    <w:tbl>
      <w:tblPr>
        <w:tblW w:w="5068" w:type="dxa"/>
        <w:jc w:val="left"/>
        <w:tblInd w:w="0" w:type="dxa"/>
        <w:tblLayout w:type="fixed"/>
        <w:tblCellMar>
          <w:top w:w="0" w:type="dxa"/>
          <w:left w:w="0" w:type="dxa"/>
          <w:bottom w:w="0" w:type="dxa"/>
          <w:right w:w="0" w:type="dxa"/>
        </w:tblCellMar>
      </w:tblPr>
      <w:tblGrid>
        <w:gridCol w:w="3001"/>
        <w:gridCol w:w="109"/>
        <w:gridCol w:w="211"/>
        <w:gridCol w:w="691"/>
        <w:gridCol w:w="109"/>
        <w:gridCol w:w="211"/>
        <w:gridCol w:w="736"/>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Benefit obligation at January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4,289</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r>
      <w:tr>
        <w:trPr/>
        <w:tc>
          <w:tcPr>
            <w:tcW w:w="30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made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Benefit obligation at December 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r>
      <w:tr>
        <w:trPr/>
        <w:tc>
          <w:tcPr>
            <w:tcW w:w="30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Unfunded status at December 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recognized in the balance sheet consists of:</w:t>
      </w:r>
    </w:p>
    <w:tbl>
      <w:tblPr>
        <w:tblW w:w="4477" w:type="dxa"/>
        <w:jc w:val="left"/>
        <w:tblInd w:w="0" w:type="dxa"/>
        <w:tblLayout w:type="fixed"/>
        <w:tblCellMar>
          <w:top w:w="0" w:type="dxa"/>
          <w:left w:w="0" w:type="dxa"/>
          <w:bottom w:w="0" w:type="dxa"/>
          <w:right w:w="0" w:type="dxa"/>
        </w:tblCellMar>
      </w:tblPr>
      <w:tblGrid>
        <w:gridCol w:w="2506"/>
        <w:gridCol w:w="109"/>
        <w:gridCol w:w="211"/>
        <w:gridCol w:w="643"/>
        <w:gridCol w:w="109"/>
        <w:gridCol w:w="211"/>
        <w:gridCol w:w="688"/>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 - Non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3,822</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components of the net periodic benefit cost and other amounts recognized in other comprehensive income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are as follows:</w:t>
      </w:r>
    </w:p>
    <w:tbl>
      <w:tblPr>
        <w:tblW w:w="8413" w:type="dxa"/>
        <w:jc w:val="left"/>
        <w:tblInd w:w="0" w:type="dxa"/>
        <w:tblLayout w:type="fixed"/>
        <w:tblCellMar>
          <w:top w:w="0" w:type="dxa"/>
          <w:left w:w="0" w:type="dxa"/>
          <w:bottom w:w="0" w:type="dxa"/>
          <w:right w:w="0" w:type="dxa"/>
        </w:tblCellMar>
      </w:tblPr>
      <w:tblGrid>
        <w:gridCol w:w="6646"/>
        <w:gridCol w:w="109"/>
        <w:gridCol w:w="211"/>
        <w:gridCol w:w="541"/>
        <w:gridCol w:w="109"/>
        <w:gridCol w:w="211"/>
        <w:gridCol w:w="586"/>
      </w:tblGrid>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6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664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periodic benefit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actuarial gain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Items recognized in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recognized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recognized in net periodic benefit cost and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216</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Items not yet recognized as a component of net periodic pension cost consist of the following: </w:t>
      </w:r>
    </w:p>
    <w:tbl>
      <w:tblPr>
        <w:tblW w:w="5677" w:type="dxa"/>
        <w:jc w:val="left"/>
        <w:tblInd w:w="0" w:type="dxa"/>
        <w:tblLayout w:type="fixed"/>
        <w:tblCellMar>
          <w:top w:w="0" w:type="dxa"/>
          <w:left w:w="0" w:type="dxa"/>
          <w:bottom w:w="0" w:type="dxa"/>
          <w:right w:w="0" w:type="dxa"/>
        </w:tblCellMar>
      </w:tblPr>
      <w:tblGrid>
        <w:gridCol w:w="3706"/>
        <w:gridCol w:w="109"/>
        <w:gridCol w:w="211"/>
        <w:gridCol w:w="643"/>
        <w:gridCol w:w="109"/>
        <w:gridCol w:w="211"/>
        <w:gridCol w:w="688"/>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7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37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Unamortized actuarial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1,822</w:t>
            </w:r>
          </w:p>
        </w:tc>
      </w:tr>
      <w:tr>
        <w:trPr/>
        <w:tc>
          <w:tcPr>
            <w:tcW w:w="37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1,822</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estimated unamortized actuarial loss for the defined benefit pension plan that will be amortized from accumulated other comprehensive income into net periodic benefit cost over the next fiscal year will be $207,000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of any tax effects).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estimated future benefit payments for the next five years and thereafter as of December 31, 2023:</w:t>
      </w:r>
    </w:p>
    <w:tbl>
      <w:tblPr>
        <w:tblW w:w="3125" w:type="dxa"/>
        <w:jc w:val="center"/>
        <w:tblInd w:w="0" w:type="dxa"/>
        <w:tblLayout w:type="fixed"/>
        <w:tblCellMar>
          <w:top w:w="0" w:type="dxa"/>
          <w:left w:w="0" w:type="dxa"/>
          <w:bottom w:w="0" w:type="dxa"/>
          <w:right w:w="0" w:type="dxa"/>
        </w:tblCellMar>
      </w:tblPr>
      <w:tblGrid>
        <w:gridCol w:w="2131"/>
        <w:gridCol w:w="109"/>
        <w:gridCol w:w="211"/>
        <w:gridCol w:w="674"/>
      </w:tblGrid>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r>
      <w:tr>
        <w:trPr/>
        <w:tc>
          <w:tcPr>
            <w:tcW w:w="21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‎Pension</w:t>
              <w:br/>
              <w:t>‎Payments</w:t>
            </w:r>
          </w:p>
        </w:tc>
      </w:tr>
      <w:tr>
        <w:trPr/>
        <w:tc>
          <w:tcPr>
            <w:tcW w:w="21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547</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638</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Lease Make-Good Provision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the beginning and ending carrying amounts of the lease make-good provision is presented in the following table:</w:t>
      </w:r>
    </w:p>
    <w:tbl>
      <w:tblPr>
        <w:tblW w:w="6474" w:type="dxa"/>
        <w:jc w:val="left"/>
        <w:tblInd w:w="0" w:type="dxa"/>
        <w:tblLayout w:type="fixed"/>
        <w:tblCellMar>
          <w:top w:w="0" w:type="dxa"/>
          <w:left w:w="0" w:type="dxa"/>
          <w:bottom w:w="0" w:type="dxa"/>
          <w:right w:w="0" w:type="dxa"/>
        </w:tblCellMar>
      </w:tblPr>
      <w:tblGrid>
        <w:gridCol w:w="3871"/>
        <w:gridCol w:w="109"/>
        <w:gridCol w:w="289"/>
        <w:gridCol w:w="881"/>
        <w:gridCol w:w="109"/>
        <w:gridCol w:w="251"/>
        <w:gridCol w:w="964"/>
      </w:tblGrid>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964"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 year ended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 year ended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r>
      <w:tr>
        <w:trPr/>
        <w:tc>
          <w:tcPr>
            <w:tcW w:w="38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 at January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6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7,766</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incurred during the year</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settled during the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remeasured during the year</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(1,567)</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Accretion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6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changes in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4"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(294)</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make-good provision, at December 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6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6,131</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14 – COMMITMENTS AND CONTINGENCI</w:t>
      </w:r>
      <w:bookmarkStart w:id="75" w:name="FSNote13"/>
      <w:bookmarkEnd w:id="75"/>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as required, have accrued estimates of probable and estimable losses for the resolution of these claims, including legal costs.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before="0" w:after="200"/>
        <w:jc w:val="both"/>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15 – NON-CONTROLLING INTERES</w:t>
      </w:r>
      <w:bookmarkStart w:id="76" w:name="FSNote14"/>
      <w:bookmarkEnd w:id="76"/>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the non-controlling interests in our consolidated subsidiaries are comprised of the following:</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Australia Country Cinemas Pty Ltd. – 25% non-controlling interest owned by Panorama Group International Pty.;</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Shadow View Land</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Farming, LLC – 50% non-controlling membership interest owned by either the estate of Mr. James J. Cotter, Sr. (the “Cotter Estate”) or the James J. Cotter Sr. Living Trust (the “Cotter Trust”); and,</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 and/or the Cotter Trust).</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 are as follows:</w:t>
      </w:r>
    </w:p>
    <w:tbl>
      <w:tblPr>
        <w:tblW w:w="6382" w:type="dxa"/>
        <w:jc w:val="left"/>
        <w:tblInd w:w="0" w:type="dxa"/>
        <w:tblLayout w:type="fixed"/>
        <w:tblCellMar>
          <w:top w:w="0" w:type="dxa"/>
          <w:left w:w="0" w:type="dxa"/>
          <w:bottom w:w="0" w:type="dxa"/>
          <w:right w:w="0" w:type="dxa"/>
        </w:tblCellMar>
      </w:tblPr>
      <w:tblGrid>
        <w:gridCol w:w="4591"/>
        <w:gridCol w:w="109"/>
        <w:gridCol w:w="211"/>
        <w:gridCol w:w="613"/>
        <w:gridCol w:w="109"/>
        <w:gridCol w:w="211"/>
        <w:gridCol w:w="538"/>
      </w:tblGrid>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38" w:type="dxa"/>
            <w:tcBorders/>
            <w:shd w:fill="FFFFFF" w:val="clear"/>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38" w:type="dxa"/>
            <w:tcBorders/>
            <w:shd w:fill="FFFFFF" w:val="clear"/>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3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3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w:t>
            </w:r>
          </w:p>
        </w:tc>
      </w:tr>
      <w:tr>
        <w:trPr/>
        <w:tc>
          <w:tcPr>
            <w:tcW w:w="45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3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423</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income/(loss) attributable to non-controlling interests are as follows:</w:t>
      </w:r>
    </w:p>
    <w:tbl>
      <w:tblPr>
        <w:tblW w:w="10065" w:type="dxa"/>
        <w:jc w:val="left"/>
        <w:tblInd w:w="0" w:type="dxa"/>
        <w:tblLayout w:type="fixed"/>
        <w:tblCellMar>
          <w:top w:w="0" w:type="dxa"/>
          <w:left w:w="0" w:type="dxa"/>
          <w:bottom w:w="0" w:type="dxa"/>
          <w:right w:w="0" w:type="dxa"/>
        </w:tblCellMar>
      </w:tblPr>
      <w:tblGrid>
        <w:gridCol w:w="7291"/>
        <w:gridCol w:w="109"/>
        <w:gridCol w:w="211"/>
        <w:gridCol w:w="599"/>
        <w:gridCol w:w="109"/>
        <w:gridCol w:w="211"/>
        <w:gridCol w:w="599"/>
        <w:gridCol w:w="109"/>
        <w:gridCol w:w="211"/>
        <w:gridCol w:w="616"/>
      </w:tblGrid>
      <w:tr>
        <w:trPr/>
        <w:tc>
          <w:tcPr>
            <w:tcW w:w="7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7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r>
      <w:tr>
        <w:trPr/>
        <w:tc>
          <w:tcPr>
            <w:tcW w:w="72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tc>
      </w:tr>
      <w:tr>
        <w:trPr/>
        <w:tc>
          <w:tcPr>
            <w:tcW w:w="7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3,163</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(381)</w:t>
            </w:r>
          </w:p>
        </w:tc>
      </w:tr>
      <w:tr>
        <w:trPr/>
        <w:tc>
          <w:tcPr>
            <w:tcW w:w="7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9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9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2,893</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March 5, 2021, Shadow View Land and Farming, LLC, sold its only asset, being certain land holdings in Coachella, California, for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and is currently in the process of winding up and liquidating. See </w:t>
      </w:r>
      <w:r>
        <w:rPr>
          <w:rFonts w:ascii="Times New Roman;serif" w:hAnsi="Times New Roman;serif"/>
          <w:b w:val="false"/>
          <w:i/>
          <w:sz w:val="20"/>
        </w:rPr>
        <w:t xml:space="preserve">Note 5 Real Estate Transactions.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16 – SHARE-BASED COMPENSATION AND SHARE REPURCHASE PLA</w:t>
      </w:r>
      <w:bookmarkStart w:id="77" w:name="FSNote15"/>
      <w:bookmarkEnd w:id="77"/>
      <w:r>
        <w:rPr>
          <w:rFonts w:ascii="Times New Roman;serif" w:hAnsi="Times New Roman;serif"/>
          <w:b/>
          <w:i w:val="false"/>
          <w:caps w:val="false"/>
          <w:smallCaps w:val="false"/>
          <w:sz w:val="20"/>
          <w:u w:val="single"/>
        </w:rPr>
        <w:t>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2020 Stock Incentive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November 4, 2020, the Company enacted the 2020 Stock Incentive Plan, which was also approved by the Company’s stockholders on December 8, 2020 (the “2020 Plan”). Under the 2020 Plan, the number of permitted authorized shares for issuance was 1,250,000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“2020 Authorized Amount”). Added to the 2020 Authorized Amount would be any awards outstanding under the 2010 Plan and 2020 Plan that were subsequently forfeited (for instance, through a then outstanding out of the money option) or if the related shares are repurchased, a corresponding number of shares would automatically become available for issuance under the 2020 Plan, thus resulting in a potential increase from the 2020 Authorized Amount available for issuance under the 2020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December 7, 2023, the Company’s stockholders, upon recommendation of the Company’s board of directors, approved the First Amendment to the 2020 Stock Incentive Plan, increasing the number of Class A Common Stock reserved for issuance under the 2020 Plan by an additional 971,807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December 31, 2023, there were 1,295,241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 which includes shares from the 2010 Plan that become available for issuance due to the forfeiture of then outstanding out of the money stock options.</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no later than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the grant date.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granted to management. At the time the options are exercised or RSUs vest and are settled, at the discretion of management, we will issue treasury shares or make a new issuance of shares to the option or RSU holder.</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were issued to the Board of Directors in the year ended December 31, 2023.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stock options were issued in the years ended December 31, 2022 or December 31, 2021.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weighted average assumptions used in the option-valuation model for the years 2023, 2022 and 2021 were as follows: </w:t>
      </w:r>
    </w:p>
    <w:tbl>
      <w:tblPr>
        <w:tblW w:w="5680" w:type="dxa"/>
        <w:jc w:val="center"/>
        <w:tblInd w:w="0" w:type="dxa"/>
        <w:tblLayout w:type="fixed"/>
        <w:tblCellMar>
          <w:top w:w="0" w:type="dxa"/>
          <w:left w:w="0" w:type="dxa"/>
          <w:bottom w:w="0" w:type="dxa"/>
          <w:right w:w="0" w:type="dxa"/>
        </w:tblCellMar>
      </w:tblPr>
      <w:tblGrid>
        <w:gridCol w:w="2461"/>
        <w:gridCol w:w="109"/>
        <w:gridCol w:w="211"/>
        <w:gridCol w:w="808"/>
        <w:gridCol w:w="109"/>
        <w:gridCol w:w="211"/>
        <w:gridCol w:w="703"/>
        <w:gridCol w:w="109"/>
        <w:gridCol w:w="211"/>
        <w:gridCol w:w="748"/>
      </w:tblGrid>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2021</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exercise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dividend yield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option life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0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recorded stock-based compensation expense of $50,000, $212,000, and $402,000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2023, 2022, and 2021, respectively. At December 31, 2023, the total unrecognized estimated compensation cost related to non-vested stock options was $196,000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which is expected to be recognized over a weighted average vesting period of 9.94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cash was received from option exercises in 2023, 2022 or 2021.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is a summary of the status of RDI’s outstanding stock options for the three years ended December 31, 2023: </w:t>
      </w:r>
    </w:p>
    <w:tbl>
      <w:tblPr>
        <w:tblW w:w="9146" w:type="dxa"/>
        <w:jc w:val="left"/>
        <w:tblInd w:w="0" w:type="dxa"/>
        <w:tblLayout w:type="fixed"/>
        <w:tblCellMar>
          <w:top w:w="0" w:type="dxa"/>
          <w:left w:w="0" w:type="dxa"/>
          <w:bottom w:w="0" w:type="dxa"/>
          <w:right w:w="0" w:type="dxa"/>
        </w:tblCellMar>
      </w:tblPr>
      <w:tblGrid>
        <w:gridCol w:w="2926"/>
        <w:gridCol w:w="109"/>
        <w:gridCol w:w="901"/>
        <w:gridCol w:w="109"/>
        <w:gridCol w:w="631"/>
        <w:gridCol w:w="109"/>
        <w:gridCol w:w="211"/>
        <w:gridCol w:w="643"/>
        <w:gridCol w:w="109"/>
        <w:gridCol w:w="211"/>
        <w:gridCol w:w="419"/>
        <w:gridCol w:w="109"/>
        <w:gridCol w:w="1546"/>
        <w:gridCol w:w="109"/>
        <w:gridCol w:w="211"/>
        <w:gridCol w:w="793"/>
      </w:tblGrid>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11"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Outstanding Stock Options</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9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January 1,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713,479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13,969</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(38,803)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63,831</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(157,332)</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517,344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(189,846)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(122,376)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status of RDI’s vested and unvested stock options as of December 31, 2023, 2022 and 2021:</w:t>
      </w:r>
    </w:p>
    <w:tbl>
      <w:tblPr>
        <w:tblW w:w="8006" w:type="dxa"/>
        <w:jc w:val="left"/>
        <w:tblInd w:w="0" w:type="dxa"/>
        <w:tblLayout w:type="fixed"/>
        <w:tblCellMar>
          <w:top w:w="0" w:type="dxa"/>
          <w:left w:w="0" w:type="dxa"/>
          <w:bottom w:w="0" w:type="dxa"/>
          <w:right w:w="0" w:type="dxa"/>
        </w:tblCellMar>
      </w:tblPr>
      <w:tblGrid>
        <w:gridCol w:w="1696"/>
        <w:gridCol w:w="109"/>
        <w:gridCol w:w="853"/>
        <w:gridCol w:w="109"/>
        <w:gridCol w:w="631"/>
        <w:gridCol w:w="109"/>
        <w:gridCol w:w="211"/>
        <w:gridCol w:w="643"/>
        <w:gridCol w:w="109"/>
        <w:gridCol w:w="211"/>
        <w:gridCol w:w="631"/>
        <w:gridCol w:w="109"/>
        <w:gridCol w:w="1546"/>
        <w:gridCol w:w="109"/>
        <w:gridCol w:w="290"/>
        <w:gridCol w:w="640"/>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01"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 and Unvested Stock Options</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3"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0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169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Vested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276,218</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Unvested</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51,281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133,155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Time vested RSU awards to management vest 25% on the anniversary of the grant date and the remainder over a period of four years. Beginning in 2020, a performance component has been added to certain of the RSUs granted to management,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vesting on April 11, 2024 and 52,360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vesting on April 21, 2024.</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years ended December 31, 2023 and December 31, 2022, we recognized compensation expense related to RSUs of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total unrecognized compensation expense related to these unvested RSUs was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 is a table that shows the restricted stock units that have been issued and vested during the years ending December 31, 2023 along with the dollar value of these awards:</w:t>
      </w:r>
    </w:p>
    <w:tbl>
      <w:tblPr>
        <w:tblW w:w="10226" w:type="dxa"/>
        <w:jc w:val="left"/>
        <w:tblInd w:w="0" w:type="dxa"/>
        <w:tblLayout w:type="fixed"/>
        <w:tblCellMar>
          <w:top w:w="0" w:type="dxa"/>
          <w:left w:w="0" w:type="dxa"/>
          <w:bottom w:w="0" w:type="dxa"/>
          <w:right w:w="0" w:type="dxa"/>
        </w:tblCellMar>
      </w:tblPr>
      <w:tblGrid>
        <w:gridCol w:w="556"/>
        <w:gridCol w:w="109"/>
        <w:gridCol w:w="1003"/>
        <w:gridCol w:w="109"/>
        <w:gridCol w:w="853"/>
        <w:gridCol w:w="109"/>
        <w:gridCol w:w="853"/>
        <w:gridCol w:w="109"/>
        <w:gridCol w:w="1003"/>
        <w:gridCol w:w="109"/>
        <w:gridCol w:w="211"/>
        <w:gridCol w:w="1108"/>
        <w:gridCol w:w="109"/>
        <w:gridCol w:w="211"/>
        <w:gridCol w:w="1003"/>
        <w:gridCol w:w="109"/>
        <w:gridCol w:w="211"/>
        <w:gridCol w:w="853"/>
        <w:gridCol w:w="109"/>
        <w:gridCol w:w="441"/>
        <w:gridCol w:w="135"/>
        <w:gridCol w:w="913"/>
      </w:tblGrid>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1" w:type="dxa"/>
            <w:tcBorders/>
            <w:shd w:fill="FFFFFF" w:val="cle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39"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RSUs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289" w:type="dxa"/>
            <w:gridSpan w:val="10"/>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value of RSUs</w:t>
            </w:r>
          </w:p>
        </w:tc>
        <w:tc>
          <w:tcPr>
            <w:tcW w:w="913"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815,160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805,759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48" w:type="dxa"/>
            <w:gridSpan w:val="2"/>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2017</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70,538</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70,006</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1,124,348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1,115,852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8,496</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48" w:type="dxa"/>
            <w:gridSpan w:val="2"/>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1,529,648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2019</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59,258</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56,154</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3,104</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944,070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894,065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50,005</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48" w:type="dxa"/>
            <w:gridSpan w:val="2"/>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354,950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2,281,899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1,996,354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114,705</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361,593</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177,510</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35,657</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148,426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2,185,222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1,002,259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229,250</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48" w:type="dxa"/>
            <w:gridSpan w:val="2"/>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953,712</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282,502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1,998,505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294,720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shd w:fill="CCEEFF" w:val="cle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1,178,033</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671,682</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55,857</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615,825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2,173,049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180,451</w:t>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1,992,598</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2,233,372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969,822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1,065,511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13,103,765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7,869,691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995,025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8" w:type="dxa"/>
            <w:gridSpan w:val="2"/>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4,239,049</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Stock Repurchase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At December 31, 2023, we had available $26.0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our Board approved Stock Repurchase Program. That program expired on March 10, 2024.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has been repurchased by our Company since March 10, 2020.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17 – ACCUMULATED OTHER COMPREHENSIVE INCO</w:t>
      </w:r>
      <w:bookmarkStart w:id="78" w:name="FSNote16"/>
      <w:bookmarkEnd w:id="78"/>
      <w:r>
        <w:rPr>
          <w:rFonts w:ascii="Times New Roman;serif" w:hAnsi="Times New Roman;serif"/>
          <w:b/>
          <w:i w:val="false"/>
          <w:caps w:val="false"/>
          <w:smallCaps w:val="false"/>
          <w:sz w:val="20"/>
          <w:u w:val="single"/>
        </w:rPr>
        <w:t>ME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941"/>
        <w:gridCol w:w="109"/>
        <w:gridCol w:w="211"/>
        <w:gridCol w:w="605"/>
        <w:gridCol w:w="109"/>
        <w:gridCol w:w="346"/>
        <w:gridCol w:w="735"/>
        <w:gridCol w:w="109"/>
        <w:gridCol w:w="211"/>
        <w:gridCol w:w="675"/>
        <w:gridCol w:w="109"/>
        <w:gridCol w:w="257"/>
        <w:gridCol w:w="674"/>
        <w:gridCol w:w="109"/>
        <w:gridCol w:w="211"/>
        <w:gridCol w:w="794"/>
      </w:tblGrid>
      <w:tr>
        <w:trPr/>
        <w:tc>
          <w:tcPr>
            <w:tcW w:w="49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r>
      <w:tr>
        <w:trPr/>
        <w:tc>
          <w:tcPr>
            <w:tcW w:w="49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before="0" w:after="283"/>
              <w:jc w:val="left"/>
              <w:rPr>
                <w:sz w:val="4"/>
                <w:szCs w:val="4"/>
              </w:rPr>
            </w:pPr>
            <w:r>
              <w:rPr>
                <w:sz w:val="4"/>
                <w:szCs w:val="4"/>
              </w:rPr>
            </w:r>
          </w:p>
        </w:tc>
      </w:tr>
      <w:tr>
        <w:trPr/>
        <w:tc>
          <w:tcPr>
            <w:tcW w:w="494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Foreign</w:t>
              <w:br/>
              <w:t>‎Currency</w:t>
              <w:br/>
              <w:t>‎Items</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Accrued</w:t>
              <w:br/>
              <w:t>‎Pension</w:t>
              <w:br/>
              <w:t>‎Service</w:t>
              <w:br/>
              <w:t>‎Costs</w:t>
            </w:r>
            <w:r>
              <w:rPr>
                <w:rFonts w:ascii="Times New Roman;serif" w:hAnsi="Times New Roman;serif"/>
                <w:b/>
                <w:i w:val="false"/>
                <w:caps w:val="false"/>
                <w:smallCaps w:val="false"/>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Reserve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9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05"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5"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5"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(1,957)</w:t>
            </w:r>
          </w:p>
        </w:tc>
      </w:tr>
      <w:tr>
        <w:trPr/>
        <w:tc>
          <w:tcPr>
            <w:tcW w:w="4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before="0" w:after="283"/>
              <w:jc w:val="left"/>
              <w:rPr>
                <w:sz w:val="4"/>
                <w:szCs w:val="4"/>
              </w:rPr>
            </w:pPr>
            <w:r>
              <w:rPr>
                <w:sz w:val="4"/>
                <w:szCs w:val="4"/>
              </w:rPr>
            </w:r>
          </w:p>
        </w:tc>
      </w:tr>
      <w:tr>
        <w:trPr/>
        <w:tc>
          <w:tcPr>
            <w:tcW w:w="4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49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(579)</w:t>
            </w:r>
          </w:p>
        </w:tc>
      </w:tr>
      <w:tr>
        <w:trPr/>
        <w:tc>
          <w:tcPr>
            <w:tcW w:w="4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w:t>
            </w:r>
          </w:p>
        </w:tc>
      </w:tr>
      <w:tr>
        <w:trPr/>
        <w:tc>
          <w:tcPr>
            <w:tcW w:w="49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0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before="0" w:after="283"/>
              <w:jc w:val="left"/>
              <w:rPr>
                <w:sz w:val="4"/>
                <w:szCs w:val="4"/>
              </w:rPr>
            </w:pPr>
            <w:r>
              <w:rPr>
                <w:sz w:val="4"/>
                <w:szCs w:val="4"/>
              </w:rPr>
            </w:r>
          </w:p>
        </w:tc>
      </w:tr>
      <w:tr>
        <w:trPr/>
        <w:tc>
          <w:tcPr>
            <w:tcW w:w="494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5"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(289)</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(716)</w:t>
            </w:r>
          </w:p>
        </w:tc>
      </w:tr>
      <w:tr>
        <w:trPr/>
        <w:tc>
          <w:tcPr>
            <w:tcW w:w="49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0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(2,673)</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(1)Net of income tax benefit of $8,000.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(2)Net of income tax expense of $54,000.</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18 – FAIR VALUE MEASUREMEN</w:t>
      </w:r>
      <w:bookmarkStart w:id="79" w:name="FSNote17"/>
      <w:bookmarkEnd w:id="79"/>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1: </w:t>
      </w:r>
      <w:r>
        <w:rPr>
          <w:rFonts w:ascii="Times New Roman;serif" w:hAnsi="Times New Roman;serif"/>
          <w:b w:val="false"/>
          <w:i w:val="false"/>
          <w:caps w:val="false"/>
          <w:smallCaps w:val="false"/>
          <w:sz w:val="20"/>
        </w:rPr>
        <w:t xml:space="preserve">Quoted (unadjusted) prices in active markets that are accessible at the measurement date for identical, unrestricted 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2: </w:t>
      </w:r>
      <w:r>
        <w:rPr>
          <w:rFonts w:ascii="Times New Roman;serif" w:hAnsi="Times New Roman;serif"/>
          <w:b w:val="false"/>
          <w:i w:val="false"/>
          <w:caps w:val="false"/>
          <w:smallCaps w:val="false"/>
          <w:sz w:val="20"/>
        </w:rPr>
        <w:t>Quoted prices in active markets for similar assets and liabilities, or inputs that are observable, either directly or 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2023 and 2022, we concluded that the credit valuation adjustments were not significant to the overall valuation of our derivatives.</w:t>
      </w:r>
    </w:p>
    <w:p>
      <w:pPr>
        <w:pStyle w:val="TextBody"/>
        <w:bidi w:val="0"/>
        <w:spacing w:lineRule="auto" w:line="259" w:before="100" w:after="283"/>
        <w:ind w:left="720" w:right="0" w:hanging="360"/>
        <w:jc w:val="left"/>
        <w:rPr/>
      </w:pPr>
      <w:r>
        <w:rPr>
          <w:caps w:val="false"/>
          <w:smallCaps w:val="false"/>
          <w:color w:val="000000"/>
        </w:rPr>
        <w:t></w:t>
      </w:r>
      <w:r>
        <w:rPr>
          <w:rFonts w:ascii="Times New Roman;serif" w:hAnsi="Times New Roman;serif"/>
          <w:b/>
          <w:i w:val="false"/>
          <w:caps w:val="false"/>
          <w:smallCaps w:val="false"/>
          <w:sz w:val="20"/>
        </w:rPr>
        <w:t xml:space="preserve">Level 3: </w:t>
      </w:r>
      <w:r>
        <w:rPr>
          <w:rFonts w:ascii="Times New Roman;serif" w:hAnsi="Times New Roman;serif"/>
          <w:b w:val="false"/>
          <w:i w:val="false"/>
          <w:caps w:val="false"/>
          <w:smallCaps w:val="false"/>
          <w:sz w:val="20"/>
        </w:rPr>
        <w:t>Unobservable inputs that are supported by little or no market activity may require significant judgment in order to determine the fair value of the assets and liabilities. This category includes:</w:t>
      </w:r>
    </w:p>
    <w:p>
      <w:pPr>
        <w:pStyle w:val="TextBody"/>
        <w:bidi w:val="0"/>
        <w:spacing w:lineRule="auto" w:line="259" w:before="100" w:after="283"/>
        <w:ind w:left="1080" w:right="0" w:hanging="360"/>
        <w:jc w:val="left"/>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Debt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includes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pStyle w:val="TextBody"/>
        <w:bidi w:val="0"/>
        <w:spacing w:lineRule="auto" w:line="259" w:before="100" w:after="283"/>
        <w:ind w:left="1080" w:right="0" w:hanging="360"/>
        <w:jc w:val="left"/>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 xml:space="preserve">Goodwill, Other Intangibles and Other Long-lived Assets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refer to the “</w:t>
      </w:r>
      <w:r>
        <w:rPr>
          <w:rFonts w:ascii="Times New Roman;serif" w:hAnsi="Times New Roman;serif"/>
          <w:b w:val="false"/>
          <w:i/>
          <w:sz w:val="20"/>
        </w:rPr>
        <w:t>Impairment of Long-Lived Assets” section in Note 2 – Summary of Significant Accounting Policies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 description of valuation methodology used for fair value measurements of goodwill, intangible assets and long-lived assets. Given this category represents several lines in our Consolidated Balance Sheet and since the recorded values agree to fair values, we did not include this in the subsequent tables presented.</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2023 and 2022.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three years ended December 31, 2023.</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Recurring Fair Value Measurements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2023 we had no derivative financial instruments. As of December 31, 2022, we had derivative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financial assets carried and measured at fair value on a recurring basis of $907,000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derivative financial liabilities in a liability position. </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Nonrecurring Fair Value Measurements</w:t>
      </w:r>
      <w:r>
        <w:rPr>
          <w:rFonts w:ascii="Times New Roman;serif" w:hAnsi="Times New Roman;serif"/>
          <w:sz w:val="20"/>
        </w:rPr>
        <w:t xml:space="preserve">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provide information about financial assets and liabilities not carried at fair value on a nonrecurring basis in our consolidated balance sheets: </w:t>
      </w:r>
    </w:p>
    <w:tbl>
      <w:tblPr>
        <w:tblW w:w="10191" w:type="dxa"/>
        <w:jc w:val="left"/>
        <w:tblInd w:w="0" w:type="dxa"/>
        <w:tblLayout w:type="fixed"/>
        <w:tblCellMar>
          <w:top w:w="0" w:type="dxa"/>
          <w:left w:w="0" w:type="dxa"/>
          <w:bottom w:w="0" w:type="dxa"/>
          <w:right w:w="0" w:type="dxa"/>
        </w:tblCellMar>
      </w:tblPr>
      <w:tblGrid>
        <w:gridCol w:w="1681"/>
        <w:gridCol w:w="109"/>
        <w:gridCol w:w="3616"/>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2023</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148,325</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148,325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 - current and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27,832</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27,832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176,157</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176,157</w:t>
            </w:r>
          </w:p>
        </w:tc>
      </w:tr>
    </w:tbl>
    <w:tbl>
      <w:tblPr>
        <w:tblW w:w="9246" w:type="dxa"/>
        <w:jc w:val="left"/>
        <w:tblInd w:w="0" w:type="dxa"/>
        <w:tblLayout w:type="fixed"/>
        <w:tblCellMar>
          <w:top w:w="0" w:type="dxa"/>
          <w:left w:w="0" w:type="dxa"/>
          <w:bottom w:w="0" w:type="dxa"/>
          <w:right w:w="0" w:type="dxa"/>
        </w:tblCellMar>
      </w:tblPr>
      <w:tblGrid>
        <w:gridCol w:w="1681"/>
        <w:gridCol w:w="109"/>
        <w:gridCol w:w="2671"/>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2022</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187,720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172,230</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172,230</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25,025</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215,633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197,255</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197,255</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(1)These balances are presented gross of deferred financing costs.</w:t>
      </w:r>
    </w:p>
    <w:p>
      <w:pPr>
        <w:pStyle w:val="TextBody"/>
        <w:bidi w:val="0"/>
        <w:spacing w:lineRule="auto" w:line="259"/>
        <w:jc w:val="left"/>
        <w:rPr/>
      </w:pPr>
      <w:r>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19 – HEDGE ACCO</w:t>
      </w:r>
      <w:bookmarkStart w:id="80" w:name="Note19"/>
      <w:bookmarkEnd w:id="80"/>
      <w:r>
        <w:rPr>
          <w:rFonts w:ascii="Times New Roman;serif" w:hAnsi="Times New Roman;serif"/>
          <w:b/>
          <w:i w:val="false"/>
          <w:caps w:val="false"/>
          <w:smallCaps w:val="false"/>
          <w:sz w:val="20"/>
          <w:u w:val="single"/>
        </w:rPr>
        <w:t>UNTI</w:t>
      </w:r>
      <w:bookmarkStart w:id="81" w:name="Note17_HedgeAccounting"/>
      <w:bookmarkEnd w:id="81"/>
      <w:r>
        <w:rPr>
          <w:rFonts w:ascii="Times New Roman;serif" w:hAnsi="Times New Roman;serif"/>
          <w:b/>
          <w:i w:val="false"/>
          <w:caps w:val="false"/>
          <w:smallCaps w:val="false"/>
          <w:sz w:val="20"/>
          <w:u w:val="single"/>
        </w:rPr>
        <w:t>NG</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2023 the Company held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rate derivatives. As of December 31, 2022, the Company held interest rate derivatives in the total notional amount $51.0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35"/>
        <w:gridCol w:w="109"/>
        <w:gridCol w:w="2754"/>
        <w:gridCol w:w="109"/>
        <w:gridCol w:w="265"/>
        <w:gridCol w:w="468"/>
        <w:gridCol w:w="109"/>
        <w:gridCol w:w="2754"/>
        <w:gridCol w:w="109"/>
        <w:gridCol w:w="251"/>
        <w:gridCol w:w="542"/>
      </w:tblGrid>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5" w:type="dxa"/>
            <w:tcBorders/>
            <w:shd w:fill="FFFFFF" w:val="clear"/>
            <w:vAlign w:val="center"/>
          </w:tcPr>
          <w:p>
            <w:pPr>
              <w:pStyle w:val="TableContents"/>
              <w:bidi w:val="0"/>
              <w:spacing w:before="0" w:after="283"/>
              <w:jc w:val="left"/>
              <w:rPr>
                <w:sz w:val="4"/>
                <w:szCs w:val="4"/>
              </w:rPr>
            </w:pPr>
            <w:r>
              <w:rPr>
                <w:sz w:val="4"/>
                <w:szCs w:val="4"/>
              </w:rPr>
            </w:r>
          </w:p>
        </w:tc>
        <w:tc>
          <w:tcPr>
            <w:tcW w:w="4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1" w:type="dxa"/>
            <w:tcBorders/>
            <w:shd w:fill="FFFFFF" w:val="clear"/>
            <w:vAlign w:val="center"/>
          </w:tcPr>
          <w:p>
            <w:pPr>
              <w:pStyle w:val="TableContents"/>
              <w:bidi w:val="0"/>
              <w:spacing w:before="0" w:after="283"/>
              <w:jc w:val="left"/>
              <w:rPr>
                <w:sz w:val="4"/>
                <w:szCs w:val="4"/>
              </w:rPr>
            </w:pPr>
            <w:r>
              <w:rPr>
                <w:sz w:val="4"/>
                <w:szCs w:val="4"/>
              </w:rPr>
            </w:r>
          </w:p>
        </w:tc>
        <w:tc>
          <w:tcPr>
            <w:tcW w:w="542" w:type="dxa"/>
            <w:tcBorders/>
            <w:shd w:fill="FFFFFF" w:val="clear"/>
            <w:vAlign w:val="center"/>
          </w:tcPr>
          <w:p>
            <w:pPr>
              <w:pStyle w:val="TableContents"/>
              <w:bidi w:val="0"/>
              <w:spacing w:before="0" w:after="283"/>
              <w:jc w:val="left"/>
              <w:rPr>
                <w:sz w:val="4"/>
                <w:szCs w:val="4"/>
              </w:rPr>
            </w:pPr>
            <w:r>
              <w:rPr>
                <w:sz w:val="4"/>
                <w:szCs w:val="4"/>
              </w:rPr>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1" w:type="dxa"/>
            <w:gridSpan w:val="9"/>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Asset Derivatives</w:t>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1"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96"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56"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r>
      <w:tr>
        <w:trPr/>
        <w:tc>
          <w:tcPr>
            <w:tcW w:w="2735"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68"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4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907</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8"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907</w:t>
            </w:r>
          </w:p>
        </w:tc>
      </w:tr>
      <w:tr>
        <w:trPr/>
        <w:tc>
          <w:tcPr>
            <w:tcW w:w="273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907</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1" w:type="dxa"/>
            <w:gridSpan w:val="9"/>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1" w:type="dxa"/>
            <w:gridSpan w:val="9"/>
            <w:tcBorders>
              <w:bottom w:val="single" w:sz="12"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6"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56"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r>
      <w:tr>
        <w:trPr/>
        <w:tc>
          <w:tcPr>
            <w:tcW w:w="2735"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68"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42" w:type="dxa"/>
            <w:tcBorders>
              <w:top w:val="single" w:sz="8"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8"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changes in fair value are recorded in Other Comprehensive Income and released into 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the same period(s) in which the hedged transactions affect earnings. In 2023 and 2022, the derivative instruments affected Comprehensive Income as follows:</w:t>
      </w:r>
    </w:p>
    <w:tbl>
      <w:tblPr>
        <w:tblW w:w="9923" w:type="dxa"/>
        <w:jc w:val="left"/>
        <w:tblInd w:w="0" w:type="dxa"/>
        <w:tblLayout w:type="fixed"/>
        <w:tblCellMar>
          <w:top w:w="0" w:type="dxa"/>
          <w:left w:w="0" w:type="dxa"/>
          <w:bottom w:w="0" w:type="dxa"/>
          <w:right w:w="0" w:type="dxa"/>
        </w:tblCellMar>
      </w:tblPr>
      <w:tblGrid>
        <w:gridCol w:w="1681"/>
        <w:gridCol w:w="109"/>
        <w:gridCol w:w="4021"/>
        <w:gridCol w:w="109"/>
        <w:gridCol w:w="476"/>
        <w:gridCol w:w="1206"/>
        <w:gridCol w:w="265"/>
        <w:gridCol w:w="476"/>
        <w:gridCol w:w="1206"/>
        <w:gridCol w:w="374"/>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1206" w:type="dxa"/>
            <w:tcBorders/>
            <w:shd w:fill="FFFFFF" w:val="clear"/>
            <w:vAlign w:val="center"/>
          </w:tcPr>
          <w:p>
            <w:pPr>
              <w:pStyle w:val="TableContents"/>
              <w:bidi w:val="0"/>
              <w:spacing w:before="0" w:after="283"/>
              <w:jc w:val="left"/>
              <w:rPr>
                <w:sz w:val="4"/>
                <w:szCs w:val="4"/>
              </w:rPr>
            </w:pPr>
            <w:r>
              <w:rPr>
                <w:sz w:val="4"/>
                <w:szCs w:val="4"/>
              </w:rPr>
            </w:r>
          </w:p>
        </w:tc>
        <w:tc>
          <w:tcPr>
            <w:tcW w:w="265"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shd w:fill="FFFFFF" w:val="clear"/>
            <w:vAlign w:val="center"/>
          </w:tcPr>
          <w:p>
            <w:pPr>
              <w:pStyle w:val="TableContents"/>
              <w:bidi w:val="0"/>
              <w:spacing w:before="0" w:after="283"/>
              <w:jc w:val="left"/>
              <w:rPr>
                <w:sz w:val="4"/>
                <w:szCs w:val="4"/>
              </w:rPr>
            </w:pPr>
            <w:r>
              <w:rPr>
                <w:sz w:val="4"/>
                <w:szCs w:val="4"/>
              </w:rPr>
            </w:r>
          </w:p>
        </w:tc>
        <w:tc>
          <w:tcPr>
            <w:tcW w:w="1206" w:type="dxa"/>
            <w:tcBorders/>
            <w:shd w:fill="FFFFFF" w:val="clear"/>
            <w:vAlign w:val="center"/>
          </w:tcPr>
          <w:p>
            <w:pPr>
              <w:pStyle w:val="TableContents"/>
              <w:bidi w:val="0"/>
              <w:spacing w:before="0" w:after="283"/>
              <w:jc w:val="left"/>
              <w:rPr>
                <w:sz w:val="4"/>
                <w:szCs w:val="4"/>
              </w:rPr>
            </w:pPr>
            <w:r>
              <w:rPr>
                <w:sz w:val="4"/>
                <w:szCs w:val="4"/>
              </w:rPr>
            </w:r>
          </w:p>
        </w:tc>
        <w:tc>
          <w:tcPr>
            <w:tcW w:w="37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02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3"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Recognized in Income on Derivatives</w:t>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02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26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37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0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(821)</w:t>
            </w:r>
          </w:p>
        </w:tc>
        <w:tc>
          <w:tcPr>
            <w:tcW w:w="265" w:type="dxa"/>
            <w:tcBorders/>
            <w:shd w:fill="CCEEFF" w:val="clear"/>
            <w:vAlign w:val="center"/>
          </w:tcPr>
          <w:p>
            <w:pPr>
              <w:pStyle w:val="TableContents"/>
              <w:bidi w:val="0"/>
              <w:spacing w:before="0" w:after="283"/>
              <w:jc w:val="left"/>
              <w:rPr>
                <w:sz w:val="4"/>
                <w:szCs w:val="4"/>
              </w:rPr>
            </w:pPr>
            <w:r>
              <w:rPr>
                <w:sz w:val="4"/>
                <w:szCs w:val="4"/>
              </w:rPr>
            </w:r>
          </w:p>
        </w:tc>
        <w:tc>
          <w:tcPr>
            <w:tcW w:w="47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0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(672)</w:t>
            </w:r>
          </w:p>
        </w:tc>
        <w:tc>
          <w:tcPr>
            <w:tcW w:w="37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20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(821)</w:t>
            </w:r>
          </w:p>
        </w:tc>
        <w:tc>
          <w:tcPr>
            <w:tcW w:w="265"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20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(672)</w:t>
            </w:r>
          </w:p>
        </w:tc>
        <w:tc>
          <w:tcPr>
            <w:tcW w:w="37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73"/>
        <w:gridCol w:w="109"/>
        <w:gridCol w:w="376"/>
        <w:gridCol w:w="324"/>
        <w:gridCol w:w="180"/>
        <w:gridCol w:w="324"/>
        <w:gridCol w:w="1001"/>
        <w:gridCol w:w="109"/>
        <w:gridCol w:w="1169"/>
        <w:gridCol w:w="125"/>
        <w:gridCol w:w="225"/>
        <w:gridCol w:w="432"/>
        <w:gridCol w:w="125"/>
        <w:gridCol w:w="225"/>
        <w:gridCol w:w="432"/>
        <w:gridCol w:w="109"/>
        <w:gridCol w:w="1774"/>
        <w:gridCol w:w="168"/>
        <w:gridCol w:w="303"/>
        <w:gridCol w:w="536"/>
        <w:gridCol w:w="168"/>
        <w:gridCol w:w="303"/>
        <w:gridCol w:w="615"/>
      </w:tblGrid>
      <w:tr>
        <w:trPr/>
        <w:tc>
          <w:tcPr>
            <w:tcW w:w="10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324" w:type="dxa"/>
            <w:tcBorders/>
            <w:shd w:fill="FFFFFF" w:val="clear"/>
            <w:vAlign w:val="center"/>
          </w:tcPr>
          <w:p>
            <w:pPr>
              <w:pStyle w:val="TableContents"/>
              <w:bidi w:val="0"/>
              <w:spacing w:before="0" w:after="283"/>
              <w:jc w:val="left"/>
              <w:rPr>
                <w:sz w:val="4"/>
                <w:szCs w:val="4"/>
              </w:rPr>
            </w:pPr>
            <w:r>
              <w:rPr>
                <w:sz w:val="4"/>
                <w:szCs w:val="4"/>
              </w:rPr>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324" w:type="dxa"/>
            <w:tcBorders/>
            <w:shd w:fill="FFFFFF" w:val="clear"/>
            <w:vAlign w:val="center"/>
          </w:tcPr>
          <w:p>
            <w:pPr>
              <w:pStyle w:val="TableContents"/>
              <w:bidi w:val="0"/>
              <w:spacing w:before="0" w:after="283"/>
              <w:jc w:val="left"/>
              <w:rPr>
                <w:sz w:val="4"/>
                <w:szCs w:val="4"/>
              </w:rPr>
            </w:pPr>
            <w:r>
              <w:rPr>
                <w:sz w:val="4"/>
                <w:szCs w:val="4"/>
              </w:rPr>
            </w:r>
          </w:p>
        </w:tc>
        <w:tc>
          <w:tcPr>
            <w:tcW w:w="1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225"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4"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303" w:type="dxa"/>
            <w:tcBorders/>
            <w:shd w:fill="FFFFFF" w:val="clear"/>
            <w:vAlign w:val="center"/>
          </w:tcPr>
          <w:p>
            <w:pPr>
              <w:pStyle w:val="TableContents"/>
              <w:bidi w:val="0"/>
              <w:spacing w:before="0" w:after="283"/>
              <w:jc w:val="left"/>
              <w:rPr>
                <w:sz w:val="4"/>
                <w:szCs w:val="4"/>
              </w:rPr>
            </w:pPr>
            <w:r>
              <w:rPr>
                <w:sz w:val="4"/>
                <w:szCs w:val="4"/>
              </w:rPr>
            </w:r>
          </w:p>
        </w:tc>
        <w:tc>
          <w:tcPr>
            <w:tcW w:w="615" w:type="dxa"/>
            <w:tcBorders/>
            <w:shd w:fill="FFFFFF" w:val="clear"/>
            <w:vAlign w:val="center"/>
          </w:tcPr>
          <w:p>
            <w:pPr>
              <w:pStyle w:val="TableContents"/>
              <w:bidi w:val="0"/>
              <w:spacing w:before="0" w:after="283"/>
              <w:jc w:val="left"/>
              <w:rPr>
                <w:sz w:val="4"/>
                <w:szCs w:val="4"/>
              </w:rPr>
            </w:pPr>
            <w:r>
              <w:rPr>
                <w:sz w:val="4"/>
                <w:szCs w:val="4"/>
              </w:rPr>
            </w:r>
          </w:p>
        </w:tc>
      </w:tr>
      <w:tr>
        <w:trPr/>
        <w:tc>
          <w:tcPr>
            <w:tcW w:w="10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5"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OCI on Derivatives (Effective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33"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Reclassified from OCI into Income (Effective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67"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Income on Derivatives (Ineffective Portion and Amount Excluded from Effectiveness Testing)</w:t>
            </w:r>
          </w:p>
        </w:tc>
      </w:tr>
      <w:tr>
        <w:trPr/>
        <w:tc>
          <w:tcPr>
            <w:tcW w:w="1073"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2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39"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2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0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8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6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2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7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68" w:type="dxa"/>
            <w:tcBorders/>
            <w:shd w:fill="FFFFFF" w:val="clear"/>
            <w:vAlign w:val="center"/>
          </w:tcPr>
          <w:p>
            <w:pPr>
              <w:pStyle w:val="TableContents"/>
              <w:bidi w:val="0"/>
              <w:spacing w:before="0" w:after="283"/>
              <w:jc w:val="left"/>
              <w:rPr>
                <w:sz w:val="4"/>
                <w:szCs w:val="4"/>
              </w:rPr>
            </w:pPr>
            <w:r>
              <w:rPr>
                <w:sz w:val="4"/>
                <w:szCs w:val="4"/>
              </w:rPr>
            </w:r>
          </w:p>
        </w:tc>
        <w:tc>
          <w:tcPr>
            <w:tcW w:w="83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r>
      <w:tr>
        <w:trPr/>
        <w:tc>
          <w:tcPr>
            <w:tcW w:w="10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32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32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01"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2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3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2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3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68"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07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32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w:t>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(1,520)</w:t>
            </w:r>
          </w:p>
        </w:tc>
        <w:tc>
          <w:tcPr>
            <w:tcW w:w="10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821</w:t>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3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672</w:t>
            </w:r>
          </w:p>
        </w:tc>
        <w:tc>
          <w:tcPr>
            <w:tcW w:w="10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1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2023, we have no derivative instruments.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20 – </w:t>
      </w:r>
      <w:bookmarkStart w:id="82" w:name="Note20"/>
      <w:bookmarkEnd w:id="82"/>
      <w:r>
        <w:rPr>
          <w:rFonts w:ascii="Times New Roman;serif" w:hAnsi="Times New Roman;serif"/>
          <w:b/>
          <w:i w:val="false"/>
          <w:caps w:val="false"/>
          <w:smallCaps w:val="false"/>
          <w:sz w:val="20"/>
          <w:u w:val="single"/>
        </w:rPr>
        <w:t>RELATED PARTI</w:t>
      </w:r>
      <w:bookmarkStart w:id="83" w:name="Note21_Unaudited"/>
      <w:bookmarkEnd w:id="83"/>
      <w:r>
        <w:rPr>
          <w:rFonts w:ascii="Times New Roman;serif" w:hAnsi="Times New Roman;serif"/>
          <w:b/>
          <w:i w:val="false"/>
          <w:caps w:val="false"/>
          <w:smallCaps w:val="false"/>
          <w:sz w:val="20"/>
          <w:u w:val="single"/>
        </w:rPr>
        <w:t>ES</w:t>
      </w:r>
      <w:bookmarkStart w:id="84" w:name="Note21"/>
      <w:bookmarkEnd w:id="84"/>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table identifies our related parties as of December 31, 2023, in accordance with </w:t>
      </w:r>
      <w:r>
        <w:rPr>
          <w:rFonts w:ascii="Times New Roman;serif" w:hAnsi="Times New Roman;serif"/>
          <w:b w:val="false"/>
          <w:i/>
          <w:sz w:val="20"/>
        </w:rPr>
        <w:t>ASC 850, Related Party Transactions</w:t>
      </w:r>
      <w:r>
        <w:rPr>
          <w:rFonts w:ascii="Times New Roman;serif" w:hAnsi="Times New Roman;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2420"/>
        <w:gridCol w:w="2135"/>
        <w:gridCol w:w="5650"/>
      </w:tblGrid>
      <w:tr>
        <w:trPr/>
        <w:tc>
          <w:tcPr>
            <w:tcW w:w="242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5650" w:type="dxa"/>
            <w:tcBorders/>
            <w:vAlign w:val="center"/>
          </w:tcPr>
          <w:p>
            <w:pPr>
              <w:pStyle w:val="TableContents"/>
              <w:bidi w:val="0"/>
              <w:spacing w:before="0" w:after="283"/>
              <w:jc w:val="left"/>
              <w:rPr>
                <w:sz w:val="4"/>
                <w:szCs w:val="4"/>
              </w:rPr>
            </w:pPr>
            <w:r>
              <w:rPr>
                <w:sz w:val="4"/>
                <w:szCs w:val="4"/>
              </w:rPr>
            </w:r>
          </w:p>
        </w:tc>
      </w:tr>
      <w:tr>
        <w:trPr/>
        <w:tc>
          <w:tcPr>
            <w:tcW w:w="2420"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Categories</w:t>
            </w:r>
          </w:p>
        </w:tc>
        <w:tc>
          <w:tcPr>
            <w:tcW w:w="2135"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Related Parties</w:t>
            </w:r>
          </w:p>
        </w:tc>
        <w:tc>
          <w:tcPr>
            <w:tcW w:w="5650"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Discussion Notes</w:t>
            </w:r>
          </w:p>
        </w:tc>
      </w:tr>
      <w:tr>
        <w:trPr/>
        <w:tc>
          <w:tcPr>
            <w:tcW w:w="2420" w:type="dxa"/>
            <w:tcBorders>
              <w:top w:val="single" w:sz="8" w:space="0" w:color="000000"/>
            </w:tcBorders>
            <w:shd w:fill="CCEEFF" w:val="clear"/>
            <w:tcMar>
              <w:top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Principal Owners and immediate families</w:t>
            </w:r>
          </w:p>
        </w:tc>
        <w:tc>
          <w:tcPr>
            <w:tcW w:w="2135" w:type="dxa"/>
            <w:tcBorders>
              <w:top w:val="single" w:sz="8" w:space="0" w:color="000000"/>
            </w:tcBorders>
            <w:shd w:fill="CCEEFF" w:val="clear"/>
            <w:tcMar>
              <w:top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Cotter Family’s Estate and Living Trust (controlling family)</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Cuban (above 10% voting ownership)</w:t>
            </w:r>
          </w:p>
        </w:tc>
        <w:tc>
          <w:tcPr>
            <w:tcW w:w="56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Key Executive Officers and immediate families</w:t>
            </w:r>
          </w:p>
        </w:tc>
        <w:tc>
          <w:tcPr>
            <w:tcW w:w="2135" w:type="dxa"/>
            <w:tcBorders/>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 xml:space="preserve">Ellen M. Cotter </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Margaret Cotter</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Gilbert Avanes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Andrzej J. Matyczynski</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S Craig Tompkins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Robert F. Smerling</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Douglas</w:t>
            </w:r>
          </w:p>
        </w:tc>
        <w:tc>
          <w:tcPr>
            <w:tcW w:w="5650" w:type="dxa"/>
            <w:tcBorders/>
            <w:vAlign w:val="center"/>
          </w:tcPr>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 xml:space="preserve">President and Chief Executive Officer </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Real Estate Development and Management (NY)</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Chief Financial Officer and Treasurer</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Global Operations</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General Counsel</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President – U.S. Cinemas</w:t>
            </w:r>
          </w:p>
          <w:p>
            <w:pPr>
              <w:pStyle w:val="TableContents"/>
              <w:bidi w:val="0"/>
              <w:spacing w:lineRule="auto" w:line="259" w:before="0" w:after="283"/>
              <w:ind w:left="360" w:right="0" w:hanging="360"/>
              <w:jc w:val="left"/>
              <w:rPr/>
            </w:pPr>
            <w:r>
              <w:rPr>
                <w:caps w:val="false"/>
                <w:smallCaps w:val="false"/>
              </w:rPr>
              <w:t></w:t>
            </w:r>
            <w:r>
              <w:rPr>
                <w:rFonts w:ascii="Times New Roman;serif" w:hAnsi="Times New Roman;serif"/>
                <w:b w:val="false"/>
                <w:i w:val="false"/>
                <w:caps w:val="false"/>
                <w:smallCaps w:val="false"/>
                <w:sz w:val="18"/>
              </w:rPr>
              <w:t>Managing Director, Australia and New Zealand</w:t>
            </w:r>
          </w:p>
        </w:tc>
      </w:tr>
      <w:tr>
        <w:trPr/>
        <w:tc>
          <w:tcPr>
            <w:tcW w:w="2420" w:type="dxa"/>
            <w:tcBorders/>
            <w:shd w:fill="CCEEFF" w:val="cle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Investments in Joint Ventures accounted for under equity method</w:t>
            </w:r>
          </w:p>
        </w:tc>
        <w:tc>
          <w:tcPr>
            <w:tcW w:w="2135" w:type="dxa"/>
            <w:tcBorders/>
            <w:shd w:fill="CCEEFF" w:val="cle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Rialto Cinemas</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Mt. Gravatt</w:t>
            </w:r>
          </w:p>
        </w:tc>
        <w:tc>
          <w:tcPr>
            <w:tcW w:w="565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Refer to </w:t>
            </w:r>
            <w:r>
              <w:rPr>
                <w:rFonts w:ascii="Times New Roman;serif" w:hAnsi="Times New Roman;serif"/>
                <w:b w:val="false"/>
                <w:i/>
                <w:sz w:val="18"/>
              </w:rPr>
              <w:t>Note 8 – Investment in Joint Ventures</w:t>
            </w:r>
          </w:p>
        </w:tc>
      </w:tr>
      <w:tr>
        <w:trPr/>
        <w:tc>
          <w:tcPr>
            <w:tcW w:w="2420" w:type="dxa"/>
            <w:tcBorders>
              <w:bottom w:val="single" w:sz="12" w:space="0" w:color="000000"/>
            </w:tcBorders>
            <w:tcMar>
              <w:bottom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Other Affiliates</w:t>
            </w:r>
          </w:p>
        </w:tc>
        <w:tc>
          <w:tcPr>
            <w:tcW w:w="2135" w:type="dxa"/>
            <w:tcBorders>
              <w:bottom w:val="single" w:sz="12" w:space="0" w:color="000000"/>
            </w:tcBorders>
            <w:tcMar>
              <w:bottom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Entities under common control</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All subsidiaries of RDI</w:t>
            </w:r>
          </w:p>
        </w:tc>
        <w:tc>
          <w:tcPr>
            <w:tcW w:w="5650" w:type="dxa"/>
            <w:tcBorders>
              <w:bottom w:val="single" w:sz="12" w:space="0" w:color="000000"/>
            </w:tcBorders>
            <w:tcMar>
              <w:bottom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Refer to </w:t>
            </w:r>
            <w:hyperlink r:id="rId21">
              <w:r>
                <w:rPr>
                  <w:rStyle w:val="InternetLink"/>
                  <w:rFonts w:ascii="Times New Roman;serif" w:hAnsi="Times New Roman;serif"/>
                  <w:b/>
                  <w:i w:val="false"/>
                  <w:caps w:val="false"/>
                  <w:smallCaps w:val="false"/>
                  <w:color w:val="0000FF"/>
                  <w:sz w:val="18"/>
                  <w:u w:val="single"/>
                </w:rPr>
                <w:t>Exhibit 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of this 2023 Form 10-K filing for the complete list of subsidiaries. Refer below for further discussions on certain key transactions with related parties, including those with minority interests.</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Sutton Hill Capital</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2001, we entered into a transaction with Sutton Hill Capital, LLC (“SHC”) regarding the master leasing, with an option to purchase, of certain cinemas located in Manhattan including our Village East and Cinemas 1,2,3 theaters. In connection with that transaction, we also agreed (i) to lend certain amounts to SHC, to provide liquidity in its investment, pending our determination whether or not to exercise our option to purchase and (ii) to manage the 86</w:t>
      </w:r>
      <w:r>
        <w:rPr>
          <w:rFonts w:ascii="Times New Roman;serif" w:hAnsi="Times New Roman;serif"/>
          <w:b w:val="false"/>
          <w:i w:val="false"/>
          <w:caps w:val="false"/>
          <w:smallCaps w:val="false"/>
          <w:position w:val="7"/>
          <w:sz w:val="16"/>
          <w:sz w:val="20"/>
        </w:rPr>
        <w:t>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Street Cinema on a fee basis. SHC is a limited liability company owned in equal shares by the Cotter Estate and a third party.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over the years, two of the cinemas subject to the master leasing agreement have been redeveloped and one (the Cinemas 1,2,3 discussed below) has been acquired. The Village East is the only cinema that remains subject to this master lease.</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Village East</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June 29, 2010, we agreed to extend our existing lease from SHC of the Village East Cinema by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a new termination date of June 30, 2020. This amendment was reviewed and approved by our Audit and Conflicts Committee.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Reading may purchase the cinema ground lease for $5.9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the end of the lease term. Additionally, the lease has a put option pursuant to which SHC may require our Company to purchase all or a portion of SHC’s interest in the existing cinema lease and the cinema ground lease at any time between July 1, 2013 and December 4, 2019. Because our late Chairman, Chief Executive Officer, and controlling stockholder, Mr. James J. Cotter, Sr. was also the managing member of SHC, RDI and SHC are considered entities under common control. As a result, we have recorded the Village East Cinema building as a property asset of $4.7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on our balance sheet based on the cost carry-over basis from an entity under common control with a corresponding lease liability of $0.0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presented under other liabilities which accreted up to the $5.9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liability through July 1, 2013.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28, 2019, we exercised our option to acquire the ground lessee’s interest. It was initially agreed that the transaction would close on or about May 31, 2021. We have at various times extended the close of the option to its current date of on or before July 1, 2024.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each of the years 2021 to 2023 we were charged rent of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this cinema. In 2021 we paid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SHC, representing our 2021 obligation and $442,000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deferred obligation from 2020. We paid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full in 2022. In 2023, we paid $442,000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deferred the balance.</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Cinemas 1, 2, 3</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2005, we acquired (i) from a third party the fee interest underlying the Cinemas 1,2,3 and (ii) from SHC its interest in the ground lease estate underlying and the improvements constituting the Cinemas 1,2,3. The ground lease estate and the improvements acquired from SHC were originally a part of the master lease transaction, discussed above. In connection with that transaction, we granted to SHC an option to acquire at cost a 25% interest in the special purpose entity (Sutton Hill Properties, LLC) formed to acquire these fee, leasehold and improvements interests. On June 28, 2007, SHC exercised this option, paying $3.0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assuming a proportionate share of SHP’s liabilities. At the time of the option exercise and the closing of the acquisition of the 25% interest, SHP had debt of $26.9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including a $2.9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non-interest-bearing intercompany loan from the Company. Since the acquisition by SHC of its 25% interest, SHP has covered its operating costs and debt service through cash flow from the Cinema 1,2,3, (ii) borrowings from third parties, and (iii) pro-rata contributions from the members.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February 2015, we and SHP amended the management agreement dated as of June 27, 2007 relating to our management of the Cinemas 1,2,3. The amendment, which was retroactive to December 1, 2014, memorialized our undertaking to SHP to fund up to $750,000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“Renovation Funding Amount”) of renovations to Cinemas 1,2,3. In consideration of our funding of the renovations, our annual management fee was increased commencing January 1, 2015 by an amount equivalent to 100% of any incremental positive cash flow of Cinemas 1,2,3 over the average annual positive cash flow of the Cinemas 1,2,3 over the three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period ended December 31, 2014 (not to exceed a cumulative aggregate amount equal to the Renovation Funding Amount), plus a 15% annual cash-on-cash return on the balance outstanding from time to time of the Renovation Funding Amount, payable at the time of the payment of the annual management fee (the “Improvements Fee”). Under the amended management agreement, we retained ownership of (and any right to depreciate) any furniture, fixtures and equipment purchased by us in connection with such renovation and had the right (but not the obligation) to remove all such furniture, fixtures and equipment (at our own cost and expense) from the Cinemas 1,2,3 upon the termination of the management agreement. The amendment also provided that, during the term of the management agreement, SHP would be responsible for the cost of repair and maintenance of the renovations. This amendment was approved by SHC and by the Audit and Conflicts Committee of our Board of Directors.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November 6, 2020, we and SHP further amended the management agreement to terminate the Investments Fee in consideration of a one time payment to us of $112,500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 reimbursement in full of the Renovation Funding Amount, and transferred to SHC all of our ownership rights in the renovation assets. This amendment was approved by SHC and by the Audit and Conflicts Committee of our Board of Directors.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31, 2016, we refinanced the debt of Cinemas 1,2,3, pursuant to a $20.0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from Valley National Bank. Refer to </w:t>
      </w:r>
      <w:r>
        <w:rPr>
          <w:rFonts w:ascii="Times New Roman;serif" w:hAnsi="Times New Roman;serif"/>
          <w:b w:val="false"/>
          <w:i/>
          <w:sz w:val="20"/>
        </w:rPr>
        <w:t>Note 12 – 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on this loan transaction and its maturity. The proceeds from the loan were used to retire an existing $15.0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first mortgage loan and the above-referenced $2.9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intercompany loan, with the remainder to be used for working capital and to cover cash flow shortfalls. Since the cash flow from the Cinemas 1,2,3 is not sufficient to service this loan, it is anticipated that the members of SHP (our Company and SHC) will ultimately need to make periodic contributions to the capital of SHP in order to avoid dilution of their respective interests in SHP. In 2016, our Company and SHC funded capital calls of $506,000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$169,000, respectively.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capital contributions were called or made in 2021, 2022 or 2023.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reviewed and approved by the Audit and Conflicts Committee of our Board of Directors.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October 1, 2020, SHP made a distribution of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paying $750,000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our Company and $250,000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SHC. In 2022, we extended a working capital loan to SHP, the balance of which was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at December 31, 2023. Interest is charged at the rate we receive on our Bank of America facility. The loan was approved by the Audit and Conflicts Committee of our Board of Directors.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Live Theatre Play Investment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our Officers and Directors may invest in plays that lease our live theatres. The play STOMP played in our Orpheum Theatre since prior to the time we acquired the theatre in 2001, until its final show on January 8, 2023. The Cotter Estate and a third party own an approximately 5% interest in that play, an interest that they have held since prior to our acquisition of the theatre.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2012, Mr. James J. Cotter, Sr., our then Chairman, Chief Executive Officer and controlling stockholder, contributed $2.5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cash and $255,000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of his 2011 bonus as his 50% share of the purchase price of a land parcel in Coachella, California and to cover his 50% share of certain costs associated with that acquisition. The property was held in Shadow View Land and Farming, LLC, in which the Cotter Estate owns a 50% interest and was held debt free and operating and holding costs were covered by member contributions. The Audit and Conflicts Committee of the Board of Directors was charged with responsibility for oversight of our management of Shadow View. As discussed at </w:t>
      </w:r>
      <w:r>
        <w:rPr>
          <w:rFonts w:ascii="Times New Roman;serif" w:hAnsi="Times New Roman;serif"/>
          <w:b w:val="false"/>
          <w:i/>
          <w:sz w:val="20"/>
        </w:rPr>
        <w:t>Note 5 –</w:t>
      </w:r>
      <w:r>
        <w:rPr>
          <w:rFonts w:ascii="Times New Roman;serif" w:hAnsi="Times New Roman;serif"/>
          <w:caps w:val="false"/>
          <w:smallCaps w:val="false"/>
          <w:sz w:val="20"/>
        </w:rPr>
        <w:t xml:space="preserve"> </w:t>
      </w:r>
      <w:r>
        <w:rPr>
          <w:rFonts w:ascii="Times New Roman;serif" w:hAnsi="Times New Roman;serif"/>
          <w:b w:val="false"/>
          <w:i/>
          <w:sz w:val="20"/>
        </w:rPr>
        <w:t>Real Estate Transactions</w:t>
      </w:r>
      <w:r>
        <w:rPr>
          <w:rFonts w:ascii="Times New Roman;serif" w:hAnsi="Times New Roman;serif"/>
          <w:b w:val="false"/>
          <w:i w:val="false"/>
          <w:caps w:val="false"/>
          <w:smallCaps w:val="false"/>
          <w:sz w:val="20"/>
        </w:rPr>
        <w:t>, the land held by Shadow View Land and Farming LLC was sold on March 5, 2021.  </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i w:val="false"/>
          <w:caps w:val="false"/>
          <w:smallCaps w:val="false"/>
          <w:sz w:val="20"/>
          <w:u w:val="single"/>
        </w:rPr>
        <w:t>NOTE 21 – SUBSEQUENT EVEN</w:t>
      </w:r>
      <w:bookmarkStart w:id="85" w:name="FSNote22"/>
      <w:bookmarkEnd w:id="85"/>
      <w:r>
        <w:rPr>
          <w:rFonts w:ascii="Times New Roman;serif" w:hAnsi="Times New Roman;serif"/>
          <w:b/>
          <w:i w:val="false"/>
          <w:caps w:val="false"/>
          <w:smallCaps w:val="false"/>
          <w:sz w:val="20"/>
          <w:u w:val="single"/>
        </w:rPr>
        <w:t>TS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January 26, 2024, we extended our Santander loan for six months to June 1, 2024, while a full refinancing is pursued.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On February 23, 2024, we sold our Culver City property for $10.0 million. See </w:t>
      </w:r>
      <w:r>
        <w:rPr>
          <w:rFonts w:ascii="Times New Roman;serif" w:hAnsi="Times New Roman;serif"/>
          <w:b w:val="false"/>
          <w:i/>
          <w:sz w:val="20"/>
        </w:rPr>
        <w:t>Note 5 – Real Estate Transactions</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On March 27, 2024, we obtained a waiver and amendment for our Bank of America facility. See </w:t>
      </w:r>
      <w:r>
        <w:rPr>
          <w:rFonts w:ascii="Times New Roman;serif" w:hAnsi="Times New Roman;serif"/>
          <w:b w:val="false"/>
          <w:i/>
          <w:sz w:val="20"/>
        </w:rPr>
        <w:t>Note 12 – Borrowings</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sz w:val="22"/>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2"/>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Schedule II – Valuation and Qualifying Accou</w:t>
      </w:r>
      <w:bookmarkStart w:id="86" w:name="ScheduleII"/>
      <w:bookmarkEnd w:id="86"/>
      <w:r>
        <w:rPr>
          <w:rFonts w:ascii="Times New Roman;serif" w:hAnsi="Times New Roman;serif"/>
          <w:b/>
          <w:i w:val="false"/>
          <w:caps w:val="false"/>
          <w:smallCaps w:val="false"/>
          <w:sz w:val="24"/>
          <w:u w:val="single"/>
        </w:rPr>
        <w:t>nts</w:t>
      </w:r>
    </w:p>
    <w:tbl>
      <w:tblPr>
        <w:tblW w:w="6932" w:type="dxa"/>
        <w:jc w:val="left"/>
        <w:tblInd w:w="0" w:type="dxa"/>
        <w:tblLayout w:type="fixed"/>
        <w:tblCellMar>
          <w:top w:w="0" w:type="dxa"/>
          <w:left w:w="0" w:type="dxa"/>
          <w:bottom w:w="0" w:type="dxa"/>
          <w:right w:w="0" w:type="dxa"/>
        </w:tblCellMar>
      </w:tblPr>
      <w:tblGrid>
        <w:gridCol w:w="2836"/>
        <w:gridCol w:w="109"/>
        <w:gridCol w:w="211"/>
        <w:gridCol w:w="748"/>
        <w:gridCol w:w="109"/>
        <w:gridCol w:w="211"/>
        <w:gridCol w:w="643"/>
        <w:gridCol w:w="109"/>
        <w:gridCol w:w="109"/>
        <w:gridCol w:w="643"/>
        <w:gridCol w:w="109"/>
        <w:gridCol w:w="230"/>
        <w:gridCol w:w="865"/>
      </w:tblGrid>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‎January 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Increase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Decrease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‎December 31</w:t>
            </w:r>
          </w:p>
        </w:tc>
      </w:tr>
      <w:tr>
        <w:trPr/>
        <w:tc>
          <w:tcPr>
            <w:tcW w:w="283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Allowance for doubtful accounts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352</w:t>
            </w:r>
          </w:p>
        </w:tc>
      </w:tr>
      <w:tr>
        <w:trPr/>
        <w:tc>
          <w:tcPr>
            <w:tcW w:w="28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w:t>
            </w:r>
          </w:p>
        </w:tc>
      </w:tr>
      <w:tr>
        <w:trPr/>
        <w:tc>
          <w:tcPr>
            <w:tcW w:w="283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Tax valuation allowance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59,087</w:t>
            </w:r>
          </w:p>
        </w:tc>
      </w:tr>
      <w:tr>
        <w:trPr/>
        <w:tc>
          <w:tcPr>
            <w:tcW w:w="28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50,778</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40,894</w:t>
            </w:r>
          </w:p>
        </w:tc>
      </w:tr>
    </w:tbl>
    <w:p>
      <w:pPr>
        <w:pStyle w:val="TextBody"/>
        <w:bidi w:val="0"/>
        <w:spacing w:lineRule="auto" w:line="259"/>
        <w:jc w:val="left"/>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 – Change in and Disagreements with Accountants on Accounting and Financial Disclosu</w:t>
      </w:r>
      <w:bookmarkStart w:id="87" w:name="Part2Item9"/>
      <w:bookmarkEnd w:id="87"/>
      <w:r>
        <w:rPr>
          <w:rFonts w:ascii="Times New Roman;serif" w:hAnsi="Times New Roman;serif"/>
          <w:b/>
          <w:i w:val="false"/>
          <w:caps w:val="false"/>
          <w:smallCaps w:val="false"/>
          <w:sz w:val="24"/>
          <w:u w:val="single"/>
        </w:rPr>
        <w:t>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9A – Controls and Procedur</w:t>
      </w:r>
      <w:bookmarkStart w:id="88" w:name="Part2Item9A"/>
      <w:bookmarkEnd w:id="88"/>
      <w:r>
        <w:rPr>
          <w:rFonts w:ascii="Times New Roman;serif" w:hAnsi="Times New Roman;serif"/>
          <w:b/>
          <w:i w:val="false"/>
          <w:caps w:val="false"/>
          <w:smallCaps w:val="false"/>
          <w:sz w:val="24"/>
          <w:u w:val="single"/>
        </w:rPr>
        <w:t>es</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 and Attestation of Registered Public Accounting Firm</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Our management’s report on internal control over financial reporting and our registered public accounting firm’s audit report on the effectiveness of our internal control over financial reporting are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i w:val="false"/>
          <w:caps w:val="false"/>
          <w:smallCaps w:val="false"/>
          <w:color w:val="000000"/>
          <w:sz w:val="20"/>
        </w:rPr>
        <w:t>) of this Form 10-K.</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effective as required by the Securities Exchange Act Rule 13a-15I and 15d – 15I as of the end of the period covered by this report.</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Controls Over Financial Reporting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 </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59"/>
        <w:jc w:val="left"/>
        <w:rPr>
          <w:caps w:val="false"/>
          <w:smallCaps w:val="false"/>
          <w:color w:val="000000"/>
        </w:rPr>
      </w:pPr>
      <w:r>
        <w:rPr>
          <w:caps w:val="false"/>
          <w:smallCaps w:val="false"/>
          <w:color w:val="000000"/>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4"/>
          <w:u w:val="single"/>
        </w:rPr>
      </w:pPr>
      <w:bookmarkStart w:id="89" w:name="Otherinformation"/>
      <w:bookmarkEnd w:id="89"/>
      <w:r>
        <w:rPr>
          <w:rFonts w:ascii="Times New Roman;serif" w:hAnsi="Times New Roman;serif"/>
          <w:b/>
          <w:i w:val="false"/>
          <w:caps w:val="false"/>
          <w:smallCaps w:val="false"/>
          <w:sz w:val="24"/>
          <w:u w:val="single"/>
        </w:rPr>
        <w:t>Item 9B – Other Information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t>During the quarter ended December 31, 2023, no director or officer of the Company adopted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or terminated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 “Rule 10b5-1 trading arrangement” or a “no-Rule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10b5-1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trading arrangement” (in each case, as defined in Item 408 of Regulation S-K). </w:t>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PART I</w:t>
      </w:r>
      <w:bookmarkStart w:id="90" w:name="Part3"/>
      <w:bookmarkEnd w:id="90"/>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Items 10, 11, 12, 13 and 14</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Information required by Part III (Items 10, 11, 12, 13 and 14) of this Form 10-K is hereby incorporated by reference from Reading International, Inc.’s definitive Proxy Statement for its 2024 Annual Meeting of Stockholders, which the Company intends to be filed with the Securities and Exchange Commission, pursuant to Regulation 14A, not later than 120 days after the end of the fiscal year.</w:t>
      </w:r>
      <w:r>
        <w:rPr>
          <w:rFonts w:ascii="Times New Roman;serif" w:hAnsi="Times New Roman;serif"/>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91" w:name="Part4"/>
      <w:bookmarkEnd w:id="91"/>
      <w:r>
        <w:rPr>
          <w:rFonts w:ascii="Times New Roman;serif" w:hAnsi="Times New Roman;serif"/>
          <w:b/>
          <w:i w:val="false"/>
          <w:caps w:val="false"/>
          <w:smallCaps w:val="false"/>
          <w:sz w:val="28"/>
          <w:u w:val="single"/>
        </w:rPr>
        <w:t>IV</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15 – Exhibits, Financial Statement Schedul</w:t>
      </w:r>
      <w:bookmarkStart w:id="92" w:name="Part4Item15"/>
      <w:bookmarkEnd w:id="92"/>
      <w:r>
        <w:rPr>
          <w:rFonts w:ascii="Times New Roman;serif" w:hAnsi="Times New Roman;serif"/>
          <w:b/>
          <w:i w:val="false"/>
          <w:caps w:val="false"/>
          <w:smallCaps w:val="false"/>
          <w:sz w:val="24"/>
          <w:u w:val="single"/>
        </w:rPr>
        <w:t>es</w:t>
      </w:r>
    </w:p>
    <w:p>
      <w:pPr>
        <w:pStyle w:val="TextBody"/>
        <w:bidi w:val="0"/>
        <w:spacing w:lineRule="auto" w:line="259"/>
        <w:ind w:left="634"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following documents are filed as a part of this report:</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sz w:val="20"/>
        </w:rPr>
        <w:t xml:space="preserve"> </w:t>
      </w:r>
      <w:r>
        <w:rPr>
          <w:rFonts w:ascii="Times New Roman;serif" w:hAnsi="Times New Roman;serif"/>
          <w:b w:val="false"/>
          <w:i/>
          <w:sz w:val="20"/>
        </w:rPr>
        <w:t>Financial Statements</w:t>
      </w:r>
    </w:p>
    <w:p>
      <w:pPr>
        <w:pStyle w:val="TextBody"/>
        <w:bidi w:val="0"/>
        <w:spacing w:lineRule="auto" w:line="259"/>
        <w:ind w:left="634"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financial statements are filed as part of Part II, Item 8 –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this Annual Report on Form 10-K, as summarized below:</w:t>
      </w:r>
    </w:p>
    <w:tbl>
      <w:tblPr>
        <w:tblW w:w="8597" w:type="dxa"/>
        <w:jc w:val="center"/>
        <w:tblInd w:w="0" w:type="dxa"/>
        <w:tblLayout w:type="fixed"/>
        <w:tblCellMar>
          <w:top w:w="0" w:type="dxa"/>
          <w:left w:w="0" w:type="dxa"/>
          <w:bottom w:w="0" w:type="dxa"/>
          <w:right w:w="0" w:type="dxa"/>
        </w:tblCellMar>
      </w:tblPr>
      <w:tblGrid>
        <w:gridCol w:w="8086"/>
        <w:gridCol w:w="511"/>
      </w:tblGrid>
      <w:tr>
        <w:trPr/>
        <w:tc>
          <w:tcPr>
            <w:tcW w:w="80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08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vAlign w:val="center"/>
          </w:tcPr>
          <w:p>
            <w:pPr>
              <w:pStyle w:val="TableContents"/>
              <w:bidi w:val="0"/>
              <w:spacing w:lineRule="auto" w:line="259" w:before="0" w:after="283"/>
              <w:jc w:val="left"/>
              <w:rPr/>
            </w:pPr>
            <w:hyperlink w:anchor="AuditorsReportFS">
              <w:r>
                <w:rPr>
                  <w:rStyle w:val="InternetLink"/>
                  <w:rFonts w:ascii="Times New Roman;serif" w:hAnsi="Times New Roman;serif"/>
                  <w:b w:val="false"/>
                  <w:i w:val="false"/>
                  <w:caps w:val="false"/>
                  <w:smallCaps w:val="false"/>
                  <w:color w:val="0000FF"/>
                  <w:sz w:val="20"/>
                  <w:u w:val="single"/>
                </w:rPr>
                <w:t>Report of Independent Registered Public Accounting Firm (Consolidated Financial Statements)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2023 and 2022</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for the Three Years Ended December 31,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8086" w:type="dxa"/>
            <w:tcBorders/>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bl>
    <w:p>
      <w:pPr>
        <w:pStyle w:val="TextBody"/>
        <w:bidi w:val="0"/>
        <w:spacing w:lineRule="auto" w:line="259"/>
        <w:ind w:left="360" w:right="0" w:hanging="0"/>
        <w:jc w:val="left"/>
        <w:rPr>
          <w:rFonts w:ascii="Times New Roman;serif" w:hAnsi="Times New Roman;serif"/>
          <w:b w:val="false"/>
          <w:i/>
          <w:sz w:val="20"/>
        </w:rPr>
      </w:pPr>
      <w:r>
        <w:rPr>
          <w:rFonts w:ascii="Times New Roman;serif" w:hAnsi="Times New Roman;serif"/>
          <w:b w:val="false"/>
          <w:i/>
          <w:sz w:val="20"/>
        </w:rPr>
        <w:t>2.  Financial Statements and Schedules for the years ended December 31, 2023, 2022, and 2021</w:t>
      </w:r>
    </w:p>
    <w:tbl>
      <w:tblPr>
        <w:tblW w:w="4637" w:type="dxa"/>
        <w:jc w:val="center"/>
        <w:tblInd w:w="0" w:type="dxa"/>
        <w:tblLayout w:type="fixed"/>
        <w:tblCellMar>
          <w:top w:w="0" w:type="dxa"/>
          <w:left w:w="0" w:type="dxa"/>
          <w:bottom w:w="0" w:type="dxa"/>
          <w:right w:w="0" w:type="dxa"/>
        </w:tblCellMar>
      </w:tblPr>
      <w:tblGrid>
        <w:gridCol w:w="4126"/>
        <w:gridCol w:w="511"/>
      </w:tblGrid>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126" w:type="dxa"/>
            <w:tcBorders/>
            <w:shd w:fill="CCEEFF"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color w:val="0000FF"/>
                  <w:sz w:val="20"/>
                  <w:u w:val="single"/>
                </w:rPr>
                <w:t>Schedule II – Valuation and Qualifying Accounts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bl>
    <w:p>
      <w:pPr>
        <w:pStyle w:val="TextBody"/>
        <w:bidi w:val="0"/>
        <w:spacing w:lineRule="auto" w:line="259"/>
        <w:ind w:left="360" w:right="230" w:hanging="0"/>
        <w:jc w:val="left"/>
        <w:rPr/>
      </w:pPr>
      <w:r>
        <w:rPr>
          <w:rFonts w:ascii="Times New Roman;serif" w:hAnsi="Times New Roman;serif"/>
          <w:b w:val="false"/>
          <w:i w:val="false"/>
          <w:caps w:val="false"/>
          <w:smallCaps w:val="false"/>
          <w:sz w:val="20"/>
        </w:rPr>
        <w:t>3.  </w:t>
      </w:r>
      <w:hyperlink w:anchor="Exhibits">
        <w:r>
          <w:rPr>
            <w:rStyle w:val="InternetLink"/>
            <w:rFonts w:ascii="Times New Roman;serif" w:hAnsi="Times New Roman;serif"/>
            <w:b w:val="false"/>
            <w:i/>
            <w:strike w:val="false"/>
            <w:dstrike w:val="false"/>
            <w:color w:val="0000FF"/>
            <w:sz w:val="20"/>
            <w:u w:val="single"/>
            <w:effect w:val="none"/>
          </w:rPr>
          <w:t>Exhibits</w:t>
        </w:r>
      </w:hyperlink>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  Exhibits</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3. Above.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  Financial Statement Schedule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2. Above.</w:t>
      </w:r>
    </w:p>
    <w:p>
      <w:pPr>
        <w:pStyle w:val="TextBody"/>
        <w:bidi w:val="0"/>
        <w:spacing w:lineRule="auto" w:line="259"/>
        <w:ind w:left="360" w:right="0" w:hanging="0"/>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360" w:right="0" w:hanging="0"/>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EXHIBITS</w:t>
      </w:r>
      <w:bookmarkStart w:id="93" w:name="Exhibits"/>
      <w:bookmarkEnd w:id="93"/>
    </w:p>
    <w:tbl>
      <w:tblPr>
        <w:tblW w:w="10205" w:type="dxa"/>
        <w:jc w:val="center"/>
        <w:tblInd w:w="0" w:type="dxa"/>
        <w:tblLayout w:type="fixed"/>
        <w:tblCellMar>
          <w:top w:w="0" w:type="dxa"/>
          <w:left w:w="0" w:type="dxa"/>
          <w:bottom w:w="0" w:type="dxa"/>
          <w:right w:w="0" w:type="dxa"/>
        </w:tblCellMar>
      </w:tblPr>
      <w:tblGrid>
        <w:gridCol w:w="646"/>
        <w:gridCol w:w="4926"/>
        <w:gridCol w:w="463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4926" w:type="dxa"/>
            <w:tcBorders/>
            <w:shd w:fill="FFFFFF" w:val="clear"/>
            <w:vAlign w:val="center"/>
          </w:tcPr>
          <w:p>
            <w:pPr>
              <w:pStyle w:val="TableContents"/>
              <w:bidi w:val="0"/>
              <w:spacing w:before="0" w:after="283"/>
              <w:jc w:val="left"/>
              <w:rPr>
                <w:sz w:val="4"/>
                <w:szCs w:val="4"/>
              </w:rPr>
            </w:pPr>
            <w:r>
              <w:rPr>
                <w:sz w:val="4"/>
                <w:szCs w:val="4"/>
              </w:rPr>
            </w:r>
          </w:p>
        </w:tc>
        <w:tc>
          <w:tcPr>
            <w:tcW w:w="463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4926" w:type="dxa"/>
            <w:tcBorders/>
            <w:shd w:fill="FFFFFF" w:val="clear"/>
            <w:vAlign w:val="center"/>
          </w:tcPr>
          <w:p>
            <w:pPr>
              <w:pStyle w:val="TableContents"/>
              <w:bidi w:val="0"/>
              <w:spacing w:before="0" w:after="283"/>
              <w:jc w:val="left"/>
              <w:rPr>
                <w:sz w:val="4"/>
                <w:szCs w:val="4"/>
              </w:rPr>
            </w:pPr>
            <w:r>
              <w:rPr>
                <w:sz w:val="4"/>
                <w:szCs w:val="4"/>
              </w:rPr>
            </w:r>
          </w:p>
        </w:tc>
        <w:tc>
          <w:tcPr>
            <w:tcW w:w="463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w:t>
              <w:br/>
              <w:t>‎No.</w:t>
            </w:r>
          </w:p>
        </w:tc>
        <w:tc>
          <w:tcPr>
            <w:tcW w:w="492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4633"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Links for Exhibits Incorporated by Reference</w:t>
            </w:r>
          </w:p>
        </w:tc>
      </w:tr>
      <w:tr>
        <w:trPr/>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w:t>
            </w:r>
          </w:p>
        </w:tc>
        <w:tc>
          <w:tcPr>
            <w:tcW w:w="49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Articles of Incorporation of Reading International, Inc., a Nevada corporation, effective as of August 6, 2014</w:t>
            </w:r>
          </w:p>
        </w:tc>
        <w:tc>
          <w:tcPr>
            <w:tcW w:w="4633" w:type="dxa"/>
            <w:tcBorders>
              <w:top w:val="single" w:sz="12" w:space="0" w:color="000000"/>
            </w:tcBorders>
            <w:shd w:fill="CCEEFF" w:val="clear"/>
            <w:tcMar>
              <w:top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2">
              <w:r>
                <w:rPr>
                  <w:rStyle w:val="InternetLink"/>
                  <w:rFonts w:ascii="Times New Roman;serif" w:hAnsi="Times New Roman;serif"/>
                  <w:b/>
                  <w:i w:val="false"/>
                  <w:caps w:val="false"/>
                  <w:smallCaps w:val="false"/>
                  <w:color w:val="0000FF"/>
                  <w:sz w:val="18"/>
                  <w:u w:val="single"/>
                </w:rPr>
                <w:t>Exhibit 3.1 to the Company’s Annual Report on Form 10-K for the year ended December 31, 2015</w:t>
              </w:r>
            </w:hyperlink>
            <w:r>
              <w:rPr>
                <w:rFonts w:ascii="Times New Roman;serif" w:hAnsi="Times New Roman;serif"/>
                <w:b w:val="false"/>
                <w:i w:val="false"/>
                <w:caps w:val="false"/>
                <w:smallCaps w:val="false"/>
                <w:sz w:val="18"/>
              </w:rPr>
              <w:t>, filed on April 29, 2016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Amended and Restated Bylaws of Reading International, Inc., a Nevada corporation, effective as of November 7, 2017</w:t>
            </w:r>
            <w:r>
              <w:rPr>
                <w:rFonts w:ascii="Times New Roman;serif" w:hAnsi="Times New Roman;serif"/>
                <w:b w:val="false"/>
                <w:i w:val="false"/>
                <w:caps w:val="false"/>
                <w:smallCaps w:val="false"/>
                <w:color w:val="000000"/>
                <w:position w:val="6"/>
                <w:sz w:val="14"/>
                <w:sz w:val="18"/>
              </w:rPr>
              <w:t>(1)</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3">
              <w:r>
                <w:rPr>
                  <w:rStyle w:val="InternetLink"/>
                  <w:rFonts w:ascii="Times New Roman;serif" w:hAnsi="Times New Roman;serif"/>
                  <w:b/>
                  <w:i w:val="false"/>
                  <w:caps w:val="false"/>
                  <w:smallCaps w:val="false"/>
                  <w:color w:val="0000FF"/>
                  <w:sz w:val="18"/>
                  <w:u w:val="single"/>
                </w:rPr>
                <w:t>Exhibit 3.2 to the Company’s Annual Report on Form 10-K for the year ended December 31, 2017</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2018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Preferred Securities Certificate evidencing the preferred securities of Reading International Trust I</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4">
              <w:r>
                <w:rPr>
                  <w:rStyle w:val="InternetLink"/>
                  <w:rFonts w:ascii="Times New Roman;serif" w:hAnsi="Times New Roman;serif"/>
                  <w:b/>
                  <w:i w:val="false"/>
                  <w:caps w:val="false"/>
                  <w:smallCaps w:val="false"/>
                  <w:color w:val="0000FF"/>
                  <w:sz w:val="18"/>
                  <w:u w:val="single"/>
                </w:rPr>
                <w:t>Exhibit 4.1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Common Securities Certificate evidencing common securities of Reading International Trust I</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5">
              <w:r>
                <w:rPr>
                  <w:rStyle w:val="InternetLink"/>
                  <w:rFonts w:ascii="Times New Roman;serif" w:hAnsi="Times New Roman;serif"/>
                  <w:b/>
                  <w:i w:val="false"/>
                  <w:caps w:val="false"/>
                  <w:smallCaps w:val="false"/>
                  <w:color w:val="0000FF"/>
                  <w:sz w:val="18"/>
                  <w:u w:val="single"/>
                </w:rPr>
                <w:t>Exhibit 4.2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Reading International, Inc. and Reading New Zealand, Limited, Junior Subordinated Note due 2027</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6">
              <w:r>
                <w:rPr>
                  <w:rStyle w:val="InternetLink"/>
                  <w:rFonts w:ascii="Times New Roman;serif" w:hAnsi="Times New Roman;serif"/>
                  <w:b/>
                  <w:i w:val="false"/>
                  <w:caps w:val="false"/>
                  <w:smallCaps w:val="false"/>
                  <w:color w:val="0000FF"/>
                  <w:sz w:val="18"/>
                  <w:u w:val="single"/>
                </w:rPr>
                <w:t>Exhibit 4.3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Indenture among Reading International, Inc., Reading New Zealand Limited, and Wells Fargo Bank, N.A., as indenture trustee.</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7">
              <w:r>
                <w:rPr>
                  <w:rStyle w:val="InternetLink"/>
                  <w:rFonts w:ascii="Times New Roman;serif" w:hAnsi="Times New Roman;serif"/>
                  <w:b/>
                  <w:i w:val="false"/>
                  <w:caps w:val="false"/>
                  <w:smallCaps w:val="false"/>
                  <w:color w:val="0000FF"/>
                  <w:sz w:val="18"/>
                  <w:u w:val="single"/>
                </w:rPr>
                <w:t>Exhibit 10.4 to the Company’s report on Form 8-K dated February 5,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Indenture</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8">
              <w:r>
                <w:rPr>
                  <w:rStyle w:val="InternetLink"/>
                  <w:rFonts w:ascii="Times New Roman;serif" w:hAnsi="Times New Roman;serif"/>
                  <w:b/>
                  <w:i w:val="false"/>
                  <w:caps w:val="false"/>
                  <w:smallCaps w:val="false"/>
                  <w:color w:val="0000FF"/>
                  <w:sz w:val="18"/>
                  <w:u w:val="single"/>
                </w:rPr>
                <w:t>Exhibit 4.4 to the Company’s report on Form S-3 on October 20, 2009</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Description of Registrant’s Securities Registered Pursuant to Section 12 of the Securities Exchange Act of 1934</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9">
              <w:r>
                <w:rPr>
                  <w:rStyle w:val="InternetLink"/>
                  <w:rFonts w:ascii="Times New Roman;serif" w:hAnsi="Times New Roman;serif"/>
                  <w:b/>
                  <w:i w:val="false"/>
                  <w:caps w:val="false"/>
                  <w:smallCaps w:val="false"/>
                  <w:color w:val="0000FF"/>
                  <w:sz w:val="18"/>
                  <w:u w:val="single"/>
                </w:rPr>
                <w:t>Exhibit 4.6 to the Company’s Annual Report on Form 10-K for the year ended December 31, 2021</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Restated 2010 Stock Incentive Plan, as of November 7, 2017</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0">
              <w:r>
                <w:rPr>
                  <w:rStyle w:val="InternetLink"/>
                  <w:rFonts w:ascii="Times New Roman;serif" w:hAnsi="Times New Roman;serif"/>
                  <w:b/>
                  <w:i w:val="false"/>
                  <w:caps w:val="false"/>
                  <w:smallCaps w:val="false"/>
                  <w:color w:val="0000FF"/>
                  <w:sz w:val="18"/>
                  <w:u w:val="single"/>
                </w:rPr>
                <w:t>Exhibit 10.1 to the Company’s Annual Report on Form 10-K for the year ended December 31, 2017</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2018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Award forms under the 2010 Stock Incentive Plan (i) Stock Option Agreement, (ii) Stock Bonus Agreement, (iii) Restricted Stock Unit Agreement, and (iv) Stock Appreciation Right Agreement</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Exhibits </w:t>
            </w:r>
            <w:hyperlink r:id="rId31">
              <w:r>
                <w:rPr>
                  <w:rStyle w:val="InternetLink"/>
                  <w:rFonts w:ascii="Times New Roman;serif" w:hAnsi="Times New Roman;serif"/>
                  <w:b/>
                  <w:i w:val="false"/>
                  <w:caps w:val="false"/>
                  <w:smallCaps w:val="false"/>
                  <w:color w:val="0000FF"/>
                  <w:sz w:val="18"/>
                  <w:u w:val="single"/>
                </w:rPr>
                <w:t>4.2</w:t>
              </w:r>
            </w:hyperlink>
            <w:r>
              <w:rPr>
                <w:rFonts w:ascii="Times New Roman;serif" w:hAnsi="Times New Roman;serif"/>
                <w:b w:val="false"/>
                <w:i w:val="false"/>
                <w:caps w:val="false"/>
                <w:smallCaps w:val="false"/>
                <w:sz w:val="18"/>
              </w:rPr>
              <w:t xml:space="preserve">, </w:t>
            </w:r>
            <w:hyperlink r:id="rId32">
              <w:r>
                <w:rPr>
                  <w:rStyle w:val="InternetLink"/>
                  <w:rFonts w:ascii="Times New Roman;serif" w:hAnsi="Times New Roman;serif"/>
                  <w:b/>
                  <w:i w:val="false"/>
                  <w:caps w:val="false"/>
                  <w:smallCaps w:val="false"/>
                  <w:color w:val="0000FF"/>
                  <w:sz w:val="18"/>
                  <w:u w:val="single"/>
                </w:rPr>
                <w:t>4.3</w:t>
              </w:r>
            </w:hyperlink>
            <w:r>
              <w:rPr>
                <w:rFonts w:ascii="Times New Roman;serif" w:hAnsi="Times New Roman;serif"/>
                <w:b w:val="false"/>
                <w:i w:val="false"/>
                <w:caps w:val="false"/>
                <w:smallCaps w:val="false"/>
                <w:sz w:val="18"/>
              </w:rPr>
              <w:t xml:space="preserve">, </w:t>
            </w:r>
            <w:hyperlink r:id="rId33">
              <w:r>
                <w:rPr>
                  <w:rStyle w:val="InternetLink"/>
                  <w:rFonts w:ascii="Times New Roman;serif" w:hAnsi="Times New Roman;serif"/>
                  <w:b/>
                  <w:i w:val="false"/>
                  <w:caps w:val="false"/>
                  <w:smallCaps w:val="false"/>
                  <w:color w:val="0000FF"/>
                  <w:sz w:val="18"/>
                  <w:u w:val="single"/>
                </w:rPr>
                <w:t>4.4</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and </w:t>
            </w:r>
            <w:hyperlink r:id="rId34">
              <w:r>
                <w:rPr>
                  <w:rStyle w:val="InternetLink"/>
                  <w:rFonts w:ascii="Times New Roman;serif" w:hAnsi="Times New Roman;serif"/>
                  <w:b/>
                  <w:i w:val="false"/>
                  <w:caps w:val="false"/>
                  <w:smallCaps w:val="false"/>
                  <w:color w:val="0000FF"/>
                  <w:sz w:val="18"/>
                  <w:u w:val="single"/>
                </w:rPr>
                <w:t>4.5</w:t>
              </w:r>
            </w:hyperlink>
            <w:r>
              <w:rPr>
                <w:rFonts w:ascii="Times New Roman;serif" w:hAnsi="Times New Roman;serif"/>
                <w:b w:val="false"/>
                <w:i w:val="false"/>
                <w:caps w:val="false"/>
                <w:smallCaps w:val="false"/>
                <w:sz w:val="18"/>
              </w:rPr>
              <w:t>, respectively, to the Company’s report on Form S-8 on May 26, 2010,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Notice)(Employees/Executive Officers/Contractors) under the 2010 Stock Incentive Plan</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5">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(Non-Employee Directors) under the 2010 Stock Incentive Plan</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6">
              <w:r>
                <w:rPr>
                  <w:rStyle w:val="InternetLink"/>
                  <w:rFonts w:ascii="Times New Roman;serif" w:hAnsi="Times New Roman;serif"/>
                  <w:b/>
                  <w:i w:val="false"/>
                  <w:caps w:val="false"/>
                  <w:smallCaps w:val="false"/>
                  <w:color w:val="0000FF"/>
                  <w:sz w:val="18"/>
                  <w:u w:val="single"/>
                </w:rPr>
                <w:t>Exhibit 10.2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Stock Option Agreement (Non-Directors) under the 2010 Stock Incentive Plan</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7">
              <w:r>
                <w:rPr>
                  <w:rStyle w:val="InternetLink"/>
                  <w:rFonts w:ascii="Times New Roman;serif" w:hAnsi="Times New Roman;serif"/>
                  <w:b/>
                  <w:i w:val="false"/>
                  <w:caps w:val="false"/>
                  <w:smallCaps w:val="false"/>
                  <w:color w:val="0000FF"/>
                  <w:sz w:val="18"/>
                  <w:u w:val="single"/>
                </w:rPr>
                <w:t>Exhibit 10.3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2020 Stock Incentive Plan</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r>
              <w:fldChar w:fldCharType="begin"/>
            </w:r>
            <w:r>
              <w:rPr>
                <w:rStyle w:val="InternetLink"/>
                <w:smallCaps w:val="false"/>
                <w:caps w:val="false"/>
                <w:sz w:val="18"/>
                <w:i w:val="false"/>
                <w:u w:val="single"/>
                <w:b/>
                <w:rFonts w:ascii="Times New Roman;serif" w:hAnsi="Times New Roman;serif"/>
                <w:color w:val="0000FF"/>
              </w:rPr>
              <w:instrText xml:space="preserve"> HYPERLINK "http://www.sec.gov/Archives/edgar/data/716634/000071663420000042/rdi-20201106xdef14a.htm" \l "Exhibits"</w:instrText>
            </w:r>
            <w:r>
              <w:rPr>
                <w:rStyle w:val="InternetLink"/>
                <w:smallCaps w:val="false"/>
                <w:caps w:val="false"/>
                <w:sz w:val="18"/>
                <w:i w:val="false"/>
                <w:u w:val="single"/>
                <w:b/>
                <w:rFonts w:ascii="Times New Roman;serif" w:hAnsi="Times New Roman;serif"/>
                <w:color w:val="0000FF"/>
              </w:rPr>
              <w:fldChar w:fldCharType="separate"/>
            </w:r>
            <w:r>
              <w:rPr>
                <w:rStyle w:val="InternetLink"/>
                <w:rFonts w:ascii="Times New Roman;serif" w:hAnsi="Times New Roman;serif"/>
                <w:b/>
                <w:i w:val="false"/>
                <w:caps w:val="false"/>
                <w:smallCaps w:val="false"/>
                <w:color w:val="0000FF"/>
                <w:sz w:val="18"/>
                <w:u w:val="single"/>
              </w:rPr>
              <w:t>Appendix A to the Company’s Proxy Statement filed on November 6, 2020</w:t>
            </w:r>
            <w:r>
              <w:rPr>
                <w:rStyle w:val="InternetLink"/>
                <w:smallCaps w:val="false"/>
                <w:caps w:val="false"/>
                <w:sz w:val="18"/>
                <w:i w:val="false"/>
                <w:u w:val="single"/>
                <w:b/>
                <w:rFonts w:ascii="Times New Roman;serif" w:hAnsi="Times New Roman;serif"/>
                <w:color w:val="0000FF"/>
              </w:rPr>
              <w:fldChar w:fldCharType="end"/>
            </w:r>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10.7*</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First Amendment to the 2020 Stock Incentive Plan</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hyperlink r:id="rId38">
              <w:r>
                <w:rPr>
                  <w:rStyle w:val="InternetLink"/>
                  <w:rFonts w:ascii="Times New Roman;serif" w:hAnsi="Times New Roman;serif"/>
                  <w:b w:val="false"/>
                  <w:i w:val="false"/>
                  <w:caps w:val="false"/>
                  <w:smallCaps w:val="false"/>
                  <w:color w:val="0000FF"/>
                  <w:sz w:val="20"/>
                  <w:u w:val="single"/>
                </w:rPr>
                <w:t>Appendix A to the Company’s Proxy Statement filed on October 27, 2023</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w:t>
            </w:r>
            <w:r>
              <w:rPr>
                <w:rFonts w:ascii="Times New Roman;serif" w:hAnsi="Times New Roman;serif"/>
                <w:b w:val="false"/>
                <w:i w:val="false"/>
                <w:caps w:val="false"/>
                <w:smallCaps w:val="false"/>
                <w:sz w:val="18"/>
              </w:rPr>
              <w:t>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(Non-Employee Directors) under the 2020 Stock Incentive Plan</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9">
              <w:r>
                <w:rPr>
                  <w:rStyle w:val="InternetLink"/>
                  <w:rFonts w:ascii="Times New Roman;serif" w:hAnsi="Times New Roman;serif"/>
                  <w:b/>
                  <w:i w:val="false"/>
                  <w:caps w:val="false"/>
                  <w:smallCaps w:val="false"/>
                  <w:color w:val="0000FF"/>
                  <w:sz w:val="18"/>
                  <w:u w:val="single"/>
                </w:rPr>
                <w:t>Exhibit 10.7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10.9*</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(Executive Officer) under the 2020 Stock Incentive Plan</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0">
              <w:r>
                <w:rPr>
                  <w:rStyle w:val="InternetLink"/>
                  <w:rFonts w:ascii="Times New Roman;serif" w:hAnsi="Times New Roman;serif"/>
                  <w:b/>
                  <w:i w:val="false"/>
                  <w:caps w:val="false"/>
                  <w:smallCaps w:val="false"/>
                  <w:color w:val="0000FF"/>
                  <w:sz w:val="18"/>
                  <w:u w:val="single"/>
                </w:rPr>
                <w:t>Exhibit 10.8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10.10*</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Stock Option Agreement (Director) under the 2020 Stock Incentive Plan</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1">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10.11</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Lease Agreement, dated as of July 28, 2000, as amended and restated as of January 29, 2002, between Sutton Hill Capital, L.L.C. and Citadel Cinemas, Inc.</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2">
              <w:r>
                <w:rPr>
                  <w:rStyle w:val="InternetLink"/>
                  <w:rFonts w:ascii="Times New Roman;serif" w:hAnsi="Times New Roman;serif"/>
                  <w:b/>
                  <w:i w:val="false"/>
                  <w:caps w:val="false"/>
                  <w:smallCaps w:val="false"/>
                  <w:color w:val="0000FF"/>
                  <w:sz w:val="18"/>
                  <w:u w:val="single"/>
                </w:rPr>
                <w:t>Exhibit 10.40 to the Company’s Annual Report on Form 10-K</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for the year ended December 31, 2002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10.12</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Amendment to Amended and Restated Master Operating Lease dated as of September 1, 2005</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3">
              <w:r>
                <w:rPr>
                  <w:rStyle w:val="InternetLink"/>
                  <w:rFonts w:ascii="Times New Roman;serif" w:hAnsi="Times New Roman;serif"/>
                  <w:b/>
                  <w:i w:val="false"/>
                  <w:caps w:val="false"/>
                  <w:smallCaps w:val="false"/>
                  <w:color w:val="0000FF"/>
                  <w:sz w:val="18"/>
                  <w:u w:val="single"/>
                </w:rPr>
                <w:t>Exhibit 10.58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10.13</w:t>
            </w:r>
          </w:p>
        </w:tc>
        <w:tc>
          <w:tcPr>
            <w:tcW w:w="49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and Assumption of Lease between Sutton Hill Capital L.L.C. and Sutton Hill Properties, LLC dated as of September 19, 2005</w:t>
            </w:r>
          </w:p>
        </w:tc>
        <w:tc>
          <w:tcPr>
            <w:tcW w:w="463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4">
              <w:r>
                <w:rPr>
                  <w:rStyle w:val="InternetLink"/>
                  <w:rFonts w:ascii="Times New Roman;serif" w:hAnsi="Times New Roman;serif"/>
                  <w:b/>
                  <w:i w:val="false"/>
                  <w:caps w:val="false"/>
                  <w:smallCaps w:val="false"/>
                  <w:color w:val="0000FF"/>
                  <w:sz w:val="18"/>
                  <w:u w:val="single"/>
                </w:rPr>
                <w:t>Exhibit 10.56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10.14</w:t>
            </w:r>
          </w:p>
        </w:tc>
        <w:tc>
          <w:tcPr>
            <w:tcW w:w="49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Third Amendment to Amended and Restated Master Operating Lease Agreement, dated June 29, 2010, between Sutton Hill Capital, L.L.C. and Citadel Cinemas, Inc.</w:t>
            </w:r>
          </w:p>
        </w:tc>
        <w:tc>
          <w:tcPr>
            <w:tcW w:w="463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5">
              <w:r>
                <w:rPr>
                  <w:rStyle w:val="InternetLink"/>
                  <w:rFonts w:ascii="Times New Roman;serif" w:hAnsi="Times New Roman;serif"/>
                  <w:b/>
                  <w:i w:val="false"/>
                  <w:caps w:val="false"/>
                  <w:smallCaps w:val="false"/>
                  <w:color w:val="0000FF"/>
                  <w:sz w:val="18"/>
                  <w:u w:val="single"/>
                </w:rPr>
                <w:t>Exhibit 10.21 to the Company’s report on Form 10-K for the year ended December 31, 2010</w:t>
              </w:r>
            </w:hyperlink>
            <w:r>
              <w:rPr>
                <w:rFonts w:ascii="Times New Roman;serif" w:hAnsi="Times New Roman;serif"/>
                <w:b w:val="false"/>
                <w:i w:val="false"/>
                <w:caps w:val="false"/>
                <w:smallCaps w:val="false"/>
                <w:sz w:val="18"/>
              </w:rPr>
              <w:t xml:space="preserve">, and incorporated herein by reference. </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574"/>
        <w:gridCol w:w="5518"/>
        <w:gridCol w:w="4113"/>
      </w:tblGrid>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10.15</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Omnibus Amendment Agreement, dated as of October 22, 2003, between Citadel Cinemas, Inc., Sutton Hill Capital, L.L.C., Nationwide Theatres Corp., Sutton Hill Associates, and Reading International, Inc.</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6">
              <w:r>
                <w:rPr>
                  <w:rStyle w:val="InternetLink"/>
                  <w:rFonts w:ascii="Times New Roman;serif" w:hAnsi="Times New Roman;serif"/>
                  <w:b/>
                  <w:i w:val="false"/>
                  <w:caps w:val="false"/>
                  <w:smallCaps w:val="false"/>
                  <w:color w:val="0000FF"/>
                  <w:sz w:val="18"/>
                  <w:u w:val="single"/>
                </w:rPr>
                <w:t>Exhibit 10.49 to the Company’s report on Form 10-Q for the period ended September 30, 2003</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10.16</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Declaration of Trust, dated February 5, 2007, among Reading International Inc., as sponsor, the Administrators named therein, and Wells Fargo Bank, N.A., as property trustee, and Wells Fargo Delaware Trust Company as Delaware trustee</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7">
              <w:r>
                <w:rPr>
                  <w:rStyle w:val="InternetLink"/>
                  <w:rFonts w:ascii="Times New Roman;serif" w:hAnsi="Times New Roman;serif"/>
                  <w:b/>
                  <w:i w:val="false"/>
                  <w:caps w:val="false"/>
                  <w:smallCaps w:val="false"/>
                  <w:color w:val="0000FF"/>
                  <w:sz w:val="18"/>
                  <w:u w:val="single"/>
                </w:rPr>
                <w:t>Exhibit 10.2 to the Company’s report on Form 8-K dated February 5, 2007</w:t>
              </w:r>
            </w:hyperlink>
            <w:r>
              <w:rPr>
                <w:rFonts w:ascii="Times New Roman;serif" w:hAnsi="Times New Roman;serif"/>
                <w:b w:val="false"/>
                <w:i w:val="false"/>
                <w:caps w:val="false"/>
                <w:smallCaps w:val="false"/>
                <w:sz w:val="18"/>
              </w:rPr>
              <w:t xml:space="preserve">, and incorporated herein by reference. </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10.17</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Corporate Markets Loan &amp; Bank Guarantee Facility Agreement dated December 23, 2015, among Reading Entertainment Australia Pty Ltd and National Australia Bank Limited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8">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2015</w:t>
              </w:r>
            </w:hyperlink>
            <w:r>
              <w:rPr>
                <w:rFonts w:ascii="Times New Roman;serif" w:hAnsi="Times New Roman;serif"/>
                <w:b w:val="false"/>
                <w:i w:val="false"/>
                <w:caps w:val="false"/>
                <w:smallCaps w:val="false"/>
                <w:sz w:val="18"/>
              </w:rPr>
              <w:t xml:space="preserve">, filed on April 29, 2016 and incorporated herein by reference. </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10.18</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9">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10.19</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March 27, 2019 between National Australia Bank Limited and Reading Entertainment Australia Pty Ltd.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0">
              <w:r>
                <w:rPr>
                  <w:rStyle w:val="InternetLink"/>
                  <w:rFonts w:ascii="Times New Roman;serif" w:hAnsi="Times New Roman;serif"/>
                  <w:b/>
                  <w:i w:val="false"/>
                  <w:caps w:val="false"/>
                  <w:smallCaps w:val="false"/>
                  <w:color w:val="0000FF"/>
                  <w:sz w:val="18"/>
                  <w:u w:val="single"/>
                </w:rPr>
                <w:t>Exhibit 10.1.3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10.20</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Waiver dated April 9, 2020 between National Australia Bank Limited and Reading Entertainment Australia Pty Ltd.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1">
              <w:r>
                <w:rPr>
                  <w:rStyle w:val="InternetLink"/>
                  <w:rFonts w:ascii="Times New Roman;serif" w:hAnsi="Times New Roman;serif"/>
                  <w:b/>
                  <w:i w:val="false"/>
                  <w:caps w:val="false"/>
                  <w:smallCaps w:val="false"/>
                  <w:color w:val="0000FF"/>
                  <w:sz w:val="18"/>
                  <w:u w:val="single"/>
                </w:rPr>
                <w:t>Exhibit 10.1.4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10.21</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Letter dated August 6, 2020 between National Australian Bank Limited and Reading Entertainment Australia Pty. Ltd.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2">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2020</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10.22</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3">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10.23</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8, 2021, by and between Reading Entertainment Australia Pty Ltd and National Australia Bank Limited.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4">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10.24</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Markets Loan &amp; Bank Guarantee Facility Agreement dated June 8, 2021, by and between Reading Entertainment Australia Pty Ltd and National Australia Bank Limited.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5">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10.25</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November 2, 2021, by and between Reading Entertainment Australia Pty Ltd and National Australia Bank Limited.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6">
              <w:r>
                <w:rPr>
                  <w:rStyle w:val="InternetLink"/>
                  <w:rFonts w:ascii="Times New Roman;serif" w:hAnsi="Times New Roman;serif"/>
                  <w:b/>
                  <w:i w:val="false"/>
                  <w:caps w:val="false"/>
                  <w:smallCaps w:val="false"/>
                  <w:color w:val="0000FF"/>
                  <w:sz w:val="18"/>
                  <w:u w:val="single"/>
                </w:rPr>
                <w:t>Exhibit 10.1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10.26</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May 12, 2023, by and between Reading Entertainment Australia Pty Ltd and National Australia Bank Limited.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7">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2023</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10.27</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August 13, 2023, by and between Reading Entertainment Australia Pty Ltd and National Australia Bank Limited.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hyperlink r:id="rId58">
              <w:r>
                <w:rPr>
                  <w:rStyle w:val="InternetLink"/>
                  <w:rFonts w:ascii="Times New Roman;serif" w:hAnsi="Times New Roman;serif"/>
                  <w:caps w:val="false"/>
                  <w:smallCaps w:val="false"/>
                  <w:color w:val="0000FF"/>
                  <w:sz w:val="18"/>
                  <w:u w:val="single"/>
                </w:rPr>
                <w:t xml:space="preserve"> </w:t>
              </w:r>
            </w:hyperlink>
            <w:hyperlink r:id="rId59">
              <w:r>
                <w:rPr>
                  <w:rStyle w:val="InternetLink"/>
                  <w:rFonts w:ascii="Times New Roman;serif" w:hAnsi="Times New Roman;serif"/>
                  <w:b w:val="false"/>
                  <w:i w:val="false"/>
                  <w:caps w:val="false"/>
                  <w:smallCaps w:val="false"/>
                  <w:color w:val="0000FF"/>
                  <w:sz w:val="18"/>
                  <w:u w:val="single"/>
                </w:rPr>
                <w:t>Exhibit 10.1 to the Company’s Quarterly Report on Form 10-Q for the quarter ended September 30, 2023</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10.28+†</w:t>
            </w:r>
          </w:p>
        </w:tc>
        <w:tc>
          <w:tcPr>
            <w:tcW w:w="5518" w:type="dxa"/>
            <w:tcBorders/>
            <w:shd w:fill="FFFFFF" w:val="clear"/>
            <w:vAlign w:val="center"/>
          </w:tcPr>
          <w:p>
            <w:pPr>
              <w:pStyle w:val="TableContents"/>
              <w:bidi w:val="0"/>
              <w:spacing w:lineRule="auto" w:line="259" w:before="0" w:after="283"/>
              <w:jc w:val="left"/>
              <w:rPr/>
            </w:pPr>
            <w:hyperlink w:anchor="rdi-20231231xex10_28.htm">
              <w:r>
                <w:rPr>
                  <w:rStyle w:val="InternetLink"/>
                  <w:rFonts w:ascii="Times New Roman;serif" w:hAnsi="Times New Roman;serif"/>
                  <w:b w:val="false"/>
                  <w:i w:val="false"/>
                  <w:caps w:val="false"/>
                  <w:smallCaps w:val="false"/>
                  <w:color w:val="0000FF"/>
                  <w:sz w:val="18"/>
                  <w:u w:val="single"/>
                </w:rPr>
                <w:t>Deed of Subordination dated October 26, 2023, by and between Reading Entertainment Australia Pty Ltd and National Australia Bank Limited.</w:t>
              </w:r>
            </w:hyperlink>
          </w:p>
        </w:tc>
        <w:tc>
          <w:tcPr>
            <w:tcW w:w="411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10.29</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Wholesale Term Loan Facility dated May 21, 2015, among Reading Courtenay Central Limited and Westpac New Zealand Limited</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0">
              <w:r>
                <w:rPr>
                  <w:rStyle w:val="InternetLink"/>
                  <w:rFonts w:ascii="Times New Roman;serif" w:hAnsi="Times New Roman;serif"/>
                  <w:b/>
                  <w:i w:val="false"/>
                  <w:caps w:val="false"/>
                  <w:smallCaps w:val="false"/>
                  <w:color w:val="0000FF"/>
                  <w:sz w:val="18"/>
                  <w:u w:val="single"/>
                </w:rPr>
                <w:t>Exhibit 10.10 to the Company’s Annual Report on Form 10-K for the year ended December 31, 2015</w:t>
              </w:r>
            </w:hyperlink>
            <w:r>
              <w:rPr>
                <w:rFonts w:ascii="Times New Roman;serif" w:hAnsi="Times New Roman;serif"/>
                <w:b w:val="false"/>
                <w:i w:val="false"/>
                <w:caps w:val="false"/>
                <w:smallCaps w:val="false"/>
                <w:sz w:val="18"/>
              </w:rPr>
              <w:t>, filed on April 29, 2016 and incorporated herein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10.30</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Guarantee &amp; Indemnity dated May 21, 2015, among certain affiliates of the Company in favor of Westpac New Zealand Limited.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1">
              <w:r>
                <w:rPr>
                  <w:rStyle w:val="InternetLink"/>
                  <w:rFonts w:ascii="Times New Roman;serif" w:hAnsi="Times New Roman;serif"/>
                  <w:b/>
                  <w:i w:val="false"/>
                  <w:caps w:val="false"/>
                  <w:smallCaps w:val="false"/>
                  <w:color w:val="0000FF"/>
                  <w:sz w:val="18"/>
                  <w:u w:val="single"/>
                </w:rPr>
                <w:t>Exhibit 10.3.2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10.31</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Westpac Corporate Credit Facility Extension Letter dated December 20, 2018, among Westpac New Zealand Limited, Reading Courtenay Central Limited and certain affiliates of the Company.</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2">
              <w:r>
                <w:rPr>
                  <w:rStyle w:val="InternetLink"/>
                  <w:rFonts w:ascii="Times New Roman;serif" w:hAnsi="Times New Roman;serif"/>
                  <w:b/>
                  <w:i w:val="false"/>
                  <w:caps w:val="false"/>
                  <w:smallCaps w:val="false"/>
                  <w:color w:val="0000FF"/>
                  <w:sz w:val="18"/>
                  <w:u w:val="single"/>
                </w:rPr>
                <w:t>Exhibit 10.3.3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10.32</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July 27, 2020 between Westpac New Zealand Limited and Reading Courtenay Central Limited</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3">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2020</w:t>
              </w:r>
            </w:hyperlink>
            <w:r>
              <w:rPr>
                <w:rFonts w:ascii="Times New Roman;serif" w:hAnsi="Times New Roman;serif"/>
                <w:b w:val="false"/>
                <w:i w:val="false"/>
                <w:caps w:val="false"/>
                <w:smallCaps w:val="false"/>
                <w:sz w:val="18"/>
              </w:rPr>
              <w:t>, and incorporated herein by reference.</w:t>
            </w:r>
          </w:p>
        </w:tc>
      </w:tr>
      <w:tr>
        <w:trPr/>
        <w:tc>
          <w:tcPr>
            <w:tcW w:w="57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10.33</w:t>
            </w:r>
          </w:p>
        </w:tc>
        <w:tc>
          <w:tcPr>
            <w:tcW w:w="55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September 15, 2020 between Westpac New Zealand Limited and Reading Courtenay Central Limited, filed herewith.</w:t>
            </w:r>
          </w:p>
        </w:tc>
        <w:tc>
          <w:tcPr>
            <w:tcW w:w="411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4">
              <w:r>
                <w:rPr>
                  <w:rStyle w:val="InternetLink"/>
                  <w:rFonts w:ascii="Times New Roman;serif" w:hAnsi="Times New Roman;serif"/>
                  <w:b/>
                  <w:i w:val="false"/>
                  <w:caps w:val="false"/>
                  <w:smallCaps w:val="false"/>
                  <w:color w:val="0000FF"/>
                  <w:sz w:val="18"/>
                  <w:u w:val="single"/>
                </w:rPr>
                <w:t>Exhibit 10.1 to the Company’s Quarterly Report on Form 10-Q for the quarter ended September 30, 2020</w:t>
              </w:r>
            </w:hyperlink>
            <w:r>
              <w:rPr>
                <w:rFonts w:ascii="Times New Roman;serif" w:hAnsi="Times New Roman;serif"/>
                <w:b w:val="false"/>
                <w:i w:val="false"/>
                <w:caps w:val="false"/>
                <w:smallCaps w:val="false"/>
                <w:sz w:val="18"/>
              </w:rPr>
              <w:t>, and incorporated herein by reference.in by reference.</w:t>
            </w:r>
          </w:p>
        </w:tc>
      </w:tr>
      <w:tr>
        <w:trPr/>
        <w:tc>
          <w:tcPr>
            <w:tcW w:w="574"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10.34</w:t>
            </w:r>
          </w:p>
        </w:tc>
        <w:tc>
          <w:tcPr>
            <w:tcW w:w="551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Variation dated April 29, 2021 between Westpac New Zealand Limited and Reading Courtenay Central Limited, filed herewith.</w:t>
            </w:r>
          </w:p>
        </w:tc>
        <w:tc>
          <w:tcPr>
            <w:tcW w:w="411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5">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2021</w:t>
              </w:r>
            </w:hyperlink>
            <w:r>
              <w:rPr>
                <w:rFonts w:ascii="Times New Roman;serif" w:hAnsi="Times New Roman;serif"/>
                <w:b w:val="false"/>
                <w:i w:val="false"/>
                <w:caps w:val="false"/>
                <w:smallCaps w:val="false"/>
                <w:sz w:val="18"/>
              </w:rPr>
              <w:t>, and incorporated herein by reference.in by reference.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547"/>
        <w:gridCol w:w="5705"/>
        <w:gridCol w:w="3953"/>
      </w:tblGrid>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10.35</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Amended and Restated Credit Agreement dated March 6, 2020, among Consolidated Amusement Holdings, LLC, certain affiliates of the Company, the financial institutions party thereto and Bank of America, N.A., as administrative agent.</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6">
              <w:r>
                <w:rPr>
                  <w:rStyle w:val="InternetLink"/>
                  <w:rFonts w:ascii="Times New Roman;serif" w:hAnsi="Times New Roman;serif"/>
                  <w:b/>
                  <w:i w:val="false"/>
                  <w:caps w:val="false"/>
                  <w:smallCaps w:val="false"/>
                  <w:color w:val="0000FF"/>
                  <w:sz w:val="18"/>
                  <w:u w:val="single"/>
                </w:rPr>
                <w:t>Exhibit 10.2.1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10.36</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First Amendment to Second Amended and Restated Credit Agreement dated May 15, 2020, among Consolidated Amusement Holdings, LLC, certain affiliates of the Company, the financial institutions party thereto and Bank of America, N.A., as administrative agent.</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7">
              <w:r>
                <w:rPr>
                  <w:rStyle w:val="InternetLink"/>
                  <w:rFonts w:ascii="Times New Roman;serif" w:hAnsi="Times New Roman;serif"/>
                  <w:b/>
                  <w:i w:val="false"/>
                  <w:caps w:val="false"/>
                  <w:smallCaps w:val="false"/>
                  <w:color w:val="0000FF"/>
                  <w:sz w:val="18"/>
                  <w:u w:val="single"/>
                </w:rPr>
                <w:t>Exhibit 10.2.2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10.37</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Second Amendment to Second Amended and Restated Credit Agreement dated August 7, 2020 between Consolidated Amusement Holdings, LLC, and Bank of America, N.A.</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8">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10.38</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Third Amendment to Second Amended and Restated Credit Agreement, dated August 8, 2021, between Consolidated Amusement Holdings, LLC, and Bank of America, N.A.</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9">
              <w:r>
                <w:rPr>
                  <w:rStyle w:val="InternetLink"/>
                  <w:rFonts w:ascii="Times New Roman;serif" w:hAnsi="Times New Roman;serif"/>
                  <w:b/>
                  <w:i w:val="false"/>
                  <w:caps w:val="false"/>
                  <w:smallCaps w:val="false"/>
                  <w:color w:val="0000FF"/>
                  <w:sz w:val="18"/>
                  <w:u w:val="single"/>
                </w:rPr>
                <w:t>Exhibit 10.2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10.39</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Fourth Amendment to Second Amended and Restated Credit Agreement, dated November 29, 2022, between Consolidated Amusement Holdings, LLC, and Bank of America, N.A.</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0">
              <w:r>
                <w:rPr>
                  <w:rStyle w:val="InternetLink"/>
                  <w:rFonts w:ascii="Times New Roman;serif" w:hAnsi="Times New Roman;serif"/>
                  <w:b/>
                  <w:i w:val="false"/>
                  <w:caps w:val="false"/>
                  <w:smallCaps w:val="false"/>
                  <w:color w:val="0000FF"/>
                  <w:sz w:val="18"/>
                  <w:u w:val="single"/>
                </w:rPr>
                <w:t>Exhibit 10.1 to the Company’s report on Form 8-K (file no. 1-8625), filed on December 16, 2022</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10.40</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Fifth Amendment to Second Amended and Restated Credit Agreement, dated March 30, 2023, between Consolidated Amusement Holdings, LLC, and Bank of America, N.A.</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1">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2023</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10.41</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Consolidated, Amended and Restated Mortgage Promissory Note dated March 13, 2020, between Sutton Hill Properties, LLC and Valley National Bank.</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2">
              <w:r>
                <w:rPr>
                  <w:rStyle w:val="InternetLink"/>
                  <w:rFonts w:ascii="Times New Roman;serif" w:hAnsi="Times New Roman;serif"/>
                  <w:b/>
                  <w:i w:val="false"/>
                  <w:caps w:val="false"/>
                  <w:smallCaps w:val="false"/>
                  <w:color w:val="0000FF"/>
                  <w:sz w:val="18"/>
                  <w:u w:val="single"/>
                </w:rPr>
                <w:t>Exhibit 10.4.1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10.42</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Mortgage Consolidation, Modification and Extension Agreement dated March 13, 2020, between Sutton Hill Properties, LLC and Valley National Bank.</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color w:val="0000FF"/>
                <w:sz w:val="18"/>
              </w:rPr>
              <w:t xml:space="preserve"> </w:t>
            </w:r>
            <w:hyperlink r:id="rId73">
              <w:r>
                <w:rPr>
                  <w:rStyle w:val="InternetLink"/>
                  <w:rFonts w:ascii="Times New Roman;serif" w:hAnsi="Times New Roman;serif"/>
                  <w:b/>
                  <w:i w:val="false"/>
                  <w:caps w:val="false"/>
                  <w:smallCaps w:val="false"/>
                  <w:color w:val="0000FF"/>
                  <w:sz w:val="18"/>
                </w:rPr>
                <w:t>Exhibit 10.4.2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10.43</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Pledge and Security Agreement dated March 13, 2020, between Sutton Hill Properties, LLC and Valley National Bank.</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4">
              <w:r>
                <w:rPr>
                  <w:rStyle w:val="InternetLink"/>
                  <w:rFonts w:ascii="Times New Roman;serif" w:hAnsi="Times New Roman;serif"/>
                  <w:b/>
                  <w:i w:val="false"/>
                  <w:caps w:val="false"/>
                  <w:smallCaps w:val="false"/>
                  <w:color w:val="0000FF"/>
                  <w:sz w:val="18"/>
                  <w:u w:val="single"/>
                </w:rPr>
                <w:t>Exhibit 10.4.3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10.44</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ADA and Environmental Indemnity Agreement dated March 13, 2020, executed by Sutton Hill Properties, LLC and Reading International, Inc. in favor of Valley National Bank.</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5">
              <w:r>
                <w:rPr>
                  <w:rStyle w:val="InternetLink"/>
                  <w:rFonts w:ascii="Times New Roman;serif" w:hAnsi="Times New Roman;serif"/>
                  <w:b/>
                  <w:i w:val="false"/>
                  <w:caps w:val="false"/>
                  <w:smallCaps w:val="false"/>
                  <w:color w:val="0000FF"/>
                  <w:sz w:val="18"/>
                  <w:u w:val="single"/>
                </w:rPr>
                <w:t>Exhibit 10.4.4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10.45</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of Rents and Leases dated March 13, 2020, executed by Sutton Hill Properties, LLC in favor of Valley National Bank.</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6">
              <w:r>
                <w:rPr>
                  <w:rStyle w:val="InternetLink"/>
                  <w:rFonts w:ascii="Times New Roman;serif" w:hAnsi="Times New Roman;serif"/>
                  <w:b/>
                  <w:i w:val="false"/>
                  <w:caps w:val="false"/>
                  <w:smallCaps w:val="false"/>
                  <w:color w:val="0000FF"/>
                  <w:sz w:val="18"/>
                  <w:u w:val="single"/>
                </w:rPr>
                <w:t>Exhibit 10.4.5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10.46</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of Payment and Performance dated March 13, 2020 executed by Reading International, Inc. in favor of Valley National Bank.</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7">
              <w:r>
                <w:rPr>
                  <w:rStyle w:val="InternetLink"/>
                  <w:rFonts w:ascii="Times New Roman;serif" w:hAnsi="Times New Roman;serif"/>
                  <w:b/>
                  <w:i w:val="false"/>
                  <w:caps w:val="false"/>
                  <w:smallCaps w:val="false"/>
                  <w:color w:val="0000FF"/>
                  <w:sz w:val="18"/>
                  <w:u w:val="single"/>
                </w:rPr>
                <w:t>Exhibit 10.4.6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10.47</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Carveout Guaranty dated March 13, 2020 executed by Reading International, Inc. in favor of Valley National Bank.</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8">
              <w:r>
                <w:rPr>
                  <w:rStyle w:val="InternetLink"/>
                  <w:rFonts w:ascii="Times New Roman;serif" w:hAnsi="Times New Roman;serif"/>
                  <w:b/>
                  <w:i w:val="false"/>
                  <w:caps w:val="false"/>
                  <w:smallCaps w:val="false"/>
                  <w:color w:val="0000FF"/>
                  <w:sz w:val="18"/>
                  <w:u w:val="single"/>
                </w:rPr>
                <w:t>Exhibit 10.4.7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10.48</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dated March 13, 2020 executed by Reading International, Inc. in favor of Valley National Bank.</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9">
              <w:r>
                <w:rPr>
                  <w:rStyle w:val="InternetLink"/>
                  <w:rFonts w:ascii="Times New Roman;serif" w:hAnsi="Times New Roman;serif"/>
                  <w:b/>
                  <w:i w:val="false"/>
                  <w:caps w:val="false"/>
                  <w:smallCaps w:val="false"/>
                  <w:color w:val="0000FF"/>
                  <w:sz w:val="18"/>
                  <w:u w:val="single"/>
                </w:rPr>
                <w:t>Exhibit 10.4.8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10.49</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Loan Agreement dated as of May 7, 2021, by and between Reading Tammany Owner LLC and US Development, LLC, collectively as borrower, and Emerald Creek Capital 3, LLC, as administrative agent and collateral agent for the lender.</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80">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10.50*</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Indemnification Agreement, as routinely granted to the Company’s Officers and Directors</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81">
              <w:r>
                <w:rPr>
                  <w:rStyle w:val="InternetLink"/>
                  <w:rFonts w:ascii="Times New Roman;serif" w:hAnsi="Times New Roman;serif"/>
                  <w:b/>
                  <w:i w:val="false"/>
                  <w:caps w:val="false"/>
                  <w:smallCaps w:val="false"/>
                  <w:color w:val="0000FF"/>
                  <w:sz w:val="18"/>
                  <w:u w:val="single"/>
                </w:rPr>
                <w:t>Exhibit 10.4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10.51</w:t>
            </w:r>
          </w:p>
        </w:tc>
        <w:tc>
          <w:tcPr>
            <w:tcW w:w="570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Transactional Facility Side Letter dated November 3, 2021 between Reading Entertainment Australia Pty Ltd and National Australia Bank Limited.</w:t>
            </w:r>
          </w:p>
        </w:tc>
        <w:tc>
          <w:tcPr>
            <w:tcW w:w="3953"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82">
              <w:r>
                <w:rPr>
                  <w:rStyle w:val="InternetLink"/>
                  <w:rFonts w:ascii="Times New Roman;serif" w:hAnsi="Times New Roman;serif"/>
                  <w:b/>
                  <w:i w:val="false"/>
                  <w:caps w:val="false"/>
                  <w:smallCaps w:val="false"/>
                  <w:color w:val="0000FF"/>
                  <w:sz w:val="18"/>
                  <w:u w:val="single"/>
                </w:rPr>
                <w:t>Exhibit 10.45 to the Company’s Annual Report on Form 10-K for the year ended December 31, 2021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2022 and incorporated herein by reference</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w:t>
            </w:r>
          </w:p>
        </w:tc>
        <w:tc>
          <w:tcPr>
            <w:tcW w:w="570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Preferability Letter from Independent Registered Public Accounting Firm, Grant Thornton LLP.</w:t>
            </w:r>
          </w:p>
        </w:tc>
        <w:tc>
          <w:tcPr>
            <w:tcW w:w="3953"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83">
              <w:r>
                <w:rPr>
                  <w:rStyle w:val="InternetLink"/>
                  <w:rFonts w:ascii="Times New Roman;serif" w:hAnsi="Times New Roman;serif"/>
                  <w:b/>
                  <w:i w:val="false"/>
                  <w:caps w:val="false"/>
                  <w:smallCaps w:val="false"/>
                  <w:color w:val="0000FF"/>
                  <w:sz w:val="18"/>
                  <w:u w:val="single"/>
                </w:rPr>
                <w:t>Exhibit 18 to the Company’s Annual Report on Form 10-K for the year ended December 31, 2016</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13, 2017 and incorporated herein by reference</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w:t>
            </w:r>
          </w:p>
        </w:tc>
        <w:tc>
          <w:tcPr>
            <w:tcW w:w="5705" w:type="dxa"/>
            <w:tcBorders/>
            <w:shd w:fill="CCEEFF" w:val="clear"/>
            <w:vAlign w:val="center"/>
          </w:tcPr>
          <w:p>
            <w:pPr>
              <w:pStyle w:val="TableContents"/>
              <w:bidi w:val="0"/>
              <w:spacing w:lineRule="auto" w:line="259" w:before="0" w:after="283"/>
              <w:jc w:val="left"/>
              <w:rPr/>
            </w:pPr>
            <w:hyperlink w:anchor="rdi-20231231xex21.htm">
              <w:r>
                <w:rPr>
                  <w:rStyle w:val="InternetLink"/>
                  <w:rFonts w:ascii="Times New Roman;serif" w:hAnsi="Times New Roman;serif"/>
                  <w:b/>
                  <w:i w:val="false"/>
                  <w:caps w:val="false"/>
                  <w:smallCaps w:val="false"/>
                  <w:color w:val="0000FF"/>
                  <w:sz w:val="18"/>
                  <w:u w:val="single"/>
                </w:rPr>
                <w:t>List of Subsidiaries</w:t>
              </w:r>
            </w:hyperlink>
            <w:r>
              <w:rPr>
                <w:rFonts w:ascii="Times New Roman;serif" w:hAnsi="Times New Roman;serif"/>
                <w:b w:val="false"/>
                <w:i w:val="false"/>
                <w:caps w:val="false"/>
                <w:smallCaps w:val="false"/>
                <w:sz w:val="18"/>
              </w:rPr>
              <w:t xml:space="preserve">, </w:t>
            </w:r>
          </w:p>
        </w:tc>
        <w:tc>
          <w:tcPr>
            <w:tcW w:w="39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23.1+</w:t>
            </w:r>
          </w:p>
        </w:tc>
        <w:tc>
          <w:tcPr>
            <w:tcW w:w="5705" w:type="dxa"/>
            <w:tcBorders/>
            <w:shd w:fill="FFFFFF" w:val="clear"/>
            <w:vAlign w:val="center"/>
          </w:tcPr>
          <w:p>
            <w:pPr>
              <w:pStyle w:val="TableContents"/>
              <w:bidi w:val="0"/>
              <w:spacing w:lineRule="auto" w:line="259" w:before="0" w:after="283"/>
              <w:jc w:val="left"/>
              <w:rPr/>
            </w:pPr>
            <w:hyperlink w:anchor="rdi-20231231xex23_1.htm">
              <w:r>
                <w:rPr>
                  <w:rStyle w:val="InternetLink"/>
                  <w:rFonts w:ascii="Times New Roman;serif" w:hAnsi="Times New Roman;serif"/>
                  <w:b/>
                  <w:i w:val="false"/>
                  <w:caps w:val="false"/>
                  <w:smallCaps w:val="false"/>
                  <w:color w:val="0000FF"/>
                  <w:sz w:val="18"/>
                  <w:u w:val="single"/>
                </w:rPr>
                <w:t>Consent of Independent Registered Public Accounting Firm, Grant Thornton LLP</w:t>
              </w:r>
            </w:hyperlink>
            <w:r>
              <w:rPr>
                <w:rFonts w:ascii="Times New Roman;serif" w:hAnsi="Times New Roman;serif"/>
                <w:b w:val="false"/>
                <w:i w:val="false"/>
                <w:caps w:val="false"/>
                <w:smallCaps w:val="false"/>
                <w:sz w:val="18"/>
              </w:rPr>
              <w:t>.</w:t>
            </w:r>
          </w:p>
        </w:tc>
        <w:tc>
          <w:tcPr>
            <w:tcW w:w="395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31.1+</w:t>
            </w:r>
          </w:p>
        </w:tc>
        <w:tc>
          <w:tcPr>
            <w:tcW w:w="5705" w:type="dxa"/>
            <w:tcBorders/>
            <w:shd w:fill="CCEEFF" w:val="clear"/>
            <w:vAlign w:val="center"/>
          </w:tcPr>
          <w:p>
            <w:pPr>
              <w:pStyle w:val="TableContents"/>
              <w:bidi w:val="0"/>
              <w:spacing w:lineRule="auto" w:line="259" w:before="0" w:after="283"/>
              <w:jc w:val="left"/>
              <w:rPr/>
            </w:pPr>
            <w:hyperlink w:anchor="rdi-20231231xex31_1.htm">
              <w:r>
                <w:rPr>
                  <w:rStyle w:val="InternetLink"/>
                  <w:rFonts w:ascii="Times New Roman;serif" w:hAnsi="Times New Roman;serif"/>
                  <w:b/>
                  <w:i w:val="false"/>
                  <w:caps w:val="false"/>
                  <w:smallCaps w:val="false"/>
                  <w:color w:val="0000FF"/>
                  <w:sz w:val="18"/>
                  <w:u w:val="single"/>
                </w:rPr>
                <w:t>Certification of Principal Executive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39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47"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31.2+</w:t>
            </w:r>
          </w:p>
        </w:tc>
        <w:tc>
          <w:tcPr>
            <w:tcW w:w="5705" w:type="dxa"/>
            <w:tcBorders/>
            <w:shd w:fill="FFFFFF" w:val="clear"/>
            <w:vAlign w:val="center"/>
          </w:tcPr>
          <w:p>
            <w:pPr>
              <w:pStyle w:val="TableContents"/>
              <w:bidi w:val="0"/>
              <w:spacing w:lineRule="auto" w:line="259" w:before="0" w:after="283"/>
              <w:jc w:val="left"/>
              <w:rPr/>
            </w:pPr>
            <w:hyperlink w:anchor="rdi-20231231xex31_2.htm">
              <w:r>
                <w:rPr>
                  <w:rStyle w:val="InternetLink"/>
                  <w:rFonts w:ascii="Times New Roman;serif" w:hAnsi="Times New Roman;serif"/>
                  <w:b/>
                  <w:i w:val="false"/>
                  <w:caps w:val="false"/>
                  <w:smallCaps w:val="false"/>
                  <w:color w:val="0000FF"/>
                  <w:sz w:val="18"/>
                  <w:u w:val="single"/>
                </w:rPr>
                <w:t>Certification of Principal Financial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395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465"/>
        <w:gridCol w:w="9370"/>
        <w:gridCol w:w="370"/>
      </w:tblGrid>
      <w:tr>
        <w:trPr/>
        <w:tc>
          <w:tcPr>
            <w:tcW w:w="465"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32.1+</w:t>
            </w:r>
          </w:p>
        </w:tc>
        <w:tc>
          <w:tcPr>
            <w:tcW w:w="9370" w:type="dxa"/>
            <w:tcBorders/>
            <w:shd w:fill="FFFFFF" w:val="clear"/>
            <w:vAlign w:val="center"/>
          </w:tcPr>
          <w:p>
            <w:pPr>
              <w:pStyle w:val="TableContents"/>
              <w:bidi w:val="0"/>
              <w:spacing w:lineRule="auto" w:line="259" w:before="0" w:after="283"/>
              <w:jc w:val="left"/>
              <w:rPr/>
            </w:pPr>
            <w:hyperlink w:anchor="rdi-20231231xex32_1.htm">
              <w:r>
                <w:rPr>
                  <w:rStyle w:val="InternetLink"/>
                  <w:rFonts w:ascii="Times New Roman;serif" w:hAnsi="Times New Roman;serif"/>
                  <w:b/>
                  <w:i w:val="false"/>
                  <w:caps w:val="false"/>
                  <w:smallCaps w:val="false"/>
                  <w:color w:val="0000FF"/>
                  <w:sz w:val="18"/>
                  <w:u w:val="single"/>
                </w:rPr>
                <w:t>Certification of Principal Executive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37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46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32.2+</w:t>
            </w:r>
          </w:p>
        </w:tc>
        <w:tc>
          <w:tcPr>
            <w:tcW w:w="9370" w:type="dxa"/>
            <w:tcBorders/>
            <w:shd w:fill="CCEEFF" w:val="clear"/>
            <w:vAlign w:val="center"/>
          </w:tcPr>
          <w:p>
            <w:pPr>
              <w:pStyle w:val="TableContents"/>
              <w:bidi w:val="0"/>
              <w:spacing w:lineRule="auto" w:line="259" w:before="0" w:after="283"/>
              <w:jc w:val="left"/>
              <w:rPr/>
            </w:pPr>
            <w:hyperlink w:anchor="rdi-20231231xex32_2.htm">
              <w:r>
                <w:rPr>
                  <w:rStyle w:val="InternetLink"/>
                  <w:rFonts w:ascii="Times New Roman;serif" w:hAnsi="Times New Roman;serif"/>
                  <w:b/>
                  <w:i w:val="false"/>
                  <w:caps w:val="false"/>
                  <w:smallCaps w:val="false"/>
                  <w:color w:val="0000FF"/>
                  <w:sz w:val="18"/>
                  <w:u w:val="single"/>
                </w:rPr>
                <w:t>Certification of Principal Financial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3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465"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937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 following material from our Company’s Annal Report on Form 10-K for the year ended December 31, 2020,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c>
          <w:tcPr>
            <w:tcW w:w="370" w:type="dxa"/>
            <w:tcBorders/>
            <w:shd w:fill="FFFFFF" w:val="clear"/>
            <w:vAlign w:val="center"/>
          </w:tcPr>
          <w:p>
            <w:pPr>
              <w:pStyle w:val="TableContents"/>
              <w:bidi w:val="0"/>
              <w:spacing w:before="0" w:after="283"/>
              <w:jc w:val="left"/>
              <w:rPr>
                <w:sz w:val="4"/>
                <w:szCs w:val="4"/>
              </w:rPr>
            </w:pPr>
            <w:r>
              <w:rPr>
                <w:sz w:val="4"/>
                <w:szCs w:val="4"/>
              </w:rPr>
            </w:r>
          </w:p>
        </w:tc>
      </w:tr>
      <w:tr>
        <w:trPr/>
        <w:tc>
          <w:tcPr>
            <w:tcW w:w="46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93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Cover Page Interactive Data File (formatted as inline XBRL and contained in Exhibit 101)</w:t>
            </w:r>
          </w:p>
        </w:tc>
        <w:tc>
          <w:tcPr>
            <w:tcW w:w="3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w:t>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or furnished herewith</w:t>
      </w:r>
    </w:p>
    <w:p>
      <w:pPr>
        <w:pStyle w:val="TextBody"/>
        <w:bidi w:val="0"/>
        <w:spacing w:lineRule="auto" w:line="259"/>
        <w:jc w:val="both"/>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 </w:t>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Indicates a management contract or compensatory plan or arrangement.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18"/>
        </w:rPr>
        <w:t>(1) Included is the amended and restated version of this exhibit, redlined to show the amendment adopted on November 7, 2017.</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SIGNATUR</w:t>
      </w:r>
      <w:bookmarkStart w:id="94" w:name="Signatures"/>
      <w:bookmarkEnd w:id="94"/>
      <w:r>
        <w:rPr>
          <w:rFonts w:ascii="Times New Roman;serif" w:hAnsi="Times New Roman;serif"/>
          <w:b/>
          <w:i w:val="false"/>
          <w:caps w:val="false"/>
          <w:smallCaps w:val="false"/>
          <w:sz w:val="28"/>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jc w:val="center"/>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w:t>
      </w:r>
    </w:p>
    <w:tbl>
      <w:tblPr>
        <w:tblW w:w="7639" w:type="dxa"/>
        <w:jc w:val="left"/>
        <w:tblInd w:w="0" w:type="dxa"/>
        <w:tblLayout w:type="fixed"/>
        <w:tblCellMar>
          <w:top w:w="0" w:type="dxa"/>
          <w:left w:w="0" w:type="dxa"/>
          <w:bottom w:w="0" w:type="dxa"/>
          <w:right w:w="0" w:type="dxa"/>
        </w:tblCellMar>
      </w:tblPr>
      <w:tblGrid>
        <w:gridCol w:w="556"/>
        <w:gridCol w:w="1396"/>
        <w:gridCol w:w="406"/>
        <w:gridCol w:w="5281"/>
      </w:tblGrid>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w:t>
            </w:r>
          </w:p>
        </w:tc>
        <w:tc>
          <w:tcPr>
            <w:tcW w:w="139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c>
          <w:tcPr>
            <w:tcW w:w="4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Financial Officer)</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the Securities and Exchange Act of 1934, this report has been signed below by the following persons on behalf of Registrant and in capacities and on dates indicated.</w:t>
      </w:r>
    </w:p>
    <w:tbl>
      <w:tblPr>
        <w:tblW w:w="9663" w:type="dxa"/>
        <w:jc w:val="left"/>
        <w:tblInd w:w="0" w:type="dxa"/>
        <w:tblLayout w:type="fixed"/>
        <w:tblCellMar>
          <w:top w:w="0" w:type="dxa"/>
          <w:left w:w="0" w:type="dxa"/>
          <w:bottom w:w="0" w:type="dxa"/>
          <w:right w:w="0" w:type="dxa"/>
        </w:tblCellMar>
      </w:tblPr>
      <w:tblGrid>
        <w:gridCol w:w="2176"/>
        <w:gridCol w:w="6046"/>
        <w:gridCol w:w="1441"/>
      </w:tblGrid>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lineRule="auto" w:line="259" w:before="0" w:after="283"/>
              <w:jc w:val="both"/>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w:t>
            </w:r>
          </w:p>
        </w:tc>
        <w:tc>
          <w:tcPr>
            <w:tcW w:w="6046"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Title(s)</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Date</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Chief Executive Officer and Vice Chair of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Executive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Financial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Controller and Chief Accounting Officer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Accounting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Margaret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Real Estate and Chair of the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Guy W. Adams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Douglas J. McEachern</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Dr. Judy Codding</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29, 2024</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TextBody"/>
        <w:bidi w:val="0"/>
        <w:spacing w:before="0" w:after="0"/>
        <w:ind w:left="1300" w:right="740" w:hanging="0"/>
        <w:jc w:val="left"/>
        <w:rPr>
          <w:rFonts w:cs="Times New Roman"/>
          <w:szCs w:val="22"/>
        </w:rPr>
      </w:pPr>
      <w:bookmarkStart w:id="95" w:name="rdi-20231231xex10_28.htm"/>
      <w:bookmarkStart w:id="96" w:name="ksrdi20231231xex10_28"/>
      <w:bookmarkEnd w:id="95"/>
      <w:bookmarkEnd w:id="96"/>
      <w:r>
        <w:rPr>
          <w:rFonts w:cs="Times New Roman"/>
          <w:szCs w:val="22"/>
        </w:rPr>
        <w:t xml:space="preserve">﻿ </w:t>
      </w:r>
      <w:r>
        <w:br w:type="page"/>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right"/>
        <w:rPr/>
      </w:pPr>
      <w:r>
        <w:rPr/>
        <w:drawing>
          <wp:inline distT="0" distB="0" distL="0" distR="0">
            <wp:extent cx="1085850" cy="476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84"/>
                    <a:stretch>
                      <a:fillRect/>
                    </a:stretch>
                  </pic:blipFill>
                  <pic:spPr bwMode="auto">
                    <a:xfrm>
                      <a:off x="0" y="0"/>
                      <a:ext cx="1085850" cy="476250"/>
                    </a:xfrm>
                    <a:prstGeom prst="rect">
                      <a:avLst/>
                    </a:prstGeom>
                  </pic:spPr>
                </pic:pic>
              </a:graphicData>
            </a:graphic>
          </wp:inline>
        </w:drawing>
      </w:r>
      <w:r>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4900" w:right="740" w:hanging="0"/>
        <w:jc w:val="right"/>
        <w:rPr>
          <w:rFonts w:ascii="Times New Roman" w:hAnsi="Times New Roman"/>
          <w:sz w:val="64"/>
        </w:rPr>
      </w:pPr>
      <w:r>
        <w:rPr>
          <w:rFonts w:ascii="Times New Roman" w:hAnsi="Times New Roman"/>
          <w:sz w:val="64"/>
        </w:rPr>
        <w:t xml:space="preserve">DEED OF SUBORDINATION  </w:t>
      </w:r>
    </w:p>
    <w:p>
      <w:pPr>
        <w:pStyle w:val="TextBody"/>
        <w:bidi w:val="0"/>
        <w:spacing w:before="0" w:after="0"/>
        <w:ind w:left="1300" w:right="740" w:hanging="0"/>
        <w:jc w:val="right"/>
        <w:rPr>
          <w:rFonts w:cs="Times New Roman"/>
          <w:szCs w:val="64"/>
        </w:rPr>
      </w:pPr>
      <w:r>
        <w:rPr>
          <w:rFonts w:cs="Times New Roman"/>
          <w:szCs w:val="64"/>
        </w:rPr>
        <w:t xml:space="preserve">﻿ </w:t>
      </w:r>
    </w:p>
    <w:p>
      <w:pPr>
        <w:pStyle w:val="TextBody"/>
        <w:bidi w:val="0"/>
        <w:spacing w:before="0" w:after="0"/>
        <w:ind w:left="1300" w:right="740" w:hanging="0"/>
        <w:jc w:val="right"/>
        <w:rPr>
          <w:rFonts w:ascii="Times New Roman" w:hAnsi="Times New Roman"/>
          <w:sz w:val="28"/>
        </w:rPr>
      </w:pPr>
      <w:r>
        <w:rPr>
          <w:rFonts w:ascii="Times New Roman" w:hAnsi="Times New Roman"/>
          <w:b/>
          <w:sz w:val="28"/>
        </w:rPr>
        <w:t>National Australia Bank Limited</w:t>
      </w:r>
      <w:r>
        <w:rPr>
          <w:rFonts w:ascii="Times New Roman" w:hAnsi="Times New Roman"/>
          <w:sz w:val="28"/>
        </w:rPr>
        <w:t xml:space="preserve"> </w:t>
      </w:r>
    </w:p>
    <w:p>
      <w:pPr>
        <w:pStyle w:val="TextBody"/>
        <w:bidi w:val="0"/>
        <w:spacing w:before="0" w:after="0"/>
        <w:ind w:left="1300" w:right="740" w:hanging="0"/>
        <w:jc w:val="right"/>
        <w:rPr>
          <w:rFonts w:ascii="Times New Roman" w:hAnsi="Times New Roman"/>
          <w:sz w:val="28"/>
        </w:rPr>
      </w:pPr>
      <w:r>
        <w:rPr>
          <w:rFonts w:ascii="Times New Roman" w:hAnsi="Times New Roman"/>
          <w:b/>
          <w:sz w:val="28"/>
        </w:rPr>
        <w:t>ABN 12 004 044 937</w:t>
      </w:r>
      <w:r>
        <w:rPr>
          <w:rFonts w:ascii="Times New Roman" w:hAnsi="Times New Roman"/>
          <w:sz w:val="28"/>
        </w:rPr>
        <w:t xml:space="preserve"> </w:t>
      </w:r>
    </w:p>
    <w:p>
      <w:pPr>
        <w:pStyle w:val="TextBody"/>
        <w:bidi w:val="0"/>
        <w:spacing w:before="0" w:after="0"/>
        <w:ind w:left="1300" w:right="740" w:hanging="0"/>
        <w:jc w:val="right"/>
        <w:rPr>
          <w:rFonts w:cs="Times New Roman"/>
          <w:szCs w:val="28"/>
        </w:rPr>
      </w:pPr>
      <w:r>
        <w:rPr>
          <w:rFonts w:cs="Times New Roman"/>
          <w:bCs/>
          <w:szCs w:val="28"/>
        </w:rPr>
        <w:t>﻿</w:t>
      </w:r>
      <w:r>
        <w:rPr>
          <w:rFonts w:cs="Times New Roman"/>
          <w:szCs w:val="28"/>
        </w:rPr>
        <w:t xml:space="preserve"> </w:t>
      </w:r>
    </w:p>
    <w:p>
      <w:pPr>
        <w:pStyle w:val="TextBody"/>
        <w:bidi w:val="0"/>
        <w:spacing w:before="0" w:after="0"/>
        <w:ind w:left="1300" w:right="740" w:hanging="0"/>
        <w:jc w:val="right"/>
        <w:rPr>
          <w:rFonts w:ascii="Times New Roman" w:hAnsi="Times New Roman"/>
          <w:b/>
          <w:sz w:val="28"/>
        </w:rPr>
      </w:pPr>
      <w:r>
        <w:rPr>
          <w:rFonts w:ascii="Times New Roman" w:hAnsi="Times New Roman"/>
          <w:b/>
          <w:sz w:val="28"/>
        </w:rPr>
        <w:t xml:space="preserve">and </w:t>
      </w:r>
    </w:p>
    <w:p>
      <w:pPr>
        <w:pStyle w:val="TextBody"/>
        <w:bidi w:val="0"/>
        <w:spacing w:before="0" w:after="0"/>
        <w:ind w:left="1300" w:right="740" w:hanging="0"/>
        <w:jc w:val="right"/>
        <w:rPr>
          <w:rFonts w:cs="Times New Roman"/>
          <w:szCs w:val="28"/>
        </w:rPr>
      </w:pPr>
      <w:r>
        <w:rPr>
          <w:rFonts w:cs="Times New Roman"/>
          <w:bCs/>
          <w:szCs w:val="28"/>
        </w:rPr>
        <w:t>﻿</w:t>
      </w:r>
      <w:r>
        <w:rPr>
          <w:rFonts w:cs="Times New Roman"/>
          <w:szCs w:val="28"/>
        </w:rPr>
        <w:t xml:space="preserve"> </w:t>
      </w:r>
    </w:p>
    <w:p>
      <w:pPr>
        <w:pStyle w:val="TextBody"/>
        <w:bidi w:val="0"/>
        <w:spacing w:before="0" w:after="0"/>
        <w:ind w:left="1300" w:right="740" w:hanging="0"/>
        <w:jc w:val="right"/>
        <w:rPr>
          <w:rFonts w:ascii="Times New Roman" w:hAnsi="Times New Roman"/>
          <w:sz w:val="28"/>
        </w:rPr>
      </w:pPr>
      <w:r>
        <w:rPr>
          <w:rFonts w:ascii="Times New Roman" w:hAnsi="Times New Roman"/>
          <w:b/>
          <w:sz w:val="28"/>
        </w:rPr>
        <w:t>Reading Entertainment Australia Pty Ltd</w:t>
      </w:r>
      <w:r>
        <w:rPr>
          <w:rFonts w:ascii="Times New Roman" w:hAnsi="Times New Roman"/>
          <w:sz w:val="28"/>
        </w:rPr>
        <w:t xml:space="preserve"> </w:t>
      </w:r>
    </w:p>
    <w:p>
      <w:pPr>
        <w:pStyle w:val="TextBody"/>
        <w:bidi w:val="0"/>
        <w:spacing w:before="0" w:after="0"/>
        <w:ind w:left="1300" w:right="740" w:hanging="0"/>
        <w:jc w:val="right"/>
        <w:rPr>
          <w:rFonts w:cs="Times New Roman"/>
          <w:szCs w:val="28"/>
        </w:rPr>
      </w:pPr>
      <w:r>
        <w:rPr>
          <w:rFonts w:cs="Times New Roman"/>
          <w:bCs/>
          <w:szCs w:val="28"/>
        </w:rPr>
        <w:t>﻿</w:t>
      </w:r>
      <w:r>
        <w:rPr>
          <w:rFonts w:cs="Times New Roman"/>
          <w:szCs w:val="28"/>
        </w:rPr>
        <w:t xml:space="preserve"> </w:t>
      </w:r>
    </w:p>
    <w:p>
      <w:pPr>
        <w:pStyle w:val="TextBody"/>
        <w:bidi w:val="0"/>
        <w:spacing w:before="0" w:after="0"/>
        <w:ind w:left="1300" w:right="740" w:hanging="0"/>
        <w:jc w:val="right"/>
        <w:rPr>
          <w:rFonts w:ascii="Times New Roman" w:hAnsi="Times New Roman"/>
          <w:b/>
          <w:sz w:val="28"/>
        </w:rPr>
      </w:pPr>
      <w:r>
        <w:rPr>
          <w:rFonts w:ascii="Times New Roman" w:hAnsi="Times New Roman"/>
          <w:b/>
          <w:sz w:val="28"/>
        </w:rPr>
        <w:t xml:space="preserve">and </w:t>
      </w:r>
    </w:p>
    <w:p>
      <w:pPr>
        <w:pStyle w:val="TextBody"/>
        <w:bidi w:val="0"/>
        <w:spacing w:before="0" w:after="0"/>
        <w:ind w:left="1300" w:right="740" w:hanging="0"/>
        <w:jc w:val="right"/>
        <w:rPr>
          <w:rFonts w:cs="Times New Roman"/>
          <w:szCs w:val="28"/>
        </w:rPr>
      </w:pPr>
      <w:r>
        <w:rPr>
          <w:rFonts w:cs="Times New Roman"/>
          <w:bCs/>
          <w:szCs w:val="28"/>
        </w:rPr>
        <w:t>﻿</w:t>
      </w:r>
      <w:r>
        <w:rPr>
          <w:rFonts w:cs="Times New Roman"/>
          <w:szCs w:val="28"/>
        </w:rPr>
        <w:t xml:space="preserve"> </w:t>
      </w:r>
    </w:p>
    <w:p>
      <w:pPr>
        <w:pStyle w:val="TextBody"/>
        <w:bidi w:val="0"/>
        <w:spacing w:before="0" w:after="0"/>
        <w:ind w:left="1300" w:right="740" w:hanging="0"/>
        <w:jc w:val="right"/>
        <w:rPr>
          <w:rFonts w:ascii="Times New Roman" w:hAnsi="Times New Roman"/>
          <w:sz w:val="28"/>
        </w:rPr>
      </w:pPr>
      <w:r>
        <w:rPr>
          <w:rFonts w:ascii="Times New Roman" w:hAnsi="Times New Roman"/>
          <w:b/>
          <w:sz w:val="28"/>
        </w:rPr>
        <w:t>Reading International Cinemas, LLC</w:t>
      </w:r>
      <w:r>
        <w:rPr>
          <w:rFonts w:ascii="Times New Roman" w:hAnsi="Times New Roman"/>
          <w:sz w:val="28"/>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right"/>
        <w:rPr>
          <w:rFonts w:ascii="Times New Roman" w:hAnsi="Times New Roman"/>
          <w:sz w:val="22"/>
        </w:rPr>
      </w:pPr>
      <w:r>
        <w:rPr>
          <w:rFonts w:ascii="Times New Roman" w:hAnsi="Times New Roman"/>
          <w:b/>
          <w:sz w:val="22"/>
        </w:rPr>
        <w:t>National Australia Bank Limited</w:t>
      </w:r>
      <w:r>
        <w:rPr>
          <w:rFonts w:ascii="Times New Roman" w:hAnsi="Times New Roman"/>
          <w:sz w:val="22"/>
        </w:rPr>
        <w:t xml:space="preserve"> </w:t>
      </w:r>
    </w:p>
    <w:p>
      <w:pPr>
        <w:pStyle w:val="TextBody"/>
        <w:bidi w:val="0"/>
        <w:spacing w:before="0" w:after="0"/>
        <w:ind w:left="1300" w:right="740" w:hanging="0"/>
        <w:jc w:val="right"/>
        <w:rPr>
          <w:rFonts w:ascii="Times New Roman" w:hAnsi="Times New Roman"/>
          <w:sz w:val="22"/>
        </w:rPr>
      </w:pPr>
      <w:r>
        <w:rPr>
          <w:rFonts w:ascii="Times New Roman" w:hAnsi="Times New Roman"/>
          <w:b/>
          <w:sz w:val="22"/>
        </w:rPr>
        <w:t>Level 17, 395 Bourke Street</w:t>
      </w:r>
      <w:r>
        <w:rPr>
          <w:rFonts w:ascii="Times New Roman" w:hAnsi="Times New Roman"/>
          <w:sz w:val="22"/>
        </w:rPr>
        <w:t xml:space="preserve"> </w:t>
      </w:r>
    </w:p>
    <w:p>
      <w:pPr>
        <w:pStyle w:val="TextBody"/>
        <w:bidi w:val="0"/>
        <w:spacing w:before="0" w:after="0"/>
        <w:ind w:left="1300" w:right="740" w:hanging="0"/>
        <w:jc w:val="right"/>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300" w:right="740" w:hanging="0"/>
        <w:jc w:val="right"/>
        <w:rPr>
          <w:rFonts w:ascii="Times New Roman" w:hAnsi="Times New Roman"/>
          <w:sz w:val="22"/>
        </w:rPr>
      </w:pPr>
      <w:r>
        <w:rPr>
          <w:rFonts w:ascii="Times New Roman" w:hAnsi="Times New Roman"/>
          <w:b/>
          <w:sz w:val="22"/>
        </w:rPr>
        <w:t>Melbourne VIC 3000</w:t>
      </w:r>
      <w:r>
        <w:rPr>
          <w:rFonts w:ascii="Times New Roman" w:hAnsi="Times New Roman"/>
          <w:sz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rFonts w:cs="Times New Roman"/>
          <w:szCs w:val="22"/>
        </w:rPr>
      </w:pPr>
      <w:r>
        <w:rPr>
          <w:rFonts w:cs="Times New Roman"/>
          <w:szCs w:val="22"/>
        </w:rPr>
        <w:t xml:space="preserve">﻿ </w:t>
      </w:r>
    </w:p>
    <w:p>
      <w:pPr>
        <w:pStyle w:val="TextBody"/>
        <w:bidi w:val="0"/>
        <w:spacing w:before="0" w:after="0"/>
        <w:ind w:left="1300" w:right="740" w:hanging="0"/>
        <w:jc w:val="left"/>
        <w:rPr/>
      </w:pPr>
      <w:r>
        <w:rPr/>
        <w:t xml:space="preserve">  </w:t>
      </w:r>
    </w:p>
    <w:p>
      <w:pPr>
        <w:pStyle w:val="HorizontalLine"/>
        <w:pBdr>
          <w:bottom w:val="double" w:sz="6" w:space="0" w:color="808080"/>
        </w:pBdr>
        <w:bidi w:val="0"/>
        <w:ind w:left="1300" w:right="1580" w:hanging="0"/>
        <w:jc w:val="left"/>
        <w:rPr/>
      </w:pPr>
      <w:r>
        <w:rPr/>
      </w:r>
    </w:p>
    <w:p>
      <w:pPr>
        <w:pStyle w:val="TextBody"/>
        <w:bidi w:val="0"/>
        <w:ind w:left="1300" w:right="1580" w:hanging="0"/>
        <w:jc w:val="left"/>
        <w:rPr/>
      </w:pPr>
      <w:r>
        <w:rPr/>
        <w:t> </w:t>
      </w:r>
      <w:r>
        <w:br w:type="page"/>
      </w:r>
    </w:p>
    <w:p>
      <w:pPr>
        <w:pStyle w:val="TextBody"/>
        <w:bidi w:val="0"/>
        <w:spacing w:before="0" w:after="0"/>
        <w:ind w:left="1300" w:right="1580" w:hanging="0"/>
        <w:jc w:val="left"/>
        <w:rPr>
          <w:rFonts w:ascii="Times New Roman" w:hAnsi="Times New Roman"/>
          <w:sz w:val="22"/>
        </w:rPr>
      </w:pPr>
      <w:r>
        <w:rPr>
          <w:rFonts w:ascii="Times New Roman" w:hAnsi="Times New Roman"/>
          <w:b/>
          <w:sz w:val="22"/>
        </w:rPr>
        <w:t>Contents</w:t>
      </w:r>
      <w:r>
        <w:rPr>
          <w:rFonts w:ascii="Times New Roman" w:hAnsi="Times New Roman"/>
          <w:sz w:val="22"/>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tbl>
      <w:tblPr>
        <w:tblW w:w="6945" w:type="dxa"/>
        <w:jc w:val="left"/>
        <w:tblInd w:w="1300" w:type="dxa"/>
        <w:tblLayout w:type="fixed"/>
        <w:tblCellMar>
          <w:top w:w="0" w:type="dxa"/>
          <w:left w:w="0" w:type="dxa"/>
          <w:bottom w:w="0" w:type="dxa"/>
          <w:right w:w="0" w:type="dxa"/>
        </w:tblCellMar>
      </w:tblPr>
      <w:tblGrid>
        <w:gridCol w:w="455"/>
        <w:gridCol w:w="6095"/>
        <w:gridCol w:w="395"/>
      </w:tblGrid>
      <w:tr>
        <w:trPr/>
        <w:tc>
          <w:tcPr>
            <w:tcW w:w="455" w:type="dxa"/>
            <w:tcBorders/>
            <w:vAlign w:val="center"/>
          </w:tcPr>
          <w:p>
            <w:pPr>
              <w:pStyle w:val="TableContents"/>
              <w:bidi w:val="0"/>
              <w:spacing w:before="0" w:after="0"/>
              <w:ind w:left="0" w:right="0" w:hanging="0"/>
              <w:jc w:val="left"/>
              <w:rPr>
                <w:rFonts w:cs="Times New Roman"/>
                <w:szCs w:val="2"/>
              </w:rPr>
            </w:pPr>
            <w:r>
              <w:rPr>
                <w:rFonts w:cs="Times New Roman"/>
                <w:szCs w:val="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1">
              <w:r>
                <w:rPr>
                  <w:rStyle w:val="InternetLink"/>
                  <w:rFonts w:ascii="Times New Roman" w:hAnsi="Times New Roman"/>
                  <w:b/>
                  <w:sz w:val="22"/>
                </w:rPr>
                <w:t>1</w:t>
              </w:r>
            </w:hyperlink>
          </w:p>
        </w:tc>
        <w:tc>
          <w:tcPr>
            <w:tcW w:w="6095" w:type="dxa"/>
            <w:tcBorders/>
            <w:vAlign w:val="center"/>
          </w:tcPr>
          <w:p>
            <w:pPr>
              <w:pStyle w:val="TableContents"/>
              <w:bidi w:val="0"/>
              <w:spacing w:before="0" w:after="0"/>
              <w:ind w:left="0" w:right="0" w:hanging="0"/>
              <w:jc w:val="left"/>
              <w:rPr/>
            </w:pPr>
            <w:hyperlink w:anchor="a1">
              <w:r>
                <w:rPr>
                  <w:rStyle w:val="InternetLink"/>
                  <w:rFonts w:ascii="Times New Roman" w:hAnsi="Times New Roman"/>
                  <w:b/>
                  <w:sz w:val="22"/>
                </w:rPr>
                <w:t>Interpretation</w:t>
              </w:r>
            </w:hyperlink>
          </w:p>
        </w:tc>
        <w:tc>
          <w:tcPr>
            <w:tcW w:w="395" w:type="dxa"/>
            <w:tcBorders/>
            <w:vAlign w:val="center"/>
          </w:tcPr>
          <w:p>
            <w:pPr>
              <w:pStyle w:val="TableContents"/>
              <w:bidi w:val="0"/>
              <w:spacing w:before="0" w:after="283"/>
              <w:jc w:val="left"/>
              <w:rPr/>
            </w:pPr>
            <w:r>
              <w:rPr/>
              <w:t xml:space="preserve">1 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s1">
              <w:r>
                <w:rPr>
                  <w:rStyle w:val="InternetLink"/>
                  <w:rFonts w:ascii="Times New Roman" w:hAnsi="Times New Roman"/>
                  <w:sz w:val="22"/>
                </w:rPr>
                <w:t>1.1</w:t>
              </w:r>
            </w:hyperlink>
          </w:p>
        </w:tc>
        <w:tc>
          <w:tcPr>
            <w:tcW w:w="6095" w:type="dxa"/>
            <w:tcBorders/>
            <w:vAlign w:val="center"/>
          </w:tcPr>
          <w:p>
            <w:pPr>
              <w:pStyle w:val="TableContents"/>
              <w:bidi w:val="0"/>
              <w:spacing w:before="0" w:after="0"/>
              <w:ind w:left="0" w:right="0" w:hanging="0"/>
              <w:jc w:val="left"/>
              <w:rPr/>
            </w:pPr>
            <w:hyperlink w:anchor="a1s1">
              <w:r>
                <w:rPr>
                  <w:rStyle w:val="InternetLink"/>
                  <w:rFonts w:ascii="Times New Roman" w:hAnsi="Times New Roman"/>
                  <w:sz w:val="22"/>
                </w:rPr>
                <w:t>Definitions</w:t>
              </w:r>
            </w:hyperlink>
          </w:p>
        </w:tc>
        <w:tc>
          <w:tcPr>
            <w:tcW w:w="395" w:type="dxa"/>
            <w:tcBorders/>
            <w:vAlign w:val="center"/>
          </w:tcPr>
          <w:p>
            <w:pPr>
              <w:pStyle w:val="TableContents"/>
              <w:bidi w:val="0"/>
              <w:spacing w:before="0" w:after="283"/>
              <w:jc w:val="left"/>
              <w:rPr/>
            </w:pPr>
            <w:r>
              <w:rPr/>
              <w:t xml:space="preserve">1 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s2">
              <w:r>
                <w:rPr>
                  <w:rStyle w:val="InternetLink"/>
                  <w:rFonts w:ascii="Times New Roman" w:hAnsi="Times New Roman"/>
                  <w:sz w:val="22"/>
                </w:rPr>
                <w:t>1.2</w:t>
              </w:r>
            </w:hyperlink>
          </w:p>
        </w:tc>
        <w:tc>
          <w:tcPr>
            <w:tcW w:w="6095" w:type="dxa"/>
            <w:tcBorders/>
            <w:vAlign w:val="center"/>
          </w:tcPr>
          <w:p>
            <w:pPr>
              <w:pStyle w:val="TableContents"/>
              <w:bidi w:val="0"/>
              <w:spacing w:before="0" w:after="0"/>
              <w:ind w:left="0" w:right="0" w:hanging="0"/>
              <w:jc w:val="left"/>
              <w:rPr/>
            </w:pPr>
            <w:hyperlink w:anchor="a1s2">
              <w:r>
                <w:rPr>
                  <w:rStyle w:val="InternetLink"/>
                  <w:rFonts w:ascii="Times New Roman" w:hAnsi="Times New Roman"/>
                  <w:sz w:val="22"/>
                </w:rPr>
                <w:t>Construction</w:t>
              </w:r>
            </w:hyperlink>
          </w:p>
        </w:tc>
        <w:tc>
          <w:tcPr>
            <w:tcW w:w="395" w:type="dxa"/>
            <w:tcBorders/>
            <w:vAlign w:val="center"/>
          </w:tcPr>
          <w:p>
            <w:pPr>
              <w:pStyle w:val="TableContents"/>
              <w:bidi w:val="0"/>
              <w:spacing w:before="0" w:after="283"/>
              <w:jc w:val="left"/>
              <w:rPr/>
            </w:pPr>
            <w:r>
              <w:rPr/>
              <w:t xml:space="preserve">2 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s3">
              <w:r>
                <w:rPr>
                  <w:rStyle w:val="InternetLink"/>
                  <w:rFonts w:ascii="Times New Roman" w:hAnsi="Times New Roman"/>
                  <w:sz w:val="22"/>
                </w:rPr>
                <w:t>1.3</w:t>
              </w:r>
            </w:hyperlink>
          </w:p>
        </w:tc>
        <w:tc>
          <w:tcPr>
            <w:tcW w:w="6095" w:type="dxa"/>
            <w:tcBorders/>
            <w:vAlign w:val="center"/>
          </w:tcPr>
          <w:p>
            <w:pPr>
              <w:pStyle w:val="TableContents"/>
              <w:bidi w:val="0"/>
              <w:spacing w:before="0" w:after="0"/>
              <w:ind w:left="0" w:right="0" w:hanging="0"/>
              <w:jc w:val="left"/>
              <w:rPr/>
            </w:pPr>
            <w:hyperlink w:anchor="a1s3">
              <w:r>
                <w:rPr>
                  <w:rStyle w:val="InternetLink"/>
                  <w:rFonts w:ascii="Times New Roman" w:hAnsi="Times New Roman"/>
                  <w:sz w:val="22"/>
                </w:rPr>
                <w:t>GST</w:t>
              </w:r>
            </w:hyperlink>
          </w:p>
        </w:tc>
        <w:tc>
          <w:tcPr>
            <w:tcW w:w="395" w:type="dxa"/>
            <w:tcBorders/>
            <w:vAlign w:val="center"/>
          </w:tcPr>
          <w:p>
            <w:pPr>
              <w:pStyle w:val="TableContents"/>
              <w:bidi w:val="0"/>
              <w:spacing w:before="0" w:after="283"/>
              <w:jc w:val="left"/>
              <w:rPr/>
            </w:pPr>
            <w:r>
              <w:rPr/>
              <w:t xml:space="preserve">3 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s4">
              <w:r>
                <w:rPr>
                  <w:rStyle w:val="InternetLink"/>
                  <w:rFonts w:ascii="Times New Roman" w:hAnsi="Times New Roman"/>
                  <w:sz w:val="22"/>
                </w:rPr>
                <w:t>1.4</w:t>
              </w:r>
            </w:hyperlink>
          </w:p>
        </w:tc>
        <w:tc>
          <w:tcPr>
            <w:tcW w:w="6095" w:type="dxa"/>
            <w:tcBorders/>
            <w:vAlign w:val="center"/>
          </w:tcPr>
          <w:p>
            <w:pPr>
              <w:pStyle w:val="TableContents"/>
              <w:bidi w:val="0"/>
              <w:spacing w:before="0" w:after="0"/>
              <w:ind w:left="0" w:right="0" w:hanging="0"/>
              <w:jc w:val="left"/>
              <w:rPr/>
            </w:pPr>
            <w:hyperlink w:anchor="a1s4">
              <w:r>
                <w:rPr>
                  <w:rStyle w:val="InternetLink"/>
                  <w:rFonts w:ascii="Times New Roman" w:hAnsi="Times New Roman"/>
                  <w:sz w:val="22"/>
                </w:rPr>
                <w:t>Subsisting Insolvency Events</w:t>
              </w:r>
            </w:hyperlink>
          </w:p>
        </w:tc>
        <w:tc>
          <w:tcPr>
            <w:tcW w:w="395" w:type="dxa"/>
            <w:tcBorders/>
            <w:vAlign w:val="center"/>
          </w:tcPr>
          <w:p>
            <w:pPr>
              <w:pStyle w:val="TableContents"/>
              <w:bidi w:val="0"/>
              <w:spacing w:before="0" w:after="283"/>
              <w:jc w:val="left"/>
              <w:rPr/>
            </w:pPr>
            <w:r>
              <w:rPr/>
              <w:t xml:space="preserve">3 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2">
              <w:r>
                <w:rPr>
                  <w:rStyle w:val="InternetLink"/>
                  <w:rFonts w:ascii="Times New Roman" w:hAnsi="Times New Roman"/>
                  <w:b/>
                  <w:sz w:val="22"/>
                </w:rPr>
                <w:t>2</w:t>
              </w:r>
            </w:hyperlink>
          </w:p>
        </w:tc>
        <w:tc>
          <w:tcPr>
            <w:tcW w:w="6095" w:type="dxa"/>
            <w:tcBorders/>
            <w:vAlign w:val="center"/>
          </w:tcPr>
          <w:p>
            <w:pPr>
              <w:pStyle w:val="TableContents"/>
              <w:bidi w:val="0"/>
              <w:spacing w:before="0" w:after="0"/>
              <w:ind w:left="0" w:right="0" w:hanging="0"/>
              <w:jc w:val="left"/>
              <w:rPr/>
            </w:pPr>
            <w:hyperlink w:anchor="a2">
              <w:r>
                <w:rPr>
                  <w:rStyle w:val="InternetLink"/>
                  <w:rFonts w:ascii="Times New Roman" w:hAnsi="Times New Roman"/>
                  <w:b/>
                  <w:sz w:val="22"/>
                </w:rPr>
                <w:t>Consideration</w:t>
              </w:r>
            </w:hyperlink>
          </w:p>
        </w:tc>
        <w:tc>
          <w:tcPr>
            <w:tcW w:w="395" w:type="dxa"/>
            <w:tcBorders/>
            <w:vAlign w:val="center"/>
          </w:tcPr>
          <w:p>
            <w:pPr>
              <w:pStyle w:val="TableContents"/>
              <w:bidi w:val="0"/>
              <w:spacing w:before="0" w:after="283"/>
              <w:jc w:val="left"/>
              <w:rPr/>
            </w:pPr>
            <w:r>
              <w:rPr/>
              <w:t xml:space="preserve">3  </w:t>
            </w:r>
          </w:p>
        </w:tc>
      </w:tr>
      <w:tr>
        <w:trPr/>
        <w:tc>
          <w:tcPr>
            <w:tcW w:w="455" w:type="dxa"/>
            <w:tcBorders/>
            <w:vAlign w:val="center"/>
          </w:tcPr>
          <w:p>
            <w:pPr>
              <w:pStyle w:val="TableContents"/>
              <w:bidi w:val="0"/>
              <w:spacing w:before="0" w:after="0"/>
              <w:ind w:left="0" w:right="0" w:hanging="0"/>
              <w:jc w:val="right"/>
              <w:rPr>
                <w:rFonts w:cs="Times New Roman"/>
                <w:bCs/>
                <w:color w:val="000000"/>
                <w:szCs w:val="22"/>
              </w:rPr>
            </w:pPr>
            <w:r>
              <w:rPr>
                <w:rFonts w:cs="Times New Roman"/>
                <w:bCs/>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3">
              <w:r>
                <w:rPr>
                  <w:rStyle w:val="InternetLink"/>
                  <w:rFonts w:ascii="Times New Roman" w:hAnsi="Times New Roman"/>
                  <w:b/>
                  <w:sz w:val="22"/>
                </w:rPr>
                <w:t>3</w:t>
              </w:r>
            </w:hyperlink>
          </w:p>
        </w:tc>
        <w:tc>
          <w:tcPr>
            <w:tcW w:w="6095" w:type="dxa"/>
            <w:tcBorders/>
            <w:vAlign w:val="center"/>
          </w:tcPr>
          <w:p>
            <w:pPr>
              <w:pStyle w:val="TableContents"/>
              <w:bidi w:val="0"/>
              <w:spacing w:before="0" w:after="0"/>
              <w:ind w:left="0" w:right="0" w:hanging="0"/>
              <w:jc w:val="left"/>
              <w:rPr/>
            </w:pPr>
            <w:hyperlink w:anchor="a3">
              <w:r>
                <w:rPr>
                  <w:rStyle w:val="InternetLink"/>
                  <w:rFonts w:ascii="Times New Roman" w:hAnsi="Times New Roman"/>
                  <w:b/>
                  <w:sz w:val="22"/>
                </w:rPr>
                <w:t>Subordination</w:t>
              </w:r>
            </w:hyperlink>
          </w:p>
        </w:tc>
        <w:tc>
          <w:tcPr>
            <w:tcW w:w="395" w:type="dxa"/>
            <w:tcBorders/>
            <w:vAlign w:val="center"/>
          </w:tcPr>
          <w:p>
            <w:pPr>
              <w:pStyle w:val="TableContents"/>
              <w:bidi w:val="0"/>
              <w:spacing w:before="0" w:after="283"/>
              <w:jc w:val="left"/>
              <w:rPr/>
            </w:pPr>
            <w:r>
              <w:rPr/>
              <w:t xml:space="preserve">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1">
              <w:r>
                <w:rPr>
                  <w:rStyle w:val="InternetLink"/>
                  <w:rFonts w:ascii="Times New Roman" w:hAnsi="Times New Roman"/>
                  <w:sz w:val="22"/>
                </w:rPr>
                <w:t>3.1</w:t>
              </w:r>
            </w:hyperlink>
          </w:p>
        </w:tc>
        <w:tc>
          <w:tcPr>
            <w:tcW w:w="6095" w:type="dxa"/>
            <w:tcBorders/>
            <w:vAlign w:val="center"/>
          </w:tcPr>
          <w:p>
            <w:pPr>
              <w:pStyle w:val="TableContents"/>
              <w:bidi w:val="0"/>
              <w:spacing w:before="0" w:after="0"/>
              <w:ind w:left="0" w:right="0" w:hanging="0"/>
              <w:jc w:val="left"/>
              <w:rPr/>
            </w:pPr>
            <w:hyperlink w:anchor="a3s1">
              <w:r>
                <w:rPr>
                  <w:rStyle w:val="InternetLink"/>
                  <w:rFonts w:ascii="Times New Roman" w:hAnsi="Times New Roman"/>
                  <w:sz w:val="22"/>
                </w:rPr>
                <w:t>Junior Debt subordinated until Senior Debt repaid</w:t>
              </w:r>
            </w:hyperlink>
          </w:p>
        </w:tc>
        <w:tc>
          <w:tcPr>
            <w:tcW w:w="395" w:type="dxa"/>
            <w:tcBorders/>
            <w:vAlign w:val="center"/>
          </w:tcPr>
          <w:p>
            <w:pPr>
              <w:pStyle w:val="TableContents"/>
              <w:bidi w:val="0"/>
              <w:spacing w:before="0" w:after="283"/>
              <w:jc w:val="left"/>
              <w:rPr/>
            </w:pPr>
            <w:r>
              <w:rPr/>
              <w:t xml:space="preserve">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2">
              <w:r>
                <w:rPr>
                  <w:rStyle w:val="InternetLink"/>
                  <w:rFonts w:ascii="Times New Roman" w:hAnsi="Times New Roman"/>
                  <w:sz w:val="22"/>
                </w:rPr>
                <w:t>3.2</w:t>
              </w:r>
            </w:hyperlink>
          </w:p>
        </w:tc>
        <w:tc>
          <w:tcPr>
            <w:tcW w:w="6095" w:type="dxa"/>
            <w:tcBorders/>
            <w:vAlign w:val="center"/>
          </w:tcPr>
          <w:p>
            <w:pPr>
              <w:pStyle w:val="TableContents"/>
              <w:bidi w:val="0"/>
              <w:spacing w:before="0" w:after="0"/>
              <w:ind w:left="0" w:right="0" w:hanging="0"/>
              <w:jc w:val="left"/>
              <w:rPr/>
            </w:pPr>
            <w:hyperlink w:anchor="a3s2">
              <w:r>
                <w:rPr>
                  <w:rStyle w:val="InternetLink"/>
                  <w:rFonts w:ascii="Times New Roman" w:hAnsi="Times New Roman"/>
                  <w:sz w:val="22"/>
                </w:rPr>
                <w:t>Contingent debt</w:t>
              </w:r>
            </w:hyperlink>
          </w:p>
        </w:tc>
        <w:tc>
          <w:tcPr>
            <w:tcW w:w="395" w:type="dxa"/>
            <w:tcBorders/>
            <w:vAlign w:val="center"/>
          </w:tcPr>
          <w:p>
            <w:pPr>
              <w:pStyle w:val="TableContents"/>
              <w:bidi w:val="0"/>
              <w:spacing w:before="0" w:after="283"/>
              <w:jc w:val="left"/>
              <w:rPr/>
            </w:pPr>
            <w:r>
              <w:rPr/>
              <w:t xml:space="preserve">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3">
              <w:r>
                <w:rPr>
                  <w:rStyle w:val="InternetLink"/>
                  <w:rFonts w:ascii="Times New Roman" w:hAnsi="Times New Roman"/>
                  <w:sz w:val="22"/>
                </w:rPr>
                <w:t>3.3</w:t>
              </w:r>
            </w:hyperlink>
          </w:p>
        </w:tc>
        <w:tc>
          <w:tcPr>
            <w:tcW w:w="6095" w:type="dxa"/>
            <w:tcBorders/>
            <w:vAlign w:val="center"/>
          </w:tcPr>
          <w:p>
            <w:pPr>
              <w:pStyle w:val="TableContents"/>
              <w:bidi w:val="0"/>
              <w:spacing w:before="0" w:after="0"/>
              <w:ind w:left="0" w:right="0" w:hanging="0"/>
              <w:jc w:val="left"/>
              <w:rPr/>
            </w:pPr>
            <w:hyperlink w:anchor="a3s3">
              <w:r>
                <w:rPr>
                  <w:rStyle w:val="InternetLink"/>
                  <w:rFonts w:ascii="Times New Roman" w:hAnsi="Times New Roman"/>
                  <w:sz w:val="22"/>
                </w:rPr>
                <w:t>Company may not discharge Junior Debt</w:t>
              </w:r>
            </w:hyperlink>
          </w:p>
        </w:tc>
        <w:tc>
          <w:tcPr>
            <w:tcW w:w="395" w:type="dxa"/>
            <w:tcBorders/>
            <w:vAlign w:val="center"/>
          </w:tcPr>
          <w:p>
            <w:pPr>
              <w:pStyle w:val="TableContents"/>
              <w:bidi w:val="0"/>
              <w:spacing w:before="0" w:after="283"/>
              <w:jc w:val="left"/>
              <w:rPr/>
            </w:pPr>
            <w:r>
              <w:rPr/>
              <w:t xml:space="preserve">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4">
              <w:r>
                <w:rPr>
                  <w:rStyle w:val="InternetLink"/>
                  <w:rFonts w:ascii="Times New Roman" w:hAnsi="Times New Roman"/>
                  <w:sz w:val="22"/>
                </w:rPr>
                <w:t>3.4</w:t>
              </w:r>
            </w:hyperlink>
          </w:p>
        </w:tc>
        <w:tc>
          <w:tcPr>
            <w:tcW w:w="6095" w:type="dxa"/>
            <w:tcBorders/>
            <w:vAlign w:val="center"/>
          </w:tcPr>
          <w:p>
            <w:pPr>
              <w:pStyle w:val="TableContents"/>
              <w:bidi w:val="0"/>
              <w:spacing w:before="0" w:after="0"/>
              <w:ind w:left="0" w:right="0" w:hanging="0"/>
              <w:jc w:val="left"/>
              <w:rPr/>
            </w:pPr>
            <w:hyperlink w:anchor="a3s4">
              <w:r>
                <w:rPr>
                  <w:rStyle w:val="InternetLink"/>
                  <w:rFonts w:ascii="Times New Roman" w:hAnsi="Times New Roman"/>
                  <w:sz w:val="22"/>
                </w:rPr>
                <w:t>Junior Creditor not to receive payments</w:t>
              </w:r>
            </w:hyperlink>
          </w:p>
        </w:tc>
        <w:tc>
          <w:tcPr>
            <w:tcW w:w="395" w:type="dxa"/>
            <w:tcBorders/>
            <w:vAlign w:val="center"/>
          </w:tcPr>
          <w:p>
            <w:pPr>
              <w:pStyle w:val="TableContents"/>
              <w:bidi w:val="0"/>
              <w:spacing w:before="0" w:after="283"/>
              <w:jc w:val="left"/>
              <w:rPr/>
            </w:pPr>
            <w:r>
              <w:rPr/>
              <w:t xml:space="preserve">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5">
              <w:r>
                <w:rPr>
                  <w:rStyle w:val="InternetLink"/>
                  <w:rFonts w:ascii="Times New Roman" w:hAnsi="Times New Roman"/>
                  <w:sz w:val="22"/>
                </w:rPr>
                <w:t>3.5</w:t>
              </w:r>
            </w:hyperlink>
          </w:p>
        </w:tc>
        <w:tc>
          <w:tcPr>
            <w:tcW w:w="6095" w:type="dxa"/>
            <w:tcBorders/>
            <w:vAlign w:val="center"/>
          </w:tcPr>
          <w:p>
            <w:pPr>
              <w:pStyle w:val="TableContents"/>
              <w:bidi w:val="0"/>
              <w:spacing w:before="0" w:after="0"/>
              <w:ind w:left="0" w:right="0" w:hanging="0"/>
              <w:jc w:val="left"/>
              <w:rPr/>
            </w:pPr>
            <w:hyperlink w:anchor="a3s5">
              <w:r>
                <w:rPr>
                  <w:rStyle w:val="InternetLink"/>
                  <w:rFonts w:ascii="Times New Roman" w:hAnsi="Times New Roman"/>
                  <w:sz w:val="22"/>
                </w:rPr>
                <w:t>Proceeds trust</w:t>
              </w:r>
            </w:hyperlink>
          </w:p>
        </w:tc>
        <w:tc>
          <w:tcPr>
            <w:tcW w:w="395" w:type="dxa"/>
            <w:tcBorders/>
            <w:vAlign w:val="center"/>
          </w:tcPr>
          <w:p>
            <w:pPr>
              <w:pStyle w:val="TableContents"/>
              <w:bidi w:val="0"/>
              <w:spacing w:before="0" w:after="283"/>
              <w:jc w:val="left"/>
              <w:rPr/>
            </w:pPr>
            <w:r>
              <w:rPr/>
              <w:t xml:space="preserve">5 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6">
              <w:r>
                <w:rPr>
                  <w:rStyle w:val="InternetLink"/>
                  <w:rFonts w:ascii="Times New Roman" w:hAnsi="Times New Roman"/>
                  <w:sz w:val="22"/>
                </w:rPr>
                <w:t>3.6</w:t>
              </w:r>
            </w:hyperlink>
          </w:p>
        </w:tc>
        <w:tc>
          <w:tcPr>
            <w:tcW w:w="6095" w:type="dxa"/>
            <w:tcBorders/>
            <w:vAlign w:val="center"/>
          </w:tcPr>
          <w:p>
            <w:pPr>
              <w:pStyle w:val="TableContents"/>
              <w:bidi w:val="0"/>
              <w:spacing w:before="0" w:after="0"/>
              <w:ind w:left="0" w:right="0" w:hanging="0"/>
              <w:jc w:val="left"/>
              <w:rPr/>
            </w:pPr>
            <w:hyperlink w:anchor="a3s6">
              <w:r>
                <w:rPr>
                  <w:rStyle w:val="InternetLink"/>
                  <w:rFonts w:ascii="Times New Roman" w:hAnsi="Times New Roman"/>
                  <w:sz w:val="22"/>
                </w:rPr>
                <w:t>Turnover obligation</w:t>
              </w:r>
            </w:hyperlink>
          </w:p>
        </w:tc>
        <w:tc>
          <w:tcPr>
            <w:tcW w:w="395" w:type="dxa"/>
            <w:tcBorders/>
            <w:vAlign w:val="center"/>
          </w:tcPr>
          <w:p>
            <w:pPr>
              <w:pStyle w:val="TableContents"/>
              <w:bidi w:val="0"/>
              <w:spacing w:before="0" w:after="283"/>
              <w:jc w:val="left"/>
              <w:rPr/>
            </w:pPr>
            <w:r>
              <w:rPr/>
              <w:t xml:space="preserve">5  </w:t>
            </w:r>
          </w:p>
        </w:tc>
      </w:tr>
      <w:tr>
        <w:trPr/>
        <w:tc>
          <w:tcPr>
            <w:tcW w:w="455" w:type="dxa"/>
            <w:tcBorders/>
            <w:vAlign w:val="center"/>
          </w:tcPr>
          <w:p>
            <w:pPr>
              <w:pStyle w:val="TableContents"/>
              <w:bidi w:val="0"/>
              <w:spacing w:before="0" w:after="0"/>
              <w:ind w:left="0" w:right="0" w:hanging="0"/>
              <w:jc w:val="both"/>
              <w:rPr/>
            </w:pPr>
            <w:r>
              <w:rPr>
                <w:rFonts w:cs="Times New Roman"/>
                <w:color w:val="000000"/>
                <w:szCs w:val="22"/>
              </w:rPr>
              <w:t>﻿</w:t>
            </w:r>
            <w:hyperlink w:anchor="a3s7">
              <w:r>
                <w:rPr>
                  <w:rStyle w:val="InternetLink"/>
                  <w:rFonts w:ascii="Times New Roman" w:hAnsi="Times New Roman"/>
                  <w:sz w:val="22"/>
                </w:rPr>
                <w:t>3.7</w:t>
              </w:r>
            </w:hyperlink>
          </w:p>
        </w:tc>
        <w:tc>
          <w:tcPr>
            <w:tcW w:w="6095" w:type="dxa"/>
            <w:tcBorders/>
            <w:vAlign w:val="center"/>
          </w:tcPr>
          <w:p>
            <w:pPr>
              <w:pStyle w:val="TableContents"/>
              <w:bidi w:val="0"/>
              <w:spacing w:before="0" w:after="0"/>
              <w:ind w:left="0" w:right="0" w:hanging="0"/>
              <w:jc w:val="left"/>
              <w:rPr/>
            </w:pPr>
            <w:hyperlink w:anchor="a3s7">
              <w:r>
                <w:rPr>
                  <w:rStyle w:val="InternetLink"/>
                  <w:rFonts w:ascii="Times New Roman" w:hAnsi="Times New Roman"/>
                  <w:sz w:val="22"/>
                </w:rPr>
                <w:t>Indemnity</w:t>
              </w:r>
            </w:hyperlink>
          </w:p>
        </w:tc>
        <w:tc>
          <w:tcPr>
            <w:tcW w:w="395" w:type="dxa"/>
            <w:tcBorders/>
            <w:vAlign w:val="center"/>
          </w:tcPr>
          <w:p>
            <w:pPr>
              <w:pStyle w:val="TableContents"/>
              <w:bidi w:val="0"/>
              <w:spacing w:before="0" w:after="283"/>
              <w:jc w:val="left"/>
              <w:rPr/>
            </w:pPr>
            <w:r>
              <w:rPr/>
              <w:t xml:space="preserve">5  </w:t>
            </w:r>
          </w:p>
        </w:tc>
      </w:tr>
      <w:tr>
        <w:trPr/>
        <w:tc>
          <w:tcPr>
            <w:tcW w:w="455" w:type="dxa"/>
            <w:tcBorders/>
            <w:vAlign w:val="center"/>
          </w:tcPr>
          <w:p>
            <w:pPr>
              <w:pStyle w:val="TableContents"/>
              <w:bidi w:val="0"/>
              <w:spacing w:before="0" w:after="0"/>
              <w:ind w:left="0" w:right="0" w:hanging="0"/>
              <w:jc w:val="both"/>
              <w:rPr/>
            </w:pPr>
            <w:r>
              <w:rPr>
                <w:rFonts w:cs="Times New Roman"/>
                <w:color w:val="000000"/>
                <w:szCs w:val="22"/>
              </w:rPr>
              <w:t>﻿</w:t>
            </w:r>
            <w:hyperlink w:anchor="a3s8">
              <w:r>
                <w:rPr>
                  <w:rStyle w:val="InternetLink"/>
                  <w:rFonts w:ascii="Times New Roman" w:hAnsi="Times New Roman"/>
                  <w:sz w:val="22"/>
                </w:rPr>
                <w:t>3.8</w:t>
              </w:r>
            </w:hyperlink>
          </w:p>
        </w:tc>
        <w:tc>
          <w:tcPr>
            <w:tcW w:w="6095" w:type="dxa"/>
            <w:tcBorders/>
            <w:vAlign w:val="center"/>
          </w:tcPr>
          <w:p>
            <w:pPr>
              <w:pStyle w:val="TableContents"/>
              <w:bidi w:val="0"/>
              <w:spacing w:before="0" w:after="0"/>
              <w:ind w:left="0" w:right="0" w:hanging="0"/>
              <w:jc w:val="left"/>
              <w:rPr/>
            </w:pPr>
            <w:hyperlink w:anchor="a3s8">
              <w:r>
                <w:rPr>
                  <w:rStyle w:val="InternetLink"/>
                  <w:rFonts w:ascii="Times New Roman" w:hAnsi="Times New Roman"/>
                  <w:sz w:val="22"/>
                </w:rPr>
                <w:t>Permitted Payments</w:t>
              </w:r>
            </w:hyperlink>
          </w:p>
        </w:tc>
        <w:tc>
          <w:tcPr>
            <w:tcW w:w="395" w:type="dxa"/>
            <w:tcBorders/>
            <w:vAlign w:val="center"/>
          </w:tcPr>
          <w:p>
            <w:pPr>
              <w:pStyle w:val="TableContents"/>
              <w:bidi w:val="0"/>
              <w:spacing w:before="0" w:after="283"/>
              <w:jc w:val="left"/>
              <w:rPr/>
            </w:pPr>
            <w:r>
              <w:rPr/>
              <w:t xml:space="preserve">5 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9">
              <w:r>
                <w:rPr>
                  <w:rStyle w:val="InternetLink"/>
                  <w:rFonts w:ascii="Times New Roman" w:hAnsi="Times New Roman"/>
                  <w:sz w:val="22"/>
                </w:rPr>
                <w:t>3.9</w:t>
              </w:r>
            </w:hyperlink>
          </w:p>
        </w:tc>
        <w:tc>
          <w:tcPr>
            <w:tcW w:w="6095" w:type="dxa"/>
            <w:tcBorders/>
            <w:vAlign w:val="center"/>
          </w:tcPr>
          <w:p>
            <w:pPr>
              <w:pStyle w:val="TableContents"/>
              <w:bidi w:val="0"/>
              <w:spacing w:before="0" w:after="0"/>
              <w:ind w:left="0" w:right="0" w:hanging="0"/>
              <w:jc w:val="left"/>
              <w:rPr/>
            </w:pPr>
            <w:hyperlink w:anchor="a3s9">
              <w:r>
                <w:rPr>
                  <w:rStyle w:val="InternetLink"/>
                  <w:rFonts w:ascii="Times New Roman" w:hAnsi="Times New Roman"/>
                  <w:sz w:val="22"/>
                </w:rPr>
                <w:t>Company under administration</w:t>
              </w:r>
            </w:hyperlink>
          </w:p>
        </w:tc>
        <w:tc>
          <w:tcPr>
            <w:tcW w:w="395" w:type="dxa"/>
            <w:tcBorders/>
            <w:vAlign w:val="center"/>
          </w:tcPr>
          <w:p>
            <w:pPr>
              <w:pStyle w:val="TableContents"/>
              <w:bidi w:val="0"/>
              <w:spacing w:before="0" w:after="283"/>
              <w:jc w:val="left"/>
              <w:rPr/>
            </w:pPr>
            <w:r>
              <w:rPr/>
              <w:t xml:space="preserve">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3s10">
              <w:r>
                <w:rPr>
                  <w:rStyle w:val="InternetLink"/>
                  <w:rFonts w:ascii="Times New Roman" w:hAnsi="Times New Roman"/>
                  <w:sz w:val="22"/>
                </w:rPr>
                <w:t>3.10</w:t>
              </w:r>
            </w:hyperlink>
          </w:p>
        </w:tc>
        <w:tc>
          <w:tcPr>
            <w:tcW w:w="6095" w:type="dxa"/>
            <w:tcBorders/>
            <w:vAlign w:val="center"/>
          </w:tcPr>
          <w:p>
            <w:pPr>
              <w:pStyle w:val="TableContents"/>
              <w:bidi w:val="0"/>
              <w:spacing w:before="0" w:after="0"/>
              <w:ind w:left="0" w:right="0" w:hanging="0"/>
              <w:jc w:val="left"/>
              <w:rPr/>
            </w:pPr>
            <w:hyperlink w:anchor="a3s10">
              <w:r>
                <w:rPr>
                  <w:rStyle w:val="InternetLink"/>
                  <w:rFonts w:ascii="Times New Roman" w:hAnsi="Times New Roman"/>
                  <w:sz w:val="22"/>
                </w:rPr>
                <w:t>Conversion of Junior Debt into equity</w:t>
              </w:r>
            </w:hyperlink>
          </w:p>
        </w:tc>
        <w:tc>
          <w:tcPr>
            <w:tcW w:w="395" w:type="dxa"/>
            <w:tcBorders/>
            <w:vAlign w:val="center"/>
          </w:tcPr>
          <w:p>
            <w:pPr>
              <w:pStyle w:val="TableContents"/>
              <w:bidi w:val="0"/>
              <w:spacing w:before="0" w:after="283"/>
              <w:jc w:val="left"/>
              <w:rPr/>
            </w:pPr>
            <w:r>
              <w:rPr/>
              <w:t xml:space="preserve">6 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4">
              <w:r>
                <w:rPr>
                  <w:rStyle w:val="InternetLink"/>
                  <w:rFonts w:ascii="Times New Roman" w:hAnsi="Times New Roman"/>
                  <w:b/>
                  <w:sz w:val="22"/>
                </w:rPr>
                <w:t>4</w:t>
              </w:r>
            </w:hyperlink>
          </w:p>
        </w:tc>
        <w:tc>
          <w:tcPr>
            <w:tcW w:w="6095" w:type="dxa"/>
            <w:tcBorders/>
            <w:vAlign w:val="center"/>
          </w:tcPr>
          <w:p>
            <w:pPr>
              <w:pStyle w:val="TableContents"/>
              <w:bidi w:val="0"/>
              <w:spacing w:before="0" w:after="0"/>
              <w:ind w:left="0" w:right="0" w:hanging="0"/>
              <w:jc w:val="left"/>
              <w:rPr/>
            </w:pPr>
            <w:hyperlink w:anchor="a4">
              <w:r>
                <w:rPr>
                  <w:rStyle w:val="InternetLink"/>
                  <w:rFonts w:ascii="Times New Roman" w:hAnsi="Times New Roman"/>
                  <w:b/>
                  <w:sz w:val="22"/>
                </w:rPr>
                <w:t>Preservation of Senior Creditor’s rights</w:t>
              </w:r>
            </w:hyperlink>
          </w:p>
        </w:tc>
        <w:tc>
          <w:tcPr>
            <w:tcW w:w="395" w:type="dxa"/>
            <w:tcBorders/>
            <w:vAlign w:val="center"/>
          </w:tcPr>
          <w:p>
            <w:pPr>
              <w:pStyle w:val="TableContents"/>
              <w:bidi w:val="0"/>
              <w:spacing w:before="0" w:after="283"/>
              <w:jc w:val="left"/>
              <w:rPr/>
            </w:pPr>
            <w:r>
              <w:rPr/>
              <w:t xml:space="preserve">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4s1">
              <w:r>
                <w:rPr>
                  <w:rStyle w:val="InternetLink"/>
                  <w:rFonts w:ascii="Times New Roman" w:hAnsi="Times New Roman"/>
                  <w:sz w:val="22"/>
                </w:rPr>
                <w:t>4.1</w:t>
              </w:r>
            </w:hyperlink>
          </w:p>
        </w:tc>
        <w:tc>
          <w:tcPr>
            <w:tcW w:w="6095" w:type="dxa"/>
            <w:tcBorders/>
            <w:vAlign w:val="center"/>
          </w:tcPr>
          <w:p>
            <w:pPr>
              <w:pStyle w:val="TableContents"/>
              <w:bidi w:val="0"/>
              <w:spacing w:before="0" w:after="0"/>
              <w:ind w:left="0" w:right="0" w:hanging="0"/>
              <w:jc w:val="left"/>
              <w:rPr/>
            </w:pPr>
            <w:hyperlink w:anchor="a4s1">
              <w:r>
                <w:rPr>
                  <w:rStyle w:val="InternetLink"/>
                  <w:rFonts w:ascii="Times New Roman" w:hAnsi="Times New Roman"/>
                  <w:sz w:val="22"/>
                </w:rPr>
                <w:t>Preservation of Junior Creditor’s obligations and waiver of rights</w:t>
              </w:r>
            </w:hyperlink>
          </w:p>
        </w:tc>
        <w:tc>
          <w:tcPr>
            <w:tcW w:w="395" w:type="dxa"/>
            <w:tcBorders/>
            <w:vAlign w:val="center"/>
          </w:tcPr>
          <w:p>
            <w:pPr>
              <w:pStyle w:val="TableContents"/>
              <w:bidi w:val="0"/>
              <w:spacing w:before="0" w:after="283"/>
              <w:jc w:val="left"/>
              <w:rPr/>
            </w:pPr>
            <w:r>
              <w:rPr/>
              <w:t xml:space="preserve">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4s2">
              <w:r>
                <w:rPr>
                  <w:rStyle w:val="InternetLink"/>
                  <w:rFonts w:ascii="Times New Roman" w:hAnsi="Times New Roman"/>
                  <w:sz w:val="22"/>
                </w:rPr>
                <w:t>4.2</w:t>
              </w:r>
            </w:hyperlink>
          </w:p>
        </w:tc>
        <w:tc>
          <w:tcPr>
            <w:tcW w:w="6095" w:type="dxa"/>
            <w:tcBorders/>
            <w:vAlign w:val="center"/>
          </w:tcPr>
          <w:p>
            <w:pPr>
              <w:pStyle w:val="TableContents"/>
              <w:bidi w:val="0"/>
              <w:spacing w:before="0" w:after="0"/>
              <w:ind w:left="0" w:right="0" w:hanging="0"/>
              <w:jc w:val="left"/>
              <w:rPr/>
            </w:pPr>
            <w:hyperlink w:anchor="a4s2">
              <w:r>
                <w:rPr>
                  <w:rStyle w:val="InternetLink"/>
                  <w:rFonts w:ascii="Times New Roman" w:hAnsi="Times New Roman"/>
                  <w:sz w:val="22"/>
                </w:rPr>
                <w:t>Appropriation of payments</w:t>
              </w:r>
            </w:hyperlink>
          </w:p>
        </w:tc>
        <w:tc>
          <w:tcPr>
            <w:tcW w:w="395" w:type="dxa"/>
            <w:tcBorders/>
            <w:vAlign w:val="center"/>
          </w:tcPr>
          <w:p>
            <w:pPr>
              <w:pStyle w:val="TableContents"/>
              <w:bidi w:val="0"/>
              <w:spacing w:before="0" w:after="283"/>
              <w:jc w:val="left"/>
              <w:rPr/>
            </w:pPr>
            <w:r>
              <w:rPr/>
              <w:t xml:space="preserve">8 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5">
              <w:r>
                <w:rPr>
                  <w:rStyle w:val="InternetLink"/>
                  <w:rFonts w:ascii="Times New Roman" w:hAnsi="Times New Roman"/>
                  <w:b/>
                  <w:sz w:val="22"/>
                </w:rPr>
                <w:t>5</w:t>
              </w:r>
            </w:hyperlink>
          </w:p>
        </w:tc>
        <w:tc>
          <w:tcPr>
            <w:tcW w:w="6095" w:type="dxa"/>
            <w:tcBorders/>
            <w:vAlign w:val="center"/>
          </w:tcPr>
          <w:p>
            <w:pPr>
              <w:pStyle w:val="TableContents"/>
              <w:bidi w:val="0"/>
              <w:spacing w:before="0" w:after="0"/>
              <w:ind w:left="0" w:right="0" w:hanging="0"/>
              <w:jc w:val="left"/>
              <w:rPr/>
            </w:pPr>
            <w:hyperlink w:anchor="a5">
              <w:r>
                <w:rPr>
                  <w:rStyle w:val="InternetLink"/>
                  <w:rFonts w:ascii="Times New Roman" w:hAnsi="Times New Roman"/>
                  <w:b/>
                  <w:sz w:val="22"/>
                </w:rPr>
                <w:t>Warranties and representations</w:t>
              </w:r>
            </w:hyperlink>
          </w:p>
        </w:tc>
        <w:tc>
          <w:tcPr>
            <w:tcW w:w="395" w:type="dxa"/>
            <w:tcBorders/>
            <w:vAlign w:val="center"/>
          </w:tcPr>
          <w:p>
            <w:pPr>
              <w:pStyle w:val="TableContents"/>
              <w:bidi w:val="0"/>
              <w:spacing w:before="0" w:after="283"/>
              <w:jc w:val="left"/>
              <w:rPr/>
            </w:pPr>
            <w:r>
              <w:rPr/>
              <w:t xml:space="preserve">8 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5s1">
              <w:r>
                <w:rPr>
                  <w:rStyle w:val="InternetLink"/>
                  <w:rFonts w:ascii="Times New Roman" w:hAnsi="Times New Roman"/>
                  <w:sz w:val="22"/>
                </w:rPr>
                <w:t>5.1</w:t>
              </w:r>
            </w:hyperlink>
          </w:p>
        </w:tc>
        <w:tc>
          <w:tcPr>
            <w:tcW w:w="6095" w:type="dxa"/>
            <w:tcBorders/>
            <w:vAlign w:val="center"/>
          </w:tcPr>
          <w:p>
            <w:pPr>
              <w:pStyle w:val="TableContents"/>
              <w:bidi w:val="0"/>
              <w:spacing w:before="0" w:after="0"/>
              <w:ind w:left="0" w:right="0" w:hanging="0"/>
              <w:jc w:val="left"/>
              <w:rPr/>
            </w:pPr>
            <w:hyperlink w:anchor="a5s1">
              <w:r>
                <w:rPr>
                  <w:rStyle w:val="InternetLink"/>
                  <w:rFonts w:ascii="Times New Roman" w:hAnsi="Times New Roman"/>
                  <w:sz w:val="22"/>
                </w:rPr>
                <w:t>Nature</w:t>
              </w:r>
            </w:hyperlink>
          </w:p>
        </w:tc>
        <w:tc>
          <w:tcPr>
            <w:tcW w:w="395" w:type="dxa"/>
            <w:tcBorders/>
            <w:vAlign w:val="center"/>
          </w:tcPr>
          <w:p>
            <w:pPr>
              <w:pStyle w:val="TableContents"/>
              <w:bidi w:val="0"/>
              <w:spacing w:before="0" w:after="283"/>
              <w:jc w:val="left"/>
              <w:rPr/>
            </w:pPr>
            <w:r>
              <w:rPr/>
              <w:t xml:space="preserve">8 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5s2">
              <w:r>
                <w:rPr>
                  <w:rStyle w:val="InternetLink"/>
                  <w:rFonts w:ascii="Times New Roman" w:hAnsi="Times New Roman"/>
                  <w:sz w:val="22"/>
                </w:rPr>
                <w:t>5.2</w:t>
              </w:r>
            </w:hyperlink>
          </w:p>
        </w:tc>
        <w:tc>
          <w:tcPr>
            <w:tcW w:w="6095" w:type="dxa"/>
            <w:tcBorders/>
            <w:vAlign w:val="center"/>
          </w:tcPr>
          <w:p>
            <w:pPr>
              <w:pStyle w:val="TableContents"/>
              <w:bidi w:val="0"/>
              <w:spacing w:before="0" w:after="0"/>
              <w:ind w:left="0" w:right="0" w:hanging="0"/>
              <w:jc w:val="left"/>
              <w:rPr/>
            </w:pPr>
            <w:hyperlink w:anchor="a5s2">
              <w:r>
                <w:rPr>
                  <w:rStyle w:val="InternetLink"/>
                  <w:rFonts w:ascii="Times New Roman" w:hAnsi="Times New Roman"/>
                  <w:sz w:val="22"/>
                </w:rPr>
                <w:t>General</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6">
              <w:r>
                <w:rPr>
                  <w:rStyle w:val="InternetLink"/>
                  <w:rFonts w:ascii="Times New Roman" w:hAnsi="Times New Roman"/>
                  <w:b/>
                  <w:sz w:val="22"/>
                </w:rPr>
                <w:t>6</w:t>
              </w:r>
            </w:hyperlink>
          </w:p>
        </w:tc>
        <w:tc>
          <w:tcPr>
            <w:tcW w:w="6095" w:type="dxa"/>
            <w:tcBorders/>
            <w:vAlign w:val="center"/>
          </w:tcPr>
          <w:p>
            <w:pPr>
              <w:pStyle w:val="TableContents"/>
              <w:bidi w:val="0"/>
              <w:spacing w:before="0" w:after="0"/>
              <w:ind w:left="0" w:right="0" w:hanging="0"/>
              <w:jc w:val="left"/>
              <w:rPr/>
            </w:pPr>
            <w:hyperlink w:anchor="a6">
              <w:r>
                <w:rPr>
                  <w:rStyle w:val="InternetLink"/>
                  <w:rFonts w:ascii="Times New Roman" w:hAnsi="Times New Roman"/>
                  <w:b/>
                  <w:sz w:val="22"/>
                </w:rPr>
                <w:t>Undertakings</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6s1">
              <w:r>
                <w:rPr>
                  <w:rStyle w:val="InternetLink"/>
                  <w:rFonts w:ascii="Times New Roman" w:hAnsi="Times New Roman"/>
                  <w:sz w:val="22"/>
                </w:rPr>
                <w:t>6.1</w:t>
              </w:r>
            </w:hyperlink>
          </w:p>
        </w:tc>
        <w:tc>
          <w:tcPr>
            <w:tcW w:w="6095" w:type="dxa"/>
            <w:tcBorders/>
            <w:vAlign w:val="center"/>
          </w:tcPr>
          <w:p>
            <w:pPr>
              <w:pStyle w:val="TableContents"/>
              <w:bidi w:val="0"/>
              <w:spacing w:before="0" w:after="0"/>
              <w:ind w:left="0" w:right="0" w:hanging="0"/>
              <w:jc w:val="left"/>
              <w:rPr/>
            </w:pPr>
            <w:hyperlink w:anchor="a6s1">
              <w:r>
                <w:rPr>
                  <w:rStyle w:val="InternetLink"/>
                  <w:rFonts w:ascii="Times New Roman" w:hAnsi="Times New Roman"/>
                  <w:sz w:val="22"/>
                </w:rPr>
                <w:t>No dealing with Junior Debt</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6s2">
              <w:r>
                <w:rPr>
                  <w:rStyle w:val="InternetLink"/>
                  <w:rFonts w:ascii="Times New Roman" w:hAnsi="Times New Roman"/>
                  <w:sz w:val="22"/>
                </w:rPr>
                <w:t>6.2</w:t>
              </w:r>
            </w:hyperlink>
          </w:p>
        </w:tc>
        <w:tc>
          <w:tcPr>
            <w:tcW w:w="6095" w:type="dxa"/>
            <w:tcBorders/>
            <w:vAlign w:val="center"/>
          </w:tcPr>
          <w:p>
            <w:pPr>
              <w:pStyle w:val="TableContents"/>
              <w:bidi w:val="0"/>
              <w:spacing w:before="0" w:after="0"/>
              <w:ind w:left="0" w:right="0" w:hanging="0"/>
              <w:jc w:val="left"/>
              <w:rPr/>
            </w:pPr>
            <w:hyperlink w:anchor="a6s2">
              <w:r>
                <w:rPr>
                  <w:rStyle w:val="InternetLink"/>
                  <w:rFonts w:ascii="Times New Roman" w:hAnsi="Times New Roman"/>
                  <w:sz w:val="22"/>
                </w:rPr>
                <w:t>Voting</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6s3">
              <w:r>
                <w:rPr>
                  <w:rStyle w:val="InternetLink"/>
                  <w:rFonts w:ascii="Times New Roman" w:hAnsi="Times New Roman"/>
                  <w:sz w:val="22"/>
                </w:rPr>
                <w:t>6.3</w:t>
              </w:r>
            </w:hyperlink>
          </w:p>
        </w:tc>
        <w:tc>
          <w:tcPr>
            <w:tcW w:w="6095" w:type="dxa"/>
            <w:tcBorders/>
            <w:vAlign w:val="center"/>
          </w:tcPr>
          <w:p>
            <w:pPr>
              <w:pStyle w:val="TableContents"/>
              <w:bidi w:val="0"/>
              <w:spacing w:before="0" w:after="0"/>
              <w:ind w:left="0" w:right="0" w:hanging="0"/>
              <w:jc w:val="left"/>
              <w:rPr/>
            </w:pPr>
            <w:hyperlink w:anchor="a6s3">
              <w:r>
                <w:rPr>
                  <w:rStyle w:val="InternetLink"/>
                  <w:rFonts w:ascii="Times New Roman" w:hAnsi="Times New Roman"/>
                  <w:sz w:val="22"/>
                </w:rPr>
                <w:t>Notice of demand</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7">
              <w:r>
                <w:rPr>
                  <w:rStyle w:val="InternetLink"/>
                  <w:rFonts w:ascii="Times New Roman" w:hAnsi="Times New Roman"/>
                  <w:b/>
                  <w:sz w:val="22"/>
                </w:rPr>
                <w:t>7</w:t>
              </w:r>
            </w:hyperlink>
          </w:p>
        </w:tc>
        <w:tc>
          <w:tcPr>
            <w:tcW w:w="6095" w:type="dxa"/>
            <w:tcBorders/>
            <w:vAlign w:val="center"/>
          </w:tcPr>
          <w:p>
            <w:pPr>
              <w:pStyle w:val="TableContents"/>
              <w:bidi w:val="0"/>
              <w:spacing w:before="0" w:after="0"/>
              <w:ind w:left="0" w:right="0" w:hanging="0"/>
              <w:jc w:val="left"/>
              <w:rPr/>
            </w:pPr>
            <w:hyperlink w:anchor="a7">
              <w:r>
                <w:rPr>
                  <w:rStyle w:val="InternetLink"/>
                  <w:rFonts w:ascii="Times New Roman" w:hAnsi="Times New Roman"/>
                  <w:b/>
                  <w:sz w:val="22"/>
                </w:rPr>
                <w:t>Goods and services tax</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right"/>
              <w:rPr>
                <w:rFonts w:cs="Times New Roman"/>
                <w:bCs/>
                <w:color w:val="000000"/>
                <w:szCs w:val="22"/>
              </w:rPr>
            </w:pPr>
            <w:r>
              <w:rPr>
                <w:rFonts w:cs="Times New Roman"/>
                <w:bCs/>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8">
              <w:r>
                <w:rPr>
                  <w:rStyle w:val="InternetLink"/>
                  <w:rFonts w:ascii="Times New Roman" w:hAnsi="Times New Roman"/>
                  <w:b/>
                  <w:sz w:val="22"/>
                </w:rPr>
                <w:t>8</w:t>
              </w:r>
            </w:hyperlink>
          </w:p>
        </w:tc>
        <w:tc>
          <w:tcPr>
            <w:tcW w:w="6095" w:type="dxa"/>
            <w:tcBorders/>
            <w:vAlign w:val="center"/>
          </w:tcPr>
          <w:p>
            <w:pPr>
              <w:pStyle w:val="TableContents"/>
              <w:bidi w:val="0"/>
              <w:spacing w:before="0" w:after="0"/>
              <w:ind w:left="0" w:right="0" w:hanging="0"/>
              <w:jc w:val="left"/>
              <w:rPr/>
            </w:pPr>
            <w:hyperlink w:anchor="a8">
              <w:r>
                <w:rPr>
                  <w:rStyle w:val="InternetLink"/>
                  <w:rFonts w:ascii="Times New Roman" w:hAnsi="Times New Roman"/>
                  <w:b/>
                  <w:sz w:val="22"/>
                </w:rPr>
                <w:t>Attorney</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8s1">
              <w:r>
                <w:rPr>
                  <w:rStyle w:val="InternetLink"/>
                  <w:rFonts w:ascii="Times New Roman" w:hAnsi="Times New Roman"/>
                  <w:sz w:val="22"/>
                </w:rPr>
                <w:t>8.1</w:t>
              </w:r>
            </w:hyperlink>
          </w:p>
        </w:tc>
        <w:tc>
          <w:tcPr>
            <w:tcW w:w="6095" w:type="dxa"/>
            <w:tcBorders/>
            <w:vAlign w:val="center"/>
          </w:tcPr>
          <w:p>
            <w:pPr>
              <w:pStyle w:val="TableContents"/>
              <w:bidi w:val="0"/>
              <w:spacing w:before="0" w:after="0"/>
              <w:ind w:left="0" w:right="0" w:hanging="0"/>
              <w:jc w:val="left"/>
              <w:rPr/>
            </w:pPr>
            <w:hyperlink w:anchor="a8s1">
              <w:r>
                <w:rPr>
                  <w:rStyle w:val="InternetLink"/>
                  <w:rFonts w:ascii="Times New Roman" w:hAnsi="Times New Roman"/>
                  <w:sz w:val="22"/>
                </w:rPr>
                <w:t>Appointment</w:t>
              </w:r>
            </w:hyperlink>
          </w:p>
        </w:tc>
        <w:tc>
          <w:tcPr>
            <w:tcW w:w="395" w:type="dxa"/>
            <w:tcBorders/>
            <w:vAlign w:val="center"/>
          </w:tcPr>
          <w:p>
            <w:pPr>
              <w:pStyle w:val="TableContents"/>
              <w:bidi w:val="0"/>
              <w:spacing w:before="0" w:after="283"/>
              <w:jc w:val="left"/>
              <w:rPr/>
            </w:pPr>
            <w:r>
              <w:rPr/>
              <w:t xml:space="preserve">10 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8s2">
              <w:r>
                <w:rPr>
                  <w:rStyle w:val="InternetLink"/>
                  <w:rFonts w:ascii="Times New Roman" w:hAnsi="Times New Roman"/>
                  <w:sz w:val="22"/>
                </w:rPr>
                <w:t>8.2</w:t>
              </w:r>
            </w:hyperlink>
          </w:p>
        </w:tc>
        <w:tc>
          <w:tcPr>
            <w:tcW w:w="6095" w:type="dxa"/>
            <w:tcBorders/>
            <w:vAlign w:val="center"/>
          </w:tcPr>
          <w:p>
            <w:pPr>
              <w:pStyle w:val="TableContents"/>
              <w:bidi w:val="0"/>
              <w:spacing w:before="0" w:after="0"/>
              <w:ind w:left="0" w:right="0" w:hanging="0"/>
              <w:jc w:val="left"/>
              <w:rPr/>
            </w:pPr>
            <w:hyperlink w:anchor="a8s2">
              <w:r>
                <w:rPr>
                  <w:rStyle w:val="InternetLink"/>
                  <w:rFonts w:ascii="Times New Roman" w:hAnsi="Times New Roman"/>
                  <w:sz w:val="22"/>
                </w:rPr>
                <w:t>General</w:t>
              </w:r>
            </w:hyperlink>
          </w:p>
        </w:tc>
        <w:tc>
          <w:tcPr>
            <w:tcW w:w="395" w:type="dxa"/>
            <w:tcBorders/>
            <w:vAlign w:val="center"/>
          </w:tcPr>
          <w:p>
            <w:pPr>
              <w:pStyle w:val="TableContents"/>
              <w:bidi w:val="0"/>
              <w:spacing w:before="0" w:after="283"/>
              <w:jc w:val="left"/>
              <w:rPr/>
            </w:pPr>
            <w:r>
              <w:rPr/>
              <w:t xml:space="preserve">11 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609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9">
              <w:r>
                <w:rPr>
                  <w:rStyle w:val="InternetLink"/>
                  <w:rFonts w:ascii="Times New Roman" w:hAnsi="Times New Roman"/>
                  <w:b/>
                  <w:sz w:val="22"/>
                </w:rPr>
                <w:t>9</w:t>
              </w:r>
            </w:hyperlink>
          </w:p>
        </w:tc>
        <w:tc>
          <w:tcPr>
            <w:tcW w:w="6095" w:type="dxa"/>
            <w:tcBorders/>
            <w:vAlign w:val="center"/>
          </w:tcPr>
          <w:p>
            <w:pPr>
              <w:pStyle w:val="TableContents"/>
              <w:bidi w:val="0"/>
              <w:spacing w:before="0" w:after="0"/>
              <w:ind w:left="0" w:right="0" w:hanging="0"/>
              <w:jc w:val="left"/>
              <w:rPr/>
            </w:pPr>
            <w:hyperlink w:anchor="a9">
              <w:r>
                <w:rPr>
                  <w:rStyle w:val="InternetLink"/>
                  <w:rFonts w:ascii="Times New Roman" w:hAnsi="Times New Roman"/>
                  <w:b/>
                  <w:sz w:val="22"/>
                </w:rPr>
                <w:t>General</w:t>
              </w:r>
            </w:hyperlink>
          </w:p>
        </w:tc>
        <w:tc>
          <w:tcPr>
            <w:tcW w:w="395" w:type="dxa"/>
            <w:tcBorders/>
            <w:vAlign w:val="center"/>
          </w:tcPr>
          <w:p>
            <w:pPr>
              <w:pStyle w:val="TableContents"/>
              <w:bidi w:val="0"/>
              <w:spacing w:before="0" w:after="283"/>
              <w:jc w:val="left"/>
              <w:rPr/>
            </w:pPr>
            <w:r>
              <w:rPr/>
              <w:t xml:space="preserve">11 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
              <w:r>
                <w:rPr>
                  <w:rStyle w:val="InternetLink"/>
                  <w:rFonts w:ascii="Times New Roman" w:hAnsi="Times New Roman"/>
                  <w:sz w:val="22"/>
                </w:rPr>
                <w:t>9.1</w:t>
              </w:r>
            </w:hyperlink>
          </w:p>
        </w:tc>
        <w:tc>
          <w:tcPr>
            <w:tcW w:w="6095" w:type="dxa"/>
            <w:tcBorders/>
            <w:vAlign w:val="center"/>
          </w:tcPr>
          <w:p>
            <w:pPr>
              <w:pStyle w:val="TableContents"/>
              <w:bidi w:val="0"/>
              <w:spacing w:before="0" w:after="0"/>
              <w:ind w:left="0" w:right="0" w:hanging="0"/>
              <w:jc w:val="left"/>
              <w:rPr/>
            </w:pPr>
            <w:hyperlink w:anchor="a9s1">
              <w:r>
                <w:rPr>
                  <w:rStyle w:val="InternetLink"/>
                  <w:rFonts w:ascii="Times New Roman" w:hAnsi="Times New Roman"/>
                  <w:sz w:val="22"/>
                </w:rPr>
                <w:t>Reinstatement of rights of Senior Creditor</w:t>
              </w:r>
            </w:hyperlink>
          </w:p>
        </w:tc>
        <w:tc>
          <w:tcPr>
            <w:tcW w:w="395" w:type="dxa"/>
            <w:tcBorders/>
            <w:vAlign w:val="center"/>
          </w:tcPr>
          <w:p>
            <w:pPr>
              <w:pStyle w:val="TableContents"/>
              <w:bidi w:val="0"/>
              <w:spacing w:before="0" w:after="283"/>
              <w:jc w:val="left"/>
              <w:rPr/>
            </w:pPr>
            <w:r>
              <w:rPr/>
              <w:t xml:space="preserve">11 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2">
              <w:r>
                <w:rPr>
                  <w:rStyle w:val="InternetLink"/>
                  <w:rFonts w:ascii="Times New Roman" w:hAnsi="Times New Roman"/>
                  <w:sz w:val="22"/>
                </w:rPr>
                <w:t>9.2</w:t>
              </w:r>
            </w:hyperlink>
          </w:p>
        </w:tc>
        <w:tc>
          <w:tcPr>
            <w:tcW w:w="6095" w:type="dxa"/>
            <w:tcBorders/>
            <w:vAlign w:val="center"/>
          </w:tcPr>
          <w:p>
            <w:pPr>
              <w:pStyle w:val="TableContents"/>
              <w:bidi w:val="0"/>
              <w:spacing w:before="0" w:after="0"/>
              <w:ind w:left="0" w:right="0" w:hanging="0"/>
              <w:jc w:val="left"/>
              <w:rPr/>
            </w:pPr>
            <w:hyperlink w:anchor="a9s2">
              <w:r>
                <w:rPr>
                  <w:rStyle w:val="InternetLink"/>
                  <w:rFonts w:ascii="Times New Roman" w:hAnsi="Times New Roman"/>
                  <w:sz w:val="22"/>
                </w:rPr>
                <w:t>Set-off</w:t>
              </w:r>
            </w:hyperlink>
          </w:p>
        </w:tc>
        <w:tc>
          <w:tcPr>
            <w:tcW w:w="395" w:type="dxa"/>
            <w:tcBorders/>
            <w:vAlign w:val="center"/>
          </w:tcPr>
          <w:p>
            <w:pPr>
              <w:pStyle w:val="TableContents"/>
              <w:bidi w:val="0"/>
              <w:spacing w:before="0" w:after="283"/>
              <w:jc w:val="left"/>
              <w:rPr/>
            </w:pPr>
            <w:r>
              <w:rPr/>
              <w:t xml:space="preserve">11 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3">
              <w:r>
                <w:rPr>
                  <w:rStyle w:val="InternetLink"/>
                  <w:rFonts w:ascii="Times New Roman" w:hAnsi="Times New Roman"/>
                  <w:sz w:val="22"/>
                </w:rPr>
                <w:t>9.3</w:t>
              </w:r>
            </w:hyperlink>
          </w:p>
        </w:tc>
        <w:tc>
          <w:tcPr>
            <w:tcW w:w="6095" w:type="dxa"/>
            <w:tcBorders/>
            <w:vAlign w:val="center"/>
          </w:tcPr>
          <w:p>
            <w:pPr>
              <w:pStyle w:val="TableContents"/>
              <w:bidi w:val="0"/>
              <w:spacing w:before="0" w:after="0"/>
              <w:ind w:left="0" w:right="0" w:hanging="0"/>
              <w:jc w:val="left"/>
              <w:rPr/>
            </w:pPr>
            <w:hyperlink w:anchor="a9s3">
              <w:r>
                <w:rPr>
                  <w:rStyle w:val="InternetLink"/>
                  <w:rFonts w:ascii="Times New Roman" w:hAnsi="Times New Roman"/>
                  <w:sz w:val="22"/>
                </w:rPr>
                <w:t>Senior Creditor’s certificate</w:t>
              </w:r>
            </w:hyperlink>
          </w:p>
        </w:tc>
        <w:tc>
          <w:tcPr>
            <w:tcW w:w="395" w:type="dxa"/>
            <w:tcBorders/>
            <w:vAlign w:val="center"/>
          </w:tcPr>
          <w:p>
            <w:pPr>
              <w:pStyle w:val="TableContents"/>
              <w:bidi w:val="0"/>
              <w:spacing w:before="0" w:after="283"/>
              <w:jc w:val="left"/>
              <w:rPr/>
            </w:pPr>
            <w:r>
              <w:rPr/>
              <w:t xml:space="preserve">12 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4">
              <w:r>
                <w:rPr>
                  <w:rStyle w:val="InternetLink"/>
                  <w:rFonts w:ascii="Times New Roman" w:hAnsi="Times New Roman"/>
                  <w:sz w:val="22"/>
                </w:rPr>
                <w:t>9.4</w:t>
              </w:r>
            </w:hyperlink>
          </w:p>
        </w:tc>
        <w:tc>
          <w:tcPr>
            <w:tcW w:w="6095" w:type="dxa"/>
            <w:tcBorders/>
            <w:vAlign w:val="center"/>
          </w:tcPr>
          <w:p>
            <w:pPr>
              <w:pStyle w:val="TableContents"/>
              <w:bidi w:val="0"/>
              <w:spacing w:before="0" w:after="0"/>
              <w:ind w:left="0" w:right="0" w:hanging="0"/>
              <w:jc w:val="left"/>
              <w:rPr/>
            </w:pPr>
            <w:hyperlink w:anchor="a9s4">
              <w:r>
                <w:rPr>
                  <w:rStyle w:val="InternetLink"/>
                  <w:rFonts w:ascii="Times New Roman" w:hAnsi="Times New Roman"/>
                  <w:sz w:val="22"/>
                </w:rPr>
                <w:t>Supervening legislation</w:t>
              </w:r>
            </w:hyperlink>
          </w:p>
        </w:tc>
        <w:tc>
          <w:tcPr>
            <w:tcW w:w="395" w:type="dxa"/>
            <w:tcBorders/>
            <w:vAlign w:val="center"/>
          </w:tcPr>
          <w:p>
            <w:pPr>
              <w:pStyle w:val="TableContents"/>
              <w:bidi w:val="0"/>
              <w:spacing w:before="0" w:after="283"/>
              <w:jc w:val="left"/>
              <w:rPr/>
            </w:pPr>
            <w:r>
              <w:rPr/>
              <w:t xml:space="preserve">12 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5">
              <w:r>
                <w:rPr>
                  <w:rStyle w:val="InternetLink"/>
                  <w:rFonts w:ascii="Times New Roman" w:hAnsi="Times New Roman"/>
                  <w:sz w:val="22"/>
                </w:rPr>
                <w:t>9.5</w:t>
              </w:r>
            </w:hyperlink>
          </w:p>
        </w:tc>
        <w:tc>
          <w:tcPr>
            <w:tcW w:w="6095" w:type="dxa"/>
            <w:tcBorders/>
            <w:vAlign w:val="center"/>
          </w:tcPr>
          <w:p>
            <w:pPr>
              <w:pStyle w:val="TableContents"/>
              <w:bidi w:val="0"/>
              <w:spacing w:before="0" w:after="0"/>
              <w:ind w:left="0" w:right="0" w:hanging="0"/>
              <w:jc w:val="left"/>
              <w:rPr/>
            </w:pPr>
            <w:hyperlink w:anchor="a9s5">
              <w:r>
                <w:rPr>
                  <w:rStyle w:val="InternetLink"/>
                  <w:rFonts w:ascii="Times New Roman" w:hAnsi="Times New Roman"/>
                  <w:sz w:val="22"/>
                </w:rPr>
                <w:t>Time of the essence</w:t>
              </w:r>
            </w:hyperlink>
          </w:p>
        </w:tc>
        <w:tc>
          <w:tcPr>
            <w:tcW w:w="395" w:type="dxa"/>
            <w:tcBorders/>
            <w:vAlign w:val="center"/>
          </w:tcPr>
          <w:p>
            <w:pPr>
              <w:pStyle w:val="TableContents"/>
              <w:bidi w:val="0"/>
              <w:spacing w:before="0" w:after="283"/>
              <w:jc w:val="left"/>
              <w:rPr/>
            </w:pPr>
            <w:r>
              <w:rPr/>
              <w:t xml:space="preserve">12 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6">
              <w:r>
                <w:rPr>
                  <w:rStyle w:val="InternetLink"/>
                  <w:rFonts w:ascii="Times New Roman" w:hAnsi="Times New Roman"/>
                  <w:sz w:val="22"/>
                </w:rPr>
                <w:t>9.6</w:t>
              </w:r>
            </w:hyperlink>
          </w:p>
        </w:tc>
        <w:tc>
          <w:tcPr>
            <w:tcW w:w="6095" w:type="dxa"/>
            <w:tcBorders/>
            <w:vAlign w:val="center"/>
          </w:tcPr>
          <w:p>
            <w:pPr>
              <w:pStyle w:val="TableContents"/>
              <w:bidi w:val="0"/>
              <w:spacing w:before="0" w:after="0"/>
              <w:ind w:left="0" w:right="0" w:hanging="0"/>
              <w:jc w:val="left"/>
              <w:rPr/>
            </w:pPr>
            <w:hyperlink w:anchor="a9s6">
              <w:r>
                <w:rPr>
                  <w:rStyle w:val="InternetLink"/>
                  <w:rFonts w:ascii="Times New Roman" w:hAnsi="Times New Roman"/>
                  <w:sz w:val="22"/>
                </w:rPr>
                <w:t>Business Days</w:t>
              </w:r>
            </w:hyperlink>
          </w:p>
        </w:tc>
        <w:tc>
          <w:tcPr>
            <w:tcW w:w="395" w:type="dxa"/>
            <w:tcBorders/>
            <w:vAlign w:val="center"/>
          </w:tcPr>
          <w:p>
            <w:pPr>
              <w:pStyle w:val="TableContents"/>
              <w:bidi w:val="0"/>
              <w:spacing w:before="0" w:after="283"/>
              <w:jc w:val="left"/>
              <w:rPr/>
            </w:pPr>
            <w:r>
              <w:rPr/>
              <w:t xml:space="preserve">12 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7">
              <w:r>
                <w:rPr>
                  <w:rStyle w:val="InternetLink"/>
                  <w:rFonts w:ascii="Times New Roman" w:hAnsi="Times New Roman"/>
                  <w:sz w:val="22"/>
                </w:rPr>
                <w:t>9.7</w:t>
              </w:r>
            </w:hyperlink>
          </w:p>
        </w:tc>
        <w:tc>
          <w:tcPr>
            <w:tcW w:w="6095" w:type="dxa"/>
            <w:tcBorders/>
            <w:vAlign w:val="center"/>
          </w:tcPr>
          <w:p>
            <w:pPr>
              <w:pStyle w:val="TableContents"/>
              <w:bidi w:val="0"/>
              <w:spacing w:before="0" w:after="0"/>
              <w:ind w:left="0" w:right="0" w:hanging="0"/>
              <w:jc w:val="left"/>
              <w:rPr/>
            </w:pPr>
            <w:hyperlink w:anchor="a9s7">
              <w:r>
                <w:rPr>
                  <w:rStyle w:val="InternetLink"/>
                  <w:rFonts w:ascii="Times New Roman" w:hAnsi="Times New Roman"/>
                  <w:sz w:val="22"/>
                </w:rPr>
                <w:t>Further assurances</w:t>
              </w:r>
            </w:hyperlink>
          </w:p>
        </w:tc>
        <w:tc>
          <w:tcPr>
            <w:tcW w:w="395" w:type="dxa"/>
            <w:tcBorders/>
            <w:vAlign w:val="center"/>
          </w:tcPr>
          <w:p>
            <w:pPr>
              <w:pStyle w:val="TableContents"/>
              <w:bidi w:val="0"/>
              <w:spacing w:before="0" w:after="283"/>
              <w:jc w:val="left"/>
              <w:rPr/>
            </w:pPr>
            <w:r>
              <w:rPr/>
              <w:t xml:space="preserve">13 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8">
              <w:r>
                <w:rPr>
                  <w:rStyle w:val="InternetLink"/>
                  <w:rFonts w:ascii="Times New Roman" w:hAnsi="Times New Roman"/>
                  <w:sz w:val="22"/>
                </w:rPr>
                <w:t>9.8</w:t>
              </w:r>
            </w:hyperlink>
          </w:p>
        </w:tc>
        <w:tc>
          <w:tcPr>
            <w:tcW w:w="6095" w:type="dxa"/>
            <w:tcBorders/>
            <w:vAlign w:val="center"/>
          </w:tcPr>
          <w:p>
            <w:pPr>
              <w:pStyle w:val="TableContents"/>
              <w:bidi w:val="0"/>
              <w:spacing w:before="0" w:after="0"/>
              <w:ind w:left="0" w:right="0" w:hanging="0"/>
              <w:jc w:val="left"/>
              <w:rPr/>
            </w:pPr>
            <w:hyperlink w:anchor="a9s8">
              <w:r>
                <w:rPr>
                  <w:rStyle w:val="InternetLink"/>
                  <w:rFonts w:ascii="Times New Roman" w:hAnsi="Times New Roman"/>
                  <w:sz w:val="22"/>
                </w:rPr>
                <w:t>Amendment</w:t>
              </w:r>
            </w:hyperlink>
          </w:p>
        </w:tc>
        <w:tc>
          <w:tcPr>
            <w:tcW w:w="395" w:type="dxa"/>
            <w:tcBorders/>
            <w:vAlign w:val="center"/>
          </w:tcPr>
          <w:p>
            <w:pPr>
              <w:pStyle w:val="TableContents"/>
              <w:bidi w:val="0"/>
              <w:spacing w:before="0" w:after="283"/>
              <w:jc w:val="left"/>
              <w:rPr/>
            </w:pPr>
            <w:r>
              <w:rPr/>
              <w:t xml:space="preserve">13 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9">
              <w:r>
                <w:rPr>
                  <w:rStyle w:val="InternetLink"/>
                  <w:rFonts w:ascii="Times New Roman" w:hAnsi="Times New Roman"/>
                  <w:sz w:val="22"/>
                </w:rPr>
                <w:t>9.9</w:t>
              </w:r>
            </w:hyperlink>
          </w:p>
        </w:tc>
        <w:tc>
          <w:tcPr>
            <w:tcW w:w="6095" w:type="dxa"/>
            <w:tcBorders/>
            <w:vAlign w:val="center"/>
          </w:tcPr>
          <w:p>
            <w:pPr>
              <w:pStyle w:val="TableContents"/>
              <w:bidi w:val="0"/>
              <w:spacing w:before="0" w:after="0"/>
              <w:ind w:left="0" w:right="0" w:hanging="0"/>
              <w:jc w:val="left"/>
              <w:rPr/>
            </w:pPr>
            <w:hyperlink w:anchor="a9s9">
              <w:r>
                <w:rPr>
                  <w:rStyle w:val="InternetLink"/>
                  <w:rFonts w:ascii="Times New Roman" w:hAnsi="Times New Roman"/>
                  <w:sz w:val="22"/>
                </w:rPr>
                <w:t>Waiver and exercise of rights</w:t>
              </w:r>
            </w:hyperlink>
          </w:p>
        </w:tc>
        <w:tc>
          <w:tcPr>
            <w:tcW w:w="395" w:type="dxa"/>
            <w:tcBorders/>
            <w:vAlign w:val="center"/>
          </w:tcPr>
          <w:p>
            <w:pPr>
              <w:pStyle w:val="TableContents"/>
              <w:bidi w:val="0"/>
              <w:spacing w:before="0" w:after="283"/>
              <w:jc w:val="left"/>
              <w:rPr/>
            </w:pPr>
            <w:r>
              <w:rPr/>
              <w:t xml:space="preserve">13  </w:t>
            </w:r>
          </w:p>
        </w:tc>
      </w:tr>
    </w:tbl>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right"/>
        <w:rPr>
          <w:rFonts w:ascii="Times New Roman" w:hAnsi="Times New Roman"/>
          <w:sz w:val="22"/>
        </w:rPr>
      </w:pPr>
      <w:r>
        <w:rPr>
          <w:rFonts w:ascii="Times New Roman" w:hAnsi="Times New Roman"/>
          <w:sz w:val="22"/>
        </w:rPr>
        <w:t xml:space="preserve">Page i </w:t>
      </w:r>
    </w:p>
    <w:p>
      <w:pPr>
        <w:pStyle w:val="HorizontalLine"/>
        <w:pBdr>
          <w:bottom w:val="double" w:sz="6" w:space="0" w:color="808080"/>
        </w:pBdr>
        <w:bidi w:val="0"/>
        <w:ind w:left="1300" w:right="1580" w:hanging="0"/>
        <w:jc w:val="left"/>
        <w:rPr/>
      </w:pPr>
      <w:r>
        <w:rPr/>
      </w:r>
    </w:p>
    <w:p>
      <w:pPr>
        <w:pStyle w:val="TextBody"/>
        <w:bidi w:val="0"/>
        <w:ind w:left="1300" w:right="1580" w:hanging="0"/>
        <w:jc w:val="left"/>
        <w:rPr/>
      </w:pPr>
      <w:r>
        <w:rPr/>
        <w:t> </w:t>
      </w:r>
      <w:r>
        <w:br w:type="page"/>
      </w:r>
    </w:p>
    <w:tbl>
      <w:tblPr>
        <w:tblW w:w="3975" w:type="dxa"/>
        <w:jc w:val="left"/>
        <w:tblInd w:w="1300" w:type="dxa"/>
        <w:tblLayout w:type="fixed"/>
        <w:tblCellMar>
          <w:top w:w="0" w:type="dxa"/>
          <w:left w:w="0" w:type="dxa"/>
          <w:bottom w:w="0" w:type="dxa"/>
          <w:right w:w="0" w:type="dxa"/>
        </w:tblCellMar>
      </w:tblPr>
      <w:tblGrid>
        <w:gridCol w:w="455"/>
        <w:gridCol w:w="3125"/>
        <w:gridCol w:w="395"/>
      </w:tblGrid>
      <w:tr>
        <w:trPr/>
        <w:tc>
          <w:tcPr>
            <w:tcW w:w="455" w:type="dxa"/>
            <w:tcBorders/>
            <w:vAlign w:val="center"/>
          </w:tcPr>
          <w:p>
            <w:pPr>
              <w:pStyle w:val="TableContents"/>
              <w:bidi w:val="0"/>
              <w:spacing w:before="0" w:after="0"/>
              <w:ind w:left="0" w:right="0" w:hanging="0"/>
              <w:jc w:val="left"/>
              <w:rPr>
                <w:rFonts w:cs="Times New Roman"/>
                <w:szCs w:val="2"/>
              </w:rPr>
            </w:pPr>
            <w:r>
              <w:rPr>
                <w:rFonts w:cs="Times New Roman"/>
                <w:szCs w:val="2"/>
              </w:rPr>
              <w:t>﻿</w:t>
            </w:r>
          </w:p>
        </w:tc>
        <w:tc>
          <w:tcPr>
            <w:tcW w:w="312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0">
              <w:r>
                <w:rPr>
                  <w:rStyle w:val="InternetLink"/>
                  <w:rFonts w:ascii="Times New Roman" w:hAnsi="Times New Roman"/>
                  <w:sz w:val="22"/>
                </w:rPr>
                <w:t>9.10</w:t>
              </w:r>
            </w:hyperlink>
          </w:p>
        </w:tc>
        <w:tc>
          <w:tcPr>
            <w:tcW w:w="3125" w:type="dxa"/>
            <w:tcBorders/>
            <w:vAlign w:val="center"/>
          </w:tcPr>
          <w:p>
            <w:pPr>
              <w:pStyle w:val="TableContents"/>
              <w:bidi w:val="0"/>
              <w:spacing w:before="0" w:after="0"/>
              <w:ind w:left="0" w:right="0" w:hanging="0"/>
              <w:jc w:val="left"/>
              <w:rPr/>
            </w:pPr>
            <w:hyperlink w:anchor="a9s10">
              <w:r>
                <w:rPr>
                  <w:rStyle w:val="InternetLink"/>
                  <w:rFonts w:ascii="Times New Roman" w:hAnsi="Times New Roman"/>
                  <w:sz w:val="22"/>
                </w:rPr>
                <w:t>Rights cumulative</w:t>
              </w:r>
            </w:hyperlink>
          </w:p>
        </w:tc>
        <w:tc>
          <w:tcPr>
            <w:tcW w:w="395" w:type="dxa"/>
            <w:tcBorders/>
            <w:vAlign w:val="center"/>
          </w:tcPr>
          <w:p>
            <w:pPr>
              <w:pStyle w:val="TableContents"/>
              <w:bidi w:val="0"/>
              <w:spacing w:before="0" w:after="283"/>
              <w:jc w:val="left"/>
              <w:rPr/>
            </w:pPr>
            <w:r>
              <w:rPr/>
              <w:t xml:space="preserve">13 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1">
              <w:r>
                <w:rPr>
                  <w:rStyle w:val="InternetLink"/>
                  <w:rFonts w:ascii="Times New Roman" w:hAnsi="Times New Roman"/>
                  <w:sz w:val="22"/>
                </w:rPr>
                <w:t>9.11</w:t>
              </w:r>
            </w:hyperlink>
          </w:p>
        </w:tc>
        <w:tc>
          <w:tcPr>
            <w:tcW w:w="3125" w:type="dxa"/>
            <w:tcBorders/>
            <w:vAlign w:val="center"/>
          </w:tcPr>
          <w:p>
            <w:pPr>
              <w:pStyle w:val="TableContents"/>
              <w:bidi w:val="0"/>
              <w:spacing w:before="0" w:after="0"/>
              <w:ind w:left="0" w:right="0" w:hanging="0"/>
              <w:jc w:val="left"/>
              <w:rPr/>
            </w:pPr>
            <w:hyperlink w:anchor="a9s11">
              <w:r>
                <w:rPr>
                  <w:rStyle w:val="InternetLink"/>
                  <w:rFonts w:ascii="Times New Roman" w:hAnsi="Times New Roman"/>
                  <w:sz w:val="22"/>
                </w:rPr>
                <w:t>Approval and consent</w:t>
              </w:r>
            </w:hyperlink>
          </w:p>
        </w:tc>
        <w:tc>
          <w:tcPr>
            <w:tcW w:w="395" w:type="dxa"/>
            <w:tcBorders/>
            <w:vAlign w:val="center"/>
          </w:tcPr>
          <w:p>
            <w:pPr>
              <w:pStyle w:val="TableContents"/>
              <w:bidi w:val="0"/>
              <w:spacing w:before="0" w:after="283"/>
              <w:jc w:val="left"/>
              <w:rPr/>
            </w:pPr>
            <w:r>
              <w:rPr/>
              <w:t xml:space="preserve">13 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2">
              <w:r>
                <w:rPr>
                  <w:rStyle w:val="InternetLink"/>
                  <w:rFonts w:ascii="Times New Roman" w:hAnsi="Times New Roman"/>
                  <w:sz w:val="22"/>
                </w:rPr>
                <w:t>9.12</w:t>
              </w:r>
            </w:hyperlink>
          </w:p>
        </w:tc>
        <w:tc>
          <w:tcPr>
            <w:tcW w:w="3125" w:type="dxa"/>
            <w:tcBorders/>
            <w:vAlign w:val="center"/>
          </w:tcPr>
          <w:p>
            <w:pPr>
              <w:pStyle w:val="TableContents"/>
              <w:bidi w:val="0"/>
              <w:spacing w:before="0" w:after="0"/>
              <w:ind w:left="0" w:right="0" w:hanging="0"/>
              <w:jc w:val="left"/>
              <w:rPr/>
            </w:pPr>
            <w:hyperlink w:anchor="a9s12">
              <w:r>
                <w:rPr>
                  <w:rStyle w:val="InternetLink"/>
                  <w:rFonts w:ascii="Times New Roman" w:hAnsi="Times New Roman"/>
                  <w:sz w:val="22"/>
                </w:rPr>
                <w:t>Assignment</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3">
              <w:r>
                <w:rPr>
                  <w:rStyle w:val="InternetLink"/>
                  <w:rFonts w:ascii="Times New Roman" w:hAnsi="Times New Roman"/>
                  <w:sz w:val="22"/>
                </w:rPr>
                <w:t>9.13</w:t>
              </w:r>
            </w:hyperlink>
          </w:p>
        </w:tc>
        <w:tc>
          <w:tcPr>
            <w:tcW w:w="3125" w:type="dxa"/>
            <w:tcBorders/>
            <w:vAlign w:val="center"/>
          </w:tcPr>
          <w:p>
            <w:pPr>
              <w:pStyle w:val="TableContents"/>
              <w:bidi w:val="0"/>
              <w:spacing w:before="0" w:after="0"/>
              <w:ind w:left="0" w:right="0" w:hanging="0"/>
              <w:jc w:val="left"/>
              <w:rPr/>
            </w:pPr>
            <w:hyperlink w:anchor="a9s13">
              <w:r>
                <w:rPr>
                  <w:rStyle w:val="InternetLink"/>
                  <w:rFonts w:ascii="Times New Roman" w:hAnsi="Times New Roman"/>
                  <w:sz w:val="22"/>
                </w:rPr>
                <w:t>Counterparts</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4">
              <w:r>
                <w:rPr>
                  <w:rStyle w:val="InternetLink"/>
                  <w:rFonts w:ascii="Times New Roman" w:hAnsi="Times New Roman"/>
                  <w:sz w:val="22"/>
                </w:rPr>
                <w:t>9.14</w:t>
              </w:r>
            </w:hyperlink>
          </w:p>
        </w:tc>
        <w:tc>
          <w:tcPr>
            <w:tcW w:w="3125" w:type="dxa"/>
            <w:tcBorders/>
            <w:vAlign w:val="center"/>
          </w:tcPr>
          <w:p>
            <w:pPr>
              <w:pStyle w:val="TableContents"/>
              <w:bidi w:val="0"/>
              <w:spacing w:before="0" w:after="0"/>
              <w:ind w:left="0" w:right="0" w:hanging="0"/>
              <w:jc w:val="left"/>
              <w:rPr/>
            </w:pPr>
            <w:hyperlink w:anchor="a9s14">
              <w:r>
                <w:rPr>
                  <w:rStyle w:val="InternetLink"/>
                  <w:rFonts w:ascii="Times New Roman" w:hAnsi="Times New Roman"/>
                  <w:sz w:val="22"/>
                </w:rPr>
                <w:t>Governing law and jurisdiction</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9s15">
              <w:r>
                <w:rPr>
                  <w:rStyle w:val="InternetLink"/>
                  <w:rFonts w:ascii="Times New Roman" w:hAnsi="Times New Roman"/>
                  <w:sz w:val="22"/>
                </w:rPr>
                <w:t>9.15</w:t>
              </w:r>
            </w:hyperlink>
          </w:p>
        </w:tc>
        <w:tc>
          <w:tcPr>
            <w:tcW w:w="3125" w:type="dxa"/>
            <w:tcBorders/>
            <w:vAlign w:val="center"/>
          </w:tcPr>
          <w:p>
            <w:pPr>
              <w:pStyle w:val="TableContents"/>
              <w:bidi w:val="0"/>
              <w:spacing w:before="0" w:after="0"/>
              <w:ind w:left="0" w:right="0" w:hanging="0"/>
              <w:jc w:val="left"/>
              <w:rPr/>
            </w:pPr>
            <w:hyperlink w:anchor="a9s15">
              <w:r>
                <w:rPr>
                  <w:rStyle w:val="InternetLink"/>
                  <w:rFonts w:ascii="Times New Roman" w:hAnsi="Times New Roman"/>
                  <w:sz w:val="22"/>
                </w:rPr>
                <w:t>Currency deficiency</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right"/>
              <w:rPr>
                <w:rFonts w:cs="Times New Roman"/>
                <w:color w:val="000000"/>
                <w:szCs w:val="22"/>
              </w:rPr>
            </w:pPr>
            <w:r>
              <w:rPr>
                <w:rFonts w:cs="Times New Roman"/>
                <w:color w:val="000000"/>
                <w:szCs w:val="22"/>
              </w:rPr>
              <w:t>﻿</w:t>
            </w:r>
          </w:p>
        </w:tc>
        <w:tc>
          <w:tcPr>
            <w:tcW w:w="312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455" w:type="dxa"/>
            <w:tcBorders/>
            <w:vAlign w:val="center"/>
          </w:tcPr>
          <w:p>
            <w:pPr>
              <w:pStyle w:val="TableContents"/>
              <w:bidi w:val="0"/>
              <w:spacing w:before="0" w:after="0"/>
              <w:ind w:left="0" w:right="0" w:hanging="0"/>
              <w:jc w:val="left"/>
              <w:rPr/>
            </w:pPr>
            <w:r>
              <w:rPr>
                <w:rFonts w:cs="Times New Roman"/>
                <w:bCs/>
                <w:color w:val="000000"/>
                <w:szCs w:val="22"/>
              </w:rPr>
              <w:t>﻿</w:t>
            </w:r>
            <w:hyperlink w:anchor="a10">
              <w:r>
                <w:rPr>
                  <w:rStyle w:val="InternetLink"/>
                  <w:rFonts w:ascii="Times New Roman" w:hAnsi="Times New Roman"/>
                  <w:b/>
                  <w:sz w:val="22"/>
                </w:rPr>
                <w:t>10</w:t>
              </w:r>
            </w:hyperlink>
          </w:p>
        </w:tc>
        <w:tc>
          <w:tcPr>
            <w:tcW w:w="3125" w:type="dxa"/>
            <w:tcBorders/>
            <w:vAlign w:val="center"/>
          </w:tcPr>
          <w:p>
            <w:pPr>
              <w:pStyle w:val="TableContents"/>
              <w:bidi w:val="0"/>
              <w:spacing w:before="0" w:after="0"/>
              <w:ind w:left="0" w:right="0" w:hanging="0"/>
              <w:jc w:val="left"/>
              <w:rPr/>
            </w:pPr>
            <w:hyperlink w:anchor="a10">
              <w:r>
                <w:rPr>
                  <w:rStyle w:val="InternetLink"/>
                  <w:rFonts w:ascii="Times New Roman" w:hAnsi="Times New Roman"/>
                  <w:b/>
                  <w:sz w:val="22"/>
                </w:rPr>
                <w:t>Notices</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1">
              <w:r>
                <w:rPr>
                  <w:rStyle w:val="InternetLink"/>
                  <w:rFonts w:ascii="Times New Roman" w:hAnsi="Times New Roman"/>
                  <w:sz w:val="22"/>
                </w:rPr>
                <w:t>10.1</w:t>
              </w:r>
            </w:hyperlink>
          </w:p>
        </w:tc>
        <w:tc>
          <w:tcPr>
            <w:tcW w:w="3125" w:type="dxa"/>
            <w:tcBorders/>
            <w:vAlign w:val="center"/>
          </w:tcPr>
          <w:p>
            <w:pPr>
              <w:pStyle w:val="TableContents"/>
              <w:bidi w:val="0"/>
              <w:spacing w:before="0" w:after="0"/>
              <w:ind w:left="0" w:right="0" w:hanging="0"/>
              <w:jc w:val="left"/>
              <w:rPr/>
            </w:pPr>
            <w:hyperlink w:anchor="a10s1">
              <w:r>
                <w:rPr>
                  <w:rStyle w:val="InternetLink"/>
                  <w:rFonts w:ascii="Times New Roman" w:hAnsi="Times New Roman"/>
                  <w:sz w:val="22"/>
                </w:rPr>
                <w:t>General</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2">
              <w:r>
                <w:rPr>
                  <w:rStyle w:val="InternetLink"/>
                  <w:rFonts w:ascii="Times New Roman" w:hAnsi="Times New Roman"/>
                  <w:sz w:val="22"/>
                </w:rPr>
                <w:t>10.2</w:t>
              </w:r>
            </w:hyperlink>
          </w:p>
        </w:tc>
        <w:tc>
          <w:tcPr>
            <w:tcW w:w="3125" w:type="dxa"/>
            <w:tcBorders/>
            <w:vAlign w:val="center"/>
          </w:tcPr>
          <w:p>
            <w:pPr>
              <w:pStyle w:val="TableContents"/>
              <w:bidi w:val="0"/>
              <w:spacing w:before="0" w:after="0"/>
              <w:ind w:left="0" w:right="0" w:hanging="0"/>
              <w:jc w:val="left"/>
              <w:rPr/>
            </w:pPr>
            <w:hyperlink w:anchor="a10s2">
              <w:r>
                <w:rPr>
                  <w:rStyle w:val="InternetLink"/>
                  <w:rFonts w:ascii="Times New Roman" w:hAnsi="Times New Roman"/>
                  <w:sz w:val="22"/>
                </w:rPr>
                <w:t>How to give a communication</w:t>
              </w:r>
            </w:hyperlink>
          </w:p>
        </w:tc>
        <w:tc>
          <w:tcPr>
            <w:tcW w:w="395" w:type="dxa"/>
            <w:tcBorders/>
            <w:vAlign w:val="center"/>
          </w:tcPr>
          <w:p>
            <w:pPr>
              <w:pStyle w:val="TableContents"/>
              <w:bidi w:val="0"/>
              <w:spacing w:before="0" w:after="283"/>
              <w:jc w:val="left"/>
              <w:rPr/>
            </w:pPr>
            <w:r>
              <w:rPr/>
              <w:t xml:space="preserve">14 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3">
              <w:r>
                <w:rPr>
                  <w:rStyle w:val="InternetLink"/>
                  <w:rFonts w:ascii="Times New Roman" w:hAnsi="Times New Roman"/>
                  <w:sz w:val="22"/>
                </w:rPr>
                <w:t>10.3</w:t>
              </w:r>
            </w:hyperlink>
          </w:p>
        </w:tc>
        <w:tc>
          <w:tcPr>
            <w:tcW w:w="3125" w:type="dxa"/>
            <w:tcBorders/>
            <w:vAlign w:val="center"/>
          </w:tcPr>
          <w:p>
            <w:pPr>
              <w:pStyle w:val="TableContents"/>
              <w:bidi w:val="0"/>
              <w:spacing w:before="0" w:after="0"/>
              <w:ind w:left="0" w:right="0" w:hanging="0"/>
              <w:jc w:val="left"/>
              <w:rPr/>
            </w:pPr>
            <w:hyperlink w:anchor="a10s3">
              <w:r>
                <w:rPr>
                  <w:rStyle w:val="InternetLink"/>
                  <w:rFonts w:ascii="Times New Roman" w:hAnsi="Times New Roman"/>
                  <w:sz w:val="22"/>
                </w:rPr>
                <w:t>Particulars for delivery of notices</w:t>
              </w:r>
            </w:hyperlink>
          </w:p>
        </w:tc>
        <w:tc>
          <w:tcPr>
            <w:tcW w:w="395" w:type="dxa"/>
            <w:tcBorders/>
            <w:vAlign w:val="center"/>
          </w:tcPr>
          <w:p>
            <w:pPr>
              <w:pStyle w:val="TableContents"/>
              <w:bidi w:val="0"/>
              <w:spacing w:before="0" w:after="283"/>
              <w:jc w:val="left"/>
              <w:rPr/>
            </w:pPr>
            <w:r>
              <w:rPr/>
              <w:t xml:space="preserve">15 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4">
              <w:r>
                <w:rPr>
                  <w:rStyle w:val="InternetLink"/>
                  <w:rFonts w:ascii="Times New Roman" w:hAnsi="Times New Roman"/>
                  <w:sz w:val="22"/>
                </w:rPr>
                <w:t>10.4</w:t>
              </w:r>
            </w:hyperlink>
          </w:p>
        </w:tc>
        <w:tc>
          <w:tcPr>
            <w:tcW w:w="3125" w:type="dxa"/>
            <w:tcBorders/>
            <w:vAlign w:val="center"/>
          </w:tcPr>
          <w:p>
            <w:pPr>
              <w:pStyle w:val="TableContents"/>
              <w:bidi w:val="0"/>
              <w:spacing w:before="0" w:after="0"/>
              <w:ind w:left="0" w:right="0" w:hanging="0"/>
              <w:jc w:val="left"/>
              <w:rPr/>
            </w:pPr>
            <w:hyperlink w:anchor="a10s4">
              <w:r>
                <w:rPr>
                  <w:rStyle w:val="InternetLink"/>
                  <w:rFonts w:ascii="Times New Roman" w:hAnsi="Times New Roman"/>
                  <w:sz w:val="22"/>
                </w:rPr>
                <w:t>Communications by post</w:t>
              </w:r>
            </w:hyperlink>
          </w:p>
        </w:tc>
        <w:tc>
          <w:tcPr>
            <w:tcW w:w="395" w:type="dxa"/>
            <w:tcBorders/>
            <w:vAlign w:val="center"/>
          </w:tcPr>
          <w:p>
            <w:pPr>
              <w:pStyle w:val="TableContents"/>
              <w:bidi w:val="0"/>
              <w:spacing w:before="0" w:after="283"/>
              <w:jc w:val="left"/>
              <w:rPr/>
            </w:pPr>
            <w:r>
              <w:rPr/>
              <w:t xml:space="preserve">16 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5">
              <w:r>
                <w:rPr>
                  <w:rStyle w:val="InternetLink"/>
                  <w:rFonts w:ascii="Times New Roman" w:hAnsi="Times New Roman"/>
                  <w:sz w:val="22"/>
                </w:rPr>
                <w:t>10.5</w:t>
              </w:r>
            </w:hyperlink>
          </w:p>
        </w:tc>
        <w:tc>
          <w:tcPr>
            <w:tcW w:w="3125" w:type="dxa"/>
            <w:tcBorders/>
            <w:vAlign w:val="center"/>
          </w:tcPr>
          <w:p>
            <w:pPr>
              <w:pStyle w:val="TableContents"/>
              <w:bidi w:val="0"/>
              <w:spacing w:before="0" w:after="0"/>
              <w:ind w:left="0" w:right="0" w:hanging="0"/>
              <w:jc w:val="left"/>
              <w:rPr/>
            </w:pPr>
            <w:hyperlink w:anchor="a10s5">
              <w:r>
                <w:rPr>
                  <w:rStyle w:val="InternetLink"/>
                  <w:rFonts w:ascii="Times New Roman" w:hAnsi="Times New Roman"/>
                  <w:sz w:val="22"/>
                </w:rPr>
                <w:t>Communications by fax</w:t>
              </w:r>
            </w:hyperlink>
          </w:p>
        </w:tc>
        <w:tc>
          <w:tcPr>
            <w:tcW w:w="395" w:type="dxa"/>
            <w:tcBorders/>
            <w:vAlign w:val="center"/>
          </w:tcPr>
          <w:p>
            <w:pPr>
              <w:pStyle w:val="TableContents"/>
              <w:bidi w:val="0"/>
              <w:spacing w:before="0" w:after="283"/>
              <w:jc w:val="left"/>
              <w:rPr/>
            </w:pPr>
            <w:r>
              <w:rPr/>
              <w:t xml:space="preserve">16 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6">
              <w:r>
                <w:rPr>
                  <w:rStyle w:val="InternetLink"/>
                  <w:rFonts w:ascii="Times New Roman" w:hAnsi="Times New Roman"/>
                  <w:sz w:val="22"/>
                </w:rPr>
                <w:t>10.6</w:t>
              </w:r>
            </w:hyperlink>
          </w:p>
        </w:tc>
        <w:tc>
          <w:tcPr>
            <w:tcW w:w="3125" w:type="dxa"/>
            <w:tcBorders/>
            <w:vAlign w:val="center"/>
          </w:tcPr>
          <w:p>
            <w:pPr>
              <w:pStyle w:val="TableContents"/>
              <w:bidi w:val="0"/>
              <w:spacing w:before="0" w:after="0"/>
              <w:ind w:left="0" w:right="0" w:hanging="0"/>
              <w:jc w:val="left"/>
              <w:rPr/>
            </w:pPr>
            <w:hyperlink w:anchor="a10s6">
              <w:r>
                <w:rPr>
                  <w:rStyle w:val="InternetLink"/>
                  <w:rFonts w:ascii="Times New Roman" w:hAnsi="Times New Roman"/>
                  <w:sz w:val="22"/>
                </w:rPr>
                <w:t>After hours communications</w:t>
              </w:r>
            </w:hyperlink>
          </w:p>
        </w:tc>
        <w:tc>
          <w:tcPr>
            <w:tcW w:w="395" w:type="dxa"/>
            <w:tcBorders/>
            <w:vAlign w:val="center"/>
          </w:tcPr>
          <w:p>
            <w:pPr>
              <w:pStyle w:val="TableContents"/>
              <w:bidi w:val="0"/>
              <w:spacing w:before="0" w:after="283"/>
              <w:jc w:val="left"/>
              <w:rPr/>
            </w:pPr>
            <w:r>
              <w:rPr/>
              <w:t xml:space="preserve">16  </w:t>
            </w:r>
          </w:p>
        </w:tc>
      </w:tr>
      <w:tr>
        <w:trPr/>
        <w:tc>
          <w:tcPr>
            <w:tcW w:w="455" w:type="dxa"/>
            <w:tcBorders/>
            <w:vAlign w:val="center"/>
          </w:tcPr>
          <w:p>
            <w:pPr>
              <w:pStyle w:val="TableContents"/>
              <w:bidi w:val="0"/>
              <w:spacing w:before="0" w:after="0"/>
              <w:ind w:left="0" w:right="0" w:hanging="0"/>
              <w:jc w:val="left"/>
              <w:rPr/>
            </w:pPr>
            <w:r>
              <w:rPr>
                <w:rFonts w:cs="Times New Roman"/>
                <w:color w:val="000000"/>
                <w:szCs w:val="22"/>
              </w:rPr>
              <w:t>﻿</w:t>
            </w:r>
            <w:hyperlink w:anchor="a10s7">
              <w:r>
                <w:rPr>
                  <w:rStyle w:val="InternetLink"/>
                  <w:rFonts w:ascii="Times New Roman" w:hAnsi="Times New Roman"/>
                  <w:sz w:val="22"/>
                </w:rPr>
                <w:t>10.7</w:t>
              </w:r>
            </w:hyperlink>
          </w:p>
        </w:tc>
        <w:tc>
          <w:tcPr>
            <w:tcW w:w="3125" w:type="dxa"/>
            <w:tcBorders/>
            <w:vAlign w:val="center"/>
          </w:tcPr>
          <w:p>
            <w:pPr>
              <w:pStyle w:val="TableContents"/>
              <w:bidi w:val="0"/>
              <w:spacing w:before="0" w:after="0"/>
              <w:ind w:left="0" w:right="0" w:hanging="0"/>
              <w:jc w:val="left"/>
              <w:rPr/>
            </w:pPr>
            <w:hyperlink w:anchor="a10s7">
              <w:r>
                <w:rPr>
                  <w:rStyle w:val="InternetLink"/>
                  <w:rFonts w:ascii="Times New Roman" w:hAnsi="Times New Roman"/>
                  <w:sz w:val="22"/>
                </w:rPr>
                <w:t>Process service</w:t>
              </w:r>
            </w:hyperlink>
          </w:p>
        </w:tc>
        <w:tc>
          <w:tcPr>
            <w:tcW w:w="395" w:type="dxa"/>
            <w:tcBorders/>
            <w:vAlign w:val="center"/>
          </w:tcPr>
          <w:p>
            <w:pPr>
              <w:pStyle w:val="TableContents"/>
              <w:bidi w:val="0"/>
              <w:spacing w:before="0" w:after="283"/>
              <w:jc w:val="left"/>
              <w:rPr/>
            </w:pPr>
            <w:r>
              <w:rPr/>
              <w:t xml:space="preserve">16  </w:t>
            </w:r>
          </w:p>
        </w:tc>
      </w:tr>
    </w:tbl>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ii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0" w:after="0"/>
        <w:ind w:left="1300" w:right="1560" w:hanging="0"/>
        <w:jc w:val="left"/>
        <w:rPr>
          <w:rFonts w:ascii="Times New Roman" w:hAnsi="Times New Roman"/>
          <w:sz w:val="22"/>
        </w:rPr>
      </w:pPr>
      <w:r>
        <w:rPr>
          <w:rFonts w:ascii="Times New Roman" w:hAnsi="Times New Roman"/>
          <w:sz w:val="22"/>
        </w:rPr>
        <w:t xml:space="preserve">Date 26 October 2023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ascii="Times New Roman" w:hAnsi="Times New Roman"/>
          <w:b/>
          <w:sz w:val="28"/>
        </w:rPr>
      </w:pPr>
      <w:r>
        <w:rPr>
          <w:rFonts w:ascii="Times New Roman" w:hAnsi="Times New Roman"/>
          <w:b/>
          <w:sz w:val="28"/>
        </w:rPr>
        <w:t xml:space="preserve">PARTIES: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both"/>
        <w:rPr>
          <w:rFonts w:ascii="Times New Roman" w:hAnsi="Times New Roman"/>
          <w:sz w:val="22"/>
        </w:rPr>
      </w:pPr>
      <w:r>
        <w:rPr>
          <w:rFonts w:ascii="Times New Roman" w:hAnsi="Times New Roman"/>
          <w:b/>
          <w:sz w:val="22"/>
        </w:rPr>
        <w:t xml:space="preserve">Reading Entertainment Australia Pty Limited </w:t>
      </w:r>
      <w:r>
        <w:rPr>
          <w:rFonts w:ascii="Times New Roman" w:hAnsi="Times New Roman"/>
          <w:sz w:val="22"/>
        </w:rPr>
        <w:t xml:space="preserve">ABN 12 070 893 908 of 98 York Street, </w:t>
      </w:r>
    </w:p>
    <w:p>
      <w:pPr>
        <w:pStyle w:val="TextBody"/>
        <w:bidi w:val="0"/>
        <w:spacing w:before="0" w:after="0"/>
        <w:ind w:left="1300" w:right="1560" w:hanging="0"/>
        <w:jc w:val="left"/>
        <w:rPr>
          <w:rFonts w:ascii="Times New Roman" w:hAnsi="Times New Roman"/>
          <w:sz w:val="22"/>
        </w:rPr>
      </w:pPr>
      <w:r>
        <w:rPr>
          <w:rFonts w:ascii="Times New Roman" w:hAnsi="Times New Roman"/>
          <w:sz w:val="22"/>
        </w:rPr>
        <w:t xml:space="preserve">South Melbourne, South Melbourne, Victoria (Company)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ascii="Times New Roman" w:hAnsi="Times New Roman"/>
          <w:b/>
          <w:sz w:val="22"/>
        </w:rPr>
      </w:pPr>
      <w:r>
        <w:rPr>
          <w:rFonts w:ascii="Times New Roman" w:hAnsi="Times New Roman"/>
          <w:b/>
          <w:sz w:val="22"/>
        </w:rPr>
        <w:t xml:space="preserve">Reading International Cinemas, LLC (Junior Creditor)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both"/>
        <w:rPr>
          <w:rFonts w:ascii="Times New Roman" w:hAnsi="Times New Roman"/>
          <w:sz w:val="22"/>
        </w:rPr>
      </w:pPr>
      <w:r>
        <w:rPr>
          <w:rFonts w:ascii="Times New Roman" w:hAnsi="Times New Roman"/>
          <w:b/>
          <w:sz w:val="22"/>
        </w:rPr>
        <w:t>National Australia Bank Limited</w:t>
      </w:r>
      <w:r>
        <w:rPr>
          <w:rFonts w:ascii="Times New Roman" w:hAnsi="Times New Roman"/>
          <w:sz w:val="22"/>
        </w:rPr>
        <w:t xml:space="preserve"> ABN 12 004 044 937 of Level 17, 395 Bourke Street, </w:t>
      </w:r>
    </w:p>
    <w:p>
      <w:pPr>
        <w:pStyle w:val="TextBody"/>
        <w:bidi w:val="0"/>
        <w:spacing w:before="0" w:after="0"/>
        <w:ind w:left="1300" w:right="1560" w:hanging="0"/>
        <w:jc w:val="left"/>
        <w:rPr>
          <w:rFonts w:ascii="Times New Roman" w:hAnsi="Times New Roman"/>
          <w:sz w:val="22"/>
        </w:rPr>
      </w:pPr>
      <w:r>
        <w:rPr>
          <w:rFonts w:ascii="Times New Roman" w:hAnsi="Times New Roman"/>
          <w:sz w:val="22"/>
        </w:rPr>
        <w:t xml:space="preserve">Melbourne, Victoria (Senior Creditor) </w:t>
      </w:r>
    </w:p>
    <w:p>
      <w:pPr>
        <w:pStyle w:val="TextBody"/>
        <w:pBdr>
          <w:bottom w:val="single" w:sz="8" w:space="1" w:color="000000"/>
        </w:pBdr>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ascii="Times New Roman" w:hAnsi="Times New Roman"/>
          <w:b/>
          <w:sz w:val="28"/>
        </w:rPr>
      </w:pPr>
      <w:r>
        <w:rPr>
          <w:rFonts w:ascii="Times New Roman" w:hAnsi="Times New Roman"/>
          <w:b/>
          <w:sz w:val="28"/>
        </w:rPr>
        <w:t xml:space="preserve">Agreed terms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8"/>
        </w:rPr>
      </w:pPr>
      <w:bookmarkStart w:id="97" w:name="_TOC_250053"/>
      <w:bookmarkEnd w:id="97"/>
      <w:r>
        <w:rPr>
          <w:rFonts w:ascii="Times New Roman" w:hAnsi="Times New Roman"/>
          <w:b/>
          <w:sz w:val="28"/>
        </w:rPr>
        <w:t>1Interpretati</w:t>
      </w:r>
      <w:bookmarkStart w:id="98" w:name="a1"/>
      <w:bookmarkEnd w:id="98"/>
      <w:r>
        <w:rPr>
          <w:rFonts w:ascii="Times New Roman" w:hAnsi="Times New Roman"/>
          <w:b/>
          <w:sz w:val="28"/>
        </w:rPr>
        <w:t xml:space="preserve">on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99" w:name="_TOC_250052"/>
      <w:bookmarkEnd w:id="99"/>
      <w:r>
        <w:rPr>
          <w:rFonts w:ascii="Times New Roman" w:hAnsi="Times New Roman"/>
          <w:b/>
          <w:sz w:val="24"/>
        </w:rPr>
        <w:t>1.1Definitio</w:t>
      </w:r>
      <w:bookmarkStart w:id="100" w:name="a1s1"/>
      <w:bookmarkEnd w:id="100"/>
      <w:r>
        <w:rPr>
          <w:rFonts w:ascii="Times New Roman" w:hAnsi="Times New Roman"/>
          <w:b/>
          <w:sz w:val="24"/>
        </w:rPr>
        <w:t xml:space="preserve">ns </w:t>
      </w:r>
    </w:p>
    <w:p>
      <w:pPr>
        <w:pStyle w:val="TextBody"/>
        <w:bidi w:val="0"/>
        <w:spacing w:before="0" w:after="0"/>
        <w:ind w:left="2020" w:right="1560" w:hanging="0"/>
        <w:jc w:val="left"/>
        <w:rPr>
          <w:rFonts w:ascii="Times New Roman" w:hAnsi="Times New Roman"/>
          <w:sz w:val="22"/>
        </w:rPr>
      </w:pPr>
      <w:r>
        <w:rPr>
          <w:rFonts w:ascii="Times New Roman" w:hAnsi="Times New Roman"/>
          <w:sz w:val="22"/>
        </w:rPr>
        <w:t xml:space="preserve">In this document: </w:t>
      </w:r>
    </w:p>
    <w:p>
      <w:pPr>
        <w:pStyle w:val="TextBody"/>
        <w:bidi w:val="0"/>
        <w:spacing w:before="0" w:after="0"/>
        <w:ind w:left="1300" w:right="1560" w:hanging="0"/>
        <w:jc w:val="left"/>
        <w:rPr/>
      </w:pPr>
      <w:r>
        <w:rPr/>
        <w:t xml:space="preserve">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Attorney</w:t>
      </w:r>
      <w:r>
        <w:rPr>
          <w:rFonts w:ascii="Times New Roman" w:hAnsi="Times New Roman"/>
          <w:sz w:val="22"/>
        </w:rPr>
        <w:t xml:space="preserve"> means any attorney appointed under this document and any sub-attorney appointed by an Attorney.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Authorised Representative</w:t>
      </w:r>
      <w:r>
        <w:rPr>
          <w:rFonts w:ascii="Times New Roman" w:hAnsi="Times New Roman"/>
          <w:sz w:val="22"/>
        </w:rPr>
        <w:t xml:space="preserve"> has the meaning given it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Business Day</w:t>
      </w:r>
      <w:r>
        <w:rPr>
          <w:rFonts w:ascii="Times New Roman" w:hAnsi="Times New Roman"/>
          <w:sz w:val="22"/>
        </w:rPr>
        <w:t xml:space="preserve"> means a day which is not a Saturday, Sunday or public bank or public holiday in Melbourne or Los Angeles, California.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Collateral Security</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Corporations Act</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Encumbrance</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Event of Default</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Government Body</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Guarantee</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Guarantor</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Insolvency</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Insolvency Event</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Junior Debt</w:t>
      </w:r>
      <w:r>
        <w:rPr>
          <w:rFonts w:ascii="Times New Roman" w:hAnsi="Times New Roman"/>
          <w:sz w:val="22"/>
        </w:rPr>
        <w:t xml:space="preserve"> means all money which the Company (whether alone or with another person) is or at any time may hereafter become actually or contingently liable to pay to or for the account of the Junior Creditor (whether alone or with another person) for any reason whatsoever. It includes money by way of principal, interest, fees, costs, indemnities, charges, duties or expenses or payment of liquidated or unliquidated damages for which the Company is or at any time may become so liable, or as a result of a breach of or default of any obligation by the Company.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Junior Debt Proceeds</w:t>
      </w:r>
      <w:r>
        <w:rPr>
          <w:rFonts w:ascii="Times New Roman" w:hAnsi="Times New Roman"/>
          <w:sz w:val="22"/>
        </w:rPr>
        <w:t xml:space="preserve"> means (subject to clause 3.8):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1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0" w:after="0"/>
        <w:ind w:left="2740" w:right="1560" w:hanging="0"/>
        <w:jc w:val="both"/>
        <w:rPr>
          <w:rFonts w:ascii="Times New Roman" w:hAnsi="Times New Roman"/>
          <w:sz w:val="22"/>
        </w:rPr>
      </w:pPr>
      <w:r>
        <w:rPr>
          <w:rFonts w:ascii="Times New Roman" w:hAnsi="Times New Roman"/>
          <w:sz w:val="22"/>
        </w:rPr>
        <w:t xml:space="preserve">(a)any amount (whether in the form of money or kind) paid on account of, or in respect of, the Junior Debt received or recovered by the Junior Creditor from the Company or any other person on account of the Junior Debt after the date hereof, including all distributions and payments in cash or otherwise received or receivable by the Junior Creditor on account of the Junior Debt in the administration of the Company following an Insolvency Event in relation to the Company; and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740" w:right="1560" w:hanging="0"/>
        <w:jc w:val="both"/>
        <w:rPr>
          <w:rFonts w:ascii="Times New Roman" w:hAnsi="Times New Roman"/>
          <w:sz w:val="22"/>
        </w:rPr>
      </w:pPr>
      <w:r>
        <w:rPr>
          <w:rFonts w:ascii="Times New Roman" w:hAnsi="Times New Roman"/>
          <w:sz w:val="22"/>
        </w:rPr>
        <w:t xml:space="preserve">(b)any amount received or recovered by the Junior Creditor in connection with a failure by the Company or the Junior Creditor to comply with this document.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Material Adverse Effect</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Permitted Payments</w:t>
      </w:r>
      <w:r>
        <w:rPr>
          <w:rFonts w:ascii="Times New Roman" w:hAnsi="Times New Roman"/>
          <w:sz w:val="22"/>
        </w:rPr>
        <w:t xml:space="preserve"> means any payment, repayment or other distribution in respect of the Junior Debt permitted under clause 3.8.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Relevant Jurisdiction</w:t>
      </w:r>
      <w:r>
        <w:rPr>
          <w:rFonts w:ascii="Times New Roman" w:hAnsi="Times New Roman"/>
          <w:sz w:val="22"/>
        </w:rPr>
        <w:t xml:space="preserve"> means Victoria.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Representative</w:t>
      </w:r>
      <w:r>
        <w:rPr>
          <w:rFonts w:ascii="Times New Roman" w:hAnsi="Times New Roman"/>
          <w:sz w:val="22"/>
        </w:rPr>
        <w:t xml:space="preserve"> of a person means an officer, employee, contractor or agent of that person.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Security Interest</w:t>
      </w:r>
      <w:r>
        <w:rPr>
          <w:rFonts w:ascii="Times New Roman" w:hAnsi="Times New Roman"/>
          <w:sz w:val="22"/>
        </w:rPr>
        <w:t xml:space="preserve"> has the meaning given in the Senior Creditor Facility Agreement.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Senior Creditor Facility Agreement</w:t>
      </w:r>
      <w:r>
        <w:rPr>
          <w:rFonts w:ascii="Times New Roman" w:hAnsi="Times New Roman"/>
          <w:sz w:val="22"/>
        </w:rPr>
        <w:t xml:space="preserve"> means the Corporate Markets Loan &amp; Bank Guarantee Facility Agreement most recently amended on August 13, 2023  between Reading Entertainment Australia Pty Ltd ABN 12 070 893 908 as borrower, various guarantors and the Senior Creditor.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Senior Debt</w:t>
      </w:r>
      <w:r>
        <w:rPr>
          <w:rFonts w:ascii="Times New Roman" w:hAnsi="Times New Roman"/>
          <w:sz w:val="22"/>
        </w:rPr>
        <w:t xml:space="preserve"> means all money which the Company (whether alone or with another person) is or at any time may become actually or contingently liable to pay to or for the account of the Senior Creditor (whether alone or with another person) under or in connection with the Transaction Documents. It includes money by way of principal, interest, fees, costs, indemnities, charges, duties or expenses or payment of liquidated or unliquidated damages for which the Company is or at any time may become so liable, or as a result of a breach of or default of any obligation by the Company under any Transaction Document.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Senior Debt Discharge Date</w:t>
      </w:r>
      <w:r>
        <w:rPr>
          <w:rFonts w:ascii="Times New Roman" w:hAnsi="Times New Roman"/>
          <w:sz w:val="22"/>
        </w:rPr>
        <w:t xml:space="preserve"> means the date on which the Senior Debt has been irrevocably and unconditionally paid and discharged in full, whether or not as a result of an enforcement. </w:t>
      </w:r>
    </w:p>
    <w:p>
      <w:pPr>
        <w:pStyle w:val="TextBody"/>
        <w:bidi w:val="0"/>
        <w:spacing w:before="120" w:after="0"/>
        <w:ind w:left="2020" w:right="1560" w:hanging="0"/>
        <w:jc w:val="both"/>
        <w:rPr>
          <w:rFonts w:ascii="Times New Roman" w:hAnsi="Times New Roman"/>
          <w:sz w:val="22"/>
        </w:rPr>
      </w:pPr>
      <w:r>
        <w:rPr>
          <w:rFonts w:ascii="Times New Roman" w:hAnsi="Times New Roman"/>
          <w:b/>
          <w:sz w:val="22"/>
        </w:rPr>
        <w:t>Transaction Documents</w:t>
      </w:r>
      <w:r>
        <w:rPr>
          <w:rFonts w:ascii="Times New Roman" w:hAnsi="Times New Roman"/>
          <w:sz w:val="22"/>
        </w:rPr>
        <w:t xml:space="preserve"> has the meaning given in the Senior Creditor Facility Agreement. </w:t>
      </w:r>
    </w:p>
    <w:p>
      <w:pPr>
        <w:pStyle w:val="TextBody"/>
        <w:bidi w:val="0"/>
        <w:spacing w:before="0" w:after="0"/>
        <w:ind w:left="202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101" w:name="_TOC_250051"/>
      <w:bookmarkEnd w:id="101"/>
      <w:r>
        <w:rPr>
          <w:rFonts w:ascii="Times New Roman" w:hAnsi="Times New Roman"/>
          <w:b/>
          <w:sz w:val="24"/>
        </w:rPr>
        <w:t>1.2Constructi</w:t>
      </w:r>
      <w:bookmarkStart w:id="102" w:name="a1s2"/>
      <w:bookmarkEnd w:id="102"/>
      <w:r>
        <w:rPr>
          <w:rFonts w:ascii="Times New Roman" w:hAnsi="Times New Roman"/>
          <w:b/>
          <w:sz w:val="24"/>
        </w:rPr>
        <w:t xml:space="preserve">on </w:t>
      </w:r>
    </w:p>
    <w:p>
      <w:pPr>
        <w:pStyle w:val="TextBody"/>
        <w:bidi w:val="0"/>
        <w:spacing w:before="0" w:after="0"/>
        <w:ind w:left="1300" w:right="1560" w:hanging="0"/>
        <w:jc w:val="left"/>
        <w:rPr/>
      </w:pPr>
      <w:r>
        <w:rPr/>
        <w:t xml:space="preserve">  </w:t>
      </w:r>
    </w:p>
    <w:p>
      <w:pPr>
        <w:pStyle w:val="TextBody"/>
        <w:bidi w:val="0"/>
        <w:spacing w:before="120" w:after="0"/>
        <w:ind w:left="2020" w:right="1560" w:hanging="0"/>
        <w:jc w:val="both"/>
        <w:rPr>
          <w:rFonts w:ascii="Times New Roman" w:hAnsi="Times New Roman"/>
          <w:sz w:val="22"/>
        </w:rPr>
      </w:pPr>
      <w:r>
        <w:rPr>
          <w:rFonts w:ascii="Times New Roman" w:hAnsi="Times New Roman"/>
          <w:sz w:val="22"/>
        </w:rPr>
        <w:t xml:space="preserve">Unless expressed to the contrary: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(a)words in the singular include the plural and vice versa;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(b)any gender included the other genders;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(c)if a word or phrase is defined its other grammatical forms have corresponding meanings;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(d)“includes” means includes without limitation;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(e)no rule of construction will apply to a clause to the disadvantage of a party merely because that party put forward the clause or would otherwise benefit from it; and </w:t>
      </w:r>
    </w:p>
    <w:p>
      <w:pPr>
        <w:pStyle w:val="TextBody"/>
        <w:bidi w:val="0"/>
        <w:spacing w:before="120" w:after="0"/>
        <w:ind w:left="1300" w:right="1560" w:hanging="0"/>
        <w:jc w:val="left"/>
        <w:rPr/>
      </w:pPr>
      <w:r>
        <w:rPr/>
        <w:t xml:space="preserve">  </w:t>
      </w:r>
    </w:p>
    <w:p>
      <w:pPr>
        <w:pStyle w:val="TextBody"/>
        <w:bidi w:val="0"/>
        <w:spacing w:before="0" w:after="0"/>
        <w:ind w:left="1300" w:right="1500" w:hanging="0"/>
        <w:jc w:val="right"/>
        <w:rPr>
          <w:rFonts w:ascii="Times New Roman" w:hAnsi="Times New Roman"/>
          <w:sz w:val="22"/>
        </w:rPr>
      </w:pPr>
      <w:r>
        <w:rPr>
          <w:rFonts w:ascii="Times New Roman" w:hAnsi="Times New Roman"/>
          <w:sz w:val="22"/>
        </w:rPr>
        <w:t xml:space="preserve">Page 2 </w:t>
      </w:r>
    </w:p>
    <w:p>
      <w:pPr>
        <w:pStyle w:val="HorizontalLine"/>
        <w:pBdr>
          <w:bottom w:val="double" w:sz="6" w:space="0" w:color="808080"/>
        </w:pBdr>
        <w:bidi w:val="0"/>
        <w:ind w:left="1300" w:right="1500" w:hanging="0"/>
        <w:jc w:val="left"/>
        <w:rPr/>
      </w:pPr>
      <w:r>
        <w:rPr/>
      </w:r>
    </w:p>
    <w:p>
      <w:pPr>
        <w:pStyle w:val="TextBody"/>
        <w:bidi w:val="0"/>
        <w:ind w:left="1300" w:right="1500" w:hanging="0"/>
        <w:jc w:val="left"/>
        <w:rPr/>
      </w:pPr>
      <w:r>
        <w:rPr/>
        <w:t> </w:t>
      </w:r>
      <w:r>
        <w:br w:type="page"/>
      </w:r>
    </w:p>
    <w:p>
      <w:pPr>
        <w:pStyle w:val="TextBody"/>
        <w:bidi w:val="0"/>
        <w:spacing w:before="120" w:after="0"/>
        <w:ind w:left="2740" w:right="1500" w:hanging="0"/>
        <w:jc w:val="left"/>
        <w:rPr>
          <w:rFonts w:ascii="Times New Roman" w:hAnsi="Times New Roman"/>
          <w:sz w:val="22"/>
        </w:rPr>
      </w:pPr>
      <w:r>
        <w:rPr>
          <w:rFonts w:ascii="Times New Roman" w:hAnsi="Times New Roman"/>
          <w:sz w:val="22"/>
        </w:rPr>
        <w:t xml:space="preserve">(f)a  reference to: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(i)a person include a partnership, joint venture, unincorporated association, corporation and a government or statutory body or authority;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(ii)a person includes  the  person’s  legal  personal representatives, successors, assigns and persons substituted by novation;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(iii)any legislation included subordinate legislation under it and includes that legislation and subordinate legislation as modified or replaced;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(iv)an obligation includes a warranty or representation and a reference to a failure to comply with an obligation includes a breach of warranty or representation;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(v)a right includes a benefit, remedy, discretion or power;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(vi)this is to local time in Melbourne;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(vii)“$” or “dollars” is a reference to Australian currency;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(viii)this or any document includes the document as novated, varied or replaced and despite any change in the identity of the parties;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(ix)writing includes any mode of representing or reproducing words in tangible and permanently visible from, and includes fax transmissions;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(x)any thing (including any amount) is a reference to the whole or any part of it and a reference to a group of things or persons is a reference to any one or more of them;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(xi)this document includes all schedules and annexures to it; and  </w:t>
      </w:r>
    </w:p>
    <w:p>
      <w:pPr>
        <w:pStyle w:val="TextBody"/>
        <w:bidi w:val="0"/>
        <w:spacing w:before="120" w:after="0"/>
        <w:ind w:left="3460" w:right="1500" w:hanging="0"/>
        <w:jc w:val="both"/>
        <w:rPr>
          <w:rFonts w:ascii="Times New Roman" w:hAnsi="Times New Roman"/>
          <w:sz w:val="22"/>
        </w:rPr>
      </w:pPr>
      <w:r>
        <w:rPr>
          <w:rFonts w:ascii="Times New Roman" w:hAnsi="Times New Roman"/>
          <w:sz w:val="22"/>
        </w:rPr>
        <w:t xml:space="preserve">(xii)a clause, schedule or annexure is a reference to a clause, schedule or annexure, as the case may be, of this document. </w:t>
      </w:r>
    </w:p>
    <w:p>
      <w:pPr>
        <w:pStyle w:val="TextBody"/>
        <w:bidi w:val="0"/>
        <w:spacing w:before="0" w:after="0"/>
        <w:ind w:left="2020" w:right="1500" w:hanging="0"/>
        <w:jc w:val="left"/>
        <w:rPr>
          <w:rFonts w:ascii="Times New Roman" w:hAnsi="Times New Roman"/>
          <w:sz w:val="24"/>
        </w:rPr>
      </w:pPr>
      <w:bookmarkStart w:id="103" w:name="_TOC_250050"/>
      <w:bookmarkEnd w:id="103"/>
      <w:r>
        <w:rPr>
          <w:rFonts w:ascii="Times New Roman" w:hAnsi="Times New Roman"/>
          <w:b/>
          <w:sz w:val="24"/>
        </w:rPr>
        <w:t>1.3GS</w:t>
      </w:r>
      <w:bookmarkStart w:id="104" w:name="a1s3"/>
      <w:bookmarkEnd w:id="104"/>
      <w:r>
        <w:rPr>
          <w:rFonts w:ascii="Times New Roman" w:hAnsi="Times New Roman"/>
          <w:b/>
          <w:sz w:val="24"/>
        </w:rPr>
        <w:t>T  </w:t>
      </w:r>
      <w:r>
        <w:rPr>
          <w:rFonts w:ascii="Times New Roman" w:hAnsi="Times New Roman"/>
          <w:sz w:val="24"/>
        </w:rPr>
        <w:t xml:space="preserve"> </w:t>
      </w:r>
    </w:p>
    <w:p>
      <w:pPr>
        <w:pStyle w:val="TextBody"/>
        <w:bidi w:val="0"/>
        <w:spacing w:before="0" w:after="0"/>
        <w:ind w:left="1300" w:right="1500" w:hanging="0"/>
        <w:jc w:val="both"/>
        <w:rPr>
          <w:rFonts w:ascii="Times New Roman" w:hAnsi="Times New Roman"/>
          <w:sz w:val="22"/>
        </w:rPr>
      </w:pPr>
      <w:r>
        <w:rPr>
          <w:rFonts w:ascii="Times New Roman" w:hAnsi="Times New Roman"/>
          <w:sz w:val="22"/>
        </w:rPr>
        <w:t xml:space="preserve">Unless expressed to the contrary in </w:t>
      </w:r>
      <w:r>
        <w:rPr>
          <w:rFonts w:ascii="Times New Roman" w:hAnsi="Times New Roman"/>
          <w:b/>
          <w:sz w:val="22"/>
        </w:rPr>
        <w:t>Clause 7, consideration, GST, input tax credit, supply</w:t>
      </w:r>
      <w:r>
        <w:rPr>
          <w:rFonts w:ascii="Times New Roman" w:hAnsi="Times New Roman"/>
          <w:sz w:val="22"/>
        </w:rPr>
        <w:t xml:space="preserve"> and </w:t>
      </w:r>
      <w:r>
        <w:rPr>
          <w:rFonts w:ascii="Times New Roman" w:hAnsi="Times New Roman"/>
          <w:b/>
          <w:sz w:val="22"/>
        </w:rPr>
        <w:t>tax invoice</w:t>
      </w:r>
      <w:r>
        <w:rPr>
          <w:rFonts w:ascii="Times New Roman" w:hAnsi="Times New Roman"/>
          <w:sz w:val="22"/>
        </w:rPr>
        <w:t xml:space="preserve"> each has the meaning which it is defined to have in the </w:t>
      </w:r>
      <w:r>
        <w:rPr>
          <w:rFonts w:ascii="Times New Roman" w:hAnsi="Times New Roman"/>
          <w:i/>
          <w:sz w:val="22"/>
        </w:rPr>
        <w:t xml:space="preserve">A New Tax System (Goods and Services Tax) Act 1999. </w:t>
      </w:r>
    </w:p>
    <w:p>
      <w:pPr>
        <w:pStyle w:val="TextBody"/>
        <w:bidi w:val="0"/>
        <w:spacing w:before="0" w:after="0"/>
        <w:ind w:left="1300" w:right="1500" w:hanging="0"/>
        <w:jc w:val="left"/>
        <w:rPr/>
      </w:pPr>
      <w:r>
        <w:rPr/>
        <w:t xml:space="preserve">  </w:t>
      </w:r>
    </w:p>
    <w:p>
      <w:pPr>
        <w:pStyle w:val="TextBody"/>
        <w:bidi w:val="0"/>
        <w:spacing w:before="0" w:after="0"/>
        <w:ind w:left="2020" w:right="1500" w:hanging="0"/>
        <w:jc w:val="left"/>
        <w:rPr>
          <w:rFonts w:ascii="Times New Roman" w:hAnsi="Times New Roman"/>
          <w:sz w:val="24"/>
        </w:rPr>
      </w:pPr>
      <w:bookmarkStart w:id="105" w:name="_TOC_250049"/>
      <w:bookmarkEnd w:id="105"/>
      <w:r>
        <w:rPr>
          <w:rFonts w:ascii="Times New Roman" w:hAnsi="Times New Roman"/>
          <w:b/>
          <w:sz w:val="24"/>
        </w:rPr>
        <w:t>1.4Subsisting Insolvency Even</w:t>
      </w:r>
      <w:bookmarkStart w:id="106" w:name="a1s4"/>
      <w:bookmarkEnd w:id="106"/>
      <w:r>
        <w:rPr>
          <w:rFonts w:ascii="Times New Roman" w:hAnsi="Times New Roman"/>
          <w:b/>
          <w:sz w:val="24"/>
        </w:rPr>
        <w:t xml:space="preserve">ts </w:t>
      </w:r>
    </w:p>
    <w:p>
      <w:pPr>
        <w:pStyle w:val="TextBody"/>
        <w:bidi w:val="0"/>
        <w:spacing w:before="0" w:after="0"/>
        <w:ind w:left="2020" w:right="1500" w:hanging="0"/>
        <w:jc w:val="both"/>
        <w:rPr>
          <w:rFonts w:ascii="Times New Roman" w:hAnsi="Times New Roman"/>
          <w:sz w:val="22"/>
        </w:rPr>
      </w:pPr>
      <w:r>
        <w:rPr>
          <w:rFonts w:ascii="Times New Roman" w:hAnsi="Times New Roman"/>
          <w:sz w:val="22"/>
        </w:rPr>
        <w:t xml:space="preserve">An Insolvency Event subsists if it has occurred and has not been waived by the Senior Creditor in accordance with this document or the Senior Creditor Facility Agreement, or remedied. </w:t>
      </w:r>
    </w:p>
    <w:p>
      <w:pPr>
        <w:pStyle w:val="TextBody"/>
        <w:bidi w:val="0"/>
        <w:spacing w:before="0" w:after="0"/>
        <w:ind w:left="1300" w:right="1500" w:hanging="0"/>
        <w:jc w:val="left"/>
        <w:rPr/>
      </w:pPr>
      <w:r>
        <w:rPr/>
        <w:t xml:space="preserve">  </w:t>
      </w:r>
    </w:p>
    <w:p>
      <w:pPr>
        <w:pStyle w:val="TextBody"/>
        <w:bidi w:val="0"/>
        <w:spacing w:before="0" w:after="0"/>
        <w:ind w:left="2020" w:right="1500" w:hanging="0"/>
        <w:jc w:val="left"/>
        <w:rPr>
          <w:rFonts w:ascii="Times New Roman" w:hAnsi="Times New Roman"/>
          <w:sz w:val="28"/>
        </w:rPr>
      </w:pPr>
      <w:bookmarkStart w:id="107" w:name="_TOC_250048"/>
      <w:bookmarkEnd w:id="107"/>
      <w:r>
        <w:rPr>
          <w:rFonts w:ascii="Times New Roman" w:hAnsi="Times New Roman"/>
          <w:b/>
          <w:sz w:val="28"/>
        </w:rPr>
        <w:t>2Considerati</w:t>
      </w:r>
      <w:bookmarkStart w:id="108" w:name="a2"/>
      <w:bookmarkEnd w:id="108"/>
      <w:r>
        <w:rPr>
          <w:rFonts w:ascii="Times New Roman" w:hAnsi="Times New Roman"/>
          <w:b/>
          <w:sz w:val="28"/>
        </w:rPr>
        <w:t xml:space="preserve">on </w:t>
      </w:r>
    </w:p>
    <w:p>
      <w:pPr>
        <w:pStyle w:val="TextBody"/>
        <w:bidi w:val="0"/>
        <w:spacing w:before="0" w:after="0"/>
        <w:ind w:left="2020" w:right="1500" w:hanging="0"/>
        <w:jc w:val="both"/>
        <w:rPr>
          <w:rFonts w:ascii="Times New Roman" w:hAnsi="Times New Roman"/>
          <w:sz w:val="22"/>
        </w:rPr>
      </w:pPr>
      <w:r>
        <w:rPr>
          <w:rFonts w:ascii="Times New Roman" w:hAnsi="Times New Roman"/>
          <w:sz w:val="22"/>
        </w:rPr>
        <w:t xml:space="preserve">The Company and the Junior Creditor each enter into this document for valuable consideration from the Senior Creditor, including the provision of financial accommodation by the Senior Creditor to the Company at the Junior Creditor’s request, and receipt of the consideration is acknowledged. </w:t>
      </w:r>
    </w:p>
    <w:p>
      <w:pPr>
        <w:pStyle w:val="TextBody"/>
        <w:bidi w:val="0"/>
        <w:spacing w:before="120" w:after="0"/>
        <w:ind w:left="1300" w:right="1500" w:hanging="0"/>
        <w:jc w:val="left"/>
        <w:rPr/>
      </w:pPr>
      <w:r>
        <w:rPr/>
        <w:t xml:space="preserve">  </w:t>
      </w:r>
    </w:p>
    <w:p>
      <w:pPr>
        <w:pStyle w:val="TextBody"/>
        <w:bidi w:val="0"/>
        <w:spacing w:before="0" w:after="0"/>
        <w:ind w:left="1280" w:right="1540" w:hanging="0"/>
        <w:jc w:val="right"/>
        <w:rPr>
          <w:rFonts w:ascii="Times New Roman" w:hAnsi="Times New Roman"/>
          <w:sz w:val="22"/>
        </w:rPr>
      </w:pPr>
      <w:bookmarkStart w:id="109" w:name="_TOC_250047"/>
      <w:bookmarkEnd w:id="109"/>
      <w:r>
        <w:rPr>
          <w:rFonts w:ascii="Times New Roman" w:hAnsi="Times New Roman"/>
          <w:sz w:val="22"/>
        </w:rPr>
        <w:t xml:space="preserve">Page 3 </w:t>
      </w:r>
    </w:p>
    <w:p>
      <w:pPr>
        <w:pStyle w:val="HorizontalLine"/>
        <w:pBdr>
          <w:bottom w:val="double" w:sz="6" w:space="0" w:color="808080"/>
        </w:pBdr>
        <w:bidi w:val="0"/>
        <w:ind w:left="1280" w:right="1540" w:hanging="0"/>
        <w:jc w:val="left"/>
        <w:rPr/>
      </w:pPr>
      <w:r>
        <w:rPr/>
      </w:r>
    </w:p>
    <w:p>
      <w:pPr>
        <w:pStyle w:val="TextBody"/>
        <w:bidi w:val="0"/>
        <w:ind w:left="1280" w:right="1540" w:hanging="0"/>
        <w:jc w:val="left"/>
        <w:rPr/>
      </w:pPr>
      <w:r>
        <w:rPr/>
        <w:t> </w:t>
      </w:r>
      <w:r>
        <w:br w:type="page"/>
      </w:r>
    </w:p>
    <w:p>
      <w:pPr>
        <w:pStyle w:val="TextBody"/>
        <w:bidi w:val="0"/>
        <w:spacing w:before="0" w:after="0"/>
        <w:ind w:left="2000" w:right="1540" w:hanging="0"/>
        <w:jc w:val="left"/>
        <w:rPr>
          <w:rFonts w:ascii="Times New Roman" w:hAnsi="Times New Roman"/>
          <w:sz w:val="28"/>
        </w:rPr>
      </w:pPr>
      <w:r>
        <w:rPr>
          <w:rFonts w:ascii="Times New Roman" w:hAnsi="Times New Roman"/>
          <w:b/>
          <w:sz w:val="28"/>
        </w:rPr>
        <w:t>3Subordinati</w:t>
      </w:r>
      <w:bookmarkStart w:id="110" w:name="a3"/>
      <w:bookmarkEnd w:id="110"/>
      <w:r>
        <w:rPr>
          <w:rFonts w:ascii="Times New Roman" w:hAnsi="Times New Roman"/>
          <w:b/>
          <w:sz w:val="28"/>
        </w:rPr>
        <w:t xml:space="preserve">on </w:t>
      </w:r>
    </w:p>
    <w:p>
      <w:pPr>
        <w:pStyle w:val="TextBody"/>
        <w:bidi w:val="0"/>
        <w:spacing w:before="0" w:after="0"/>
        <w:ind w:left="2000" w:right="1540" w:hanging="0"/>
        <w:jc w:val="left"/>
        <w:rPr>
          <w:rFonts w:ascii="Times New Roman" w:hAnsi="Times New Roman"/>
          <w:sz w:val="24"/>
        </w:rPr>
      </w:pPr>
      <w:bookmarkStart w:id="111" w:name="_TOC_250046"/>
      <w:bookmarkEnd w:id="111"/>
      <w:r>
        <w:rPr>
          <w:rFonts w:ascii="Times New Roman" w:hAnsi="Times New Roman"/>
          <w:b/>
          <w:sz w:val="24"/>
        </w:rPr>
        <w:t>3.1Junior Debt subordinated until Senior Debt</w:t>
      </w:r>
      <w:bookmarkStart w:id="112" w:name="a3s1"/>
      <w:bookmarkEnd w:id="112"/>
      <w:r>
        <w:rPr>
          <w:rFonts w:ascii="Times New Roman" w:hAnsi="Times New Roman"/>
          <w:sz w:val="24"/>
        </w:rPr>
        <w:t xml:space="preserve"> </w:t>
      </w:r>
      <w:r>
        <w:rPr>
          <w:rFonts w:ascii="Times New Roman" w:hAnsi="Times New Roman"/>
          <w:b/>
          <w:sz w:val="24"/>
        </w:rPr>
        <w:t xml:space="preserve">repaid </w:t>
      </w:r>
    </w:p>
    <w:p>
      <w:pPr>
        <w:pStyle w:val="TextBody"/>
        <w:bidi w:val="0"/>
        <w:spacing w:before="120" w:after="0"/>
        <w:ind w:left="2000" w:right="1540" w:hanging="0"/>
        <w:jc w:val="both"/>
        <w:rPr>
          <w:rFonts w:ascii="Times New Roman" w:hAnsi="Times New Roman"/>
          <w:sz w:val="22"/>
        </w:rPr>
      </w:pPr>
      <w:r>
        <w:rPr>
          <w:rFonts w:ascii="Times New Roman" w:hAnsi="Times New Roman"/>
          <w:sz w:val="22"/>
        </w:rPr>
        <w:t xml:space="preserve">Until the Senior Debt Discharge Date: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(a)the Junior Debt is subordinated to the Senior Debt on the terms of this document;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(b)this document applies despite any other agreement between the Company and the Junior Creditor and, except as provided in the Senior Creditor Facility Agreement or otherwise permitted by the Senior Creditor, prevails over such agreement to the extent of any inconsistency.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2000" w:right="1540" w:hanging="0"/>
        <w:jc w:val="left"/>
        <w:rPr>
          <w:rFonts w:ascii="Times New Roman" w:hAnsi="Times New Roman"/>
          <w:sz w:val="24"/>
        </w:rPr>
      </w:pPr>
      <w:bookmarkStart w:id="113" w:name="_TOC_250045"/>
      <w:bookmarkEnd w:id="113"/>
      <w:r>
        <w:rPr>
          <w:rFonts w:ascii="Times New Roman" w:hAnsi="Times New Roman"/>
          <w:b/>
          <w:sz w:val="24"/>
        </w:rPr>
        <w:t>3.2Contingent de</w:t>
      </w:r>
      <w:bookmarkStart w:id="114" w:name="a3s2"/>
      <w:bookmarkEnd w:id="114"/>
      <w:r>
        <w:rPr>
          <w:rFonts w:ascii="Times New Roman" w:hAnsi="Times New Roman"/>
          <w:b/>
          <w:sz w:val="24"/>
        </w:rPr>
        <w:t xml:space="preserve">bt </w:t>
      </w:r>
    </w:p>
    <w:p>
      <w:pPr>
        <w:pStyle w:val="TextBody"/>
        <w:bidi w:val="0"/>
        <w:spacing w:before="0" w:after="0"/>
        <w:ind w:left="2000" w:right="1540" w:hanging="0"/>
        <w:jc w:val="both"/>
        <w:rPr>
          <w:rFonts w:ascii="Times New Roman" w:hAnsi="Times New Roman"/>
          <w:sz w:val="22"/>
        </w:rPr>
      </w:pPr>
      <w:r>
        <w:rPr>
          <w:rFonts w:ascii="Times New Roman" w:hAnsi="Times New Roman"/>
          <w:sz w:val="22"/>
        </w:rPr>
        <w:t xml:space="preserve">Except </w:t>
      </w:r>
      <w:r>
        <w:rPr>
          <w:rFonts w:ascii="Times New Roman" w:hAnsi="Times New Roman"/>
          <w:b/>
          <w:sz w:val="22"/>
        </w:rPr>
        <w:t>for Permitted Payments</w:t>
      </w:r>
      <w:r>
        <w:rPr>
          <w:rFonts w:ascii="Times New Roman" w:hAnsi="Times New Roman"/>
          <w:sz w:val="22"/>
        </w:rPr>
        <w:t xml:space="preserve">, the Junior Debt is neither due for payment nor capable of being declared due for payment until the Senior Debt Discharge Date.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2000" w:right="1540" w:hanging="0"/>
        <w:jc w:val="left"/>
        <w:rPr>
          <w:rFonts w:ascii="Times New Roman" w:hAnsi="Times New Roman"/>
          <w:sz w:val="24"/>
        </w:rPr>
      </w:pPr>
      <w:bookmarkStart w:id="115" w:name="_TOC_250044"/>
      <w:bookmarkEnd w:id="115"/>
      <w:r>
        <w:rPr>
          <w:rFonts w:ascii="Times New Roman" w:hAnsi="Times New Roman"/>
          <w:b/>
          <w:sz w:val="24"/>
        </w:rPr>
        <w:t>3.3Company may not discharge Junior D</w:t>
      </w:r>
      <w:bookmarkStart w:id="116" w:name="a3s3"/>
      <w:bookmarkEnd w:id="116"/>
      <w:r>
        <w:rPr>
          <w:rFonts w:ascii="Times New Roman" w:hAnsi="Times New Roman"/>
          <w:b/>
          <w:sz w:val="24"/>
        </w:rPr>
        <w:t xml:space="preserve">ebt </w:t>
      </w:r>
    </w:p>
    <w:p>
      <w:pPr>
        <w:pStyle w:val="TextBody"/>
        <w:bidi w:val="0"/>
        <w:spacing w:before="0" w:after="0"/>
        <w:ind w:left="2000" w:right="1540" w:hanging="0"/>
        <w:jc w:val="both"/>
        <w:rPr>
          <w:rFonts w:ascii="Times New Roman" w:hAnsi="Times New Roman"/>
          <w:sz w:val="22"/>
        </w:rPr>
      </w:pPr>
      <w:r>
        <w:rPr>
          <w:rFonts w:ascii="Times New Roman" w:hAnsi="Times New Roman"/>
          <w:sz w:val="22"/>
        </w:rPr>
        <w:t xml:space="preserve">The Company must not and it undertakes to ensure that each subsidiary of the Company must not, without the consent of the Senior Creditor: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(a)except as permitted by </w:t>
      </w:r>
      <w:r>
        <w:rPr>
          <w:rFonts w:ascii="Times New Roman" w:hAnsi="Times New Roman"/>
          <w:b/>
          <w:sz w:val="22"/>
        </w:rPr>
        <w:t>clause 3.8,</w:t>
      </w:r>
      <w:r>
        <w:rPr>
          <w:rFonts w:ascii="Times New Roman" w:hAnsi="Times New Roman"/>
          <w:sz w:val="22"/>
        </w:rPr>
        <w:t xml:space="preserve"> pay or repay or  make  any distribution in respect or on account of, or purchase or acquire, any of the Junior Debt in cash or kind to the Junior Creditor or from any other source or apply any money or assets in discharge or any Junior Debt;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(b)set off against the Junior Debt;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(c)permit to subsist or give any Guarantee in respect of any of the Junior Debt;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(d)permit to subsist or create a Security Interest to secure payment of the Junior Debt; or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(e)take or omit any action which results in the subordination achieved by this document being impaired.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2000" w:right="1540" w:hanging="0"/>
        <w:jc w:val="left"/>
        <w:rPr>
          <w:rFonts w:ascii="Times New Roman" w:hAnsi="Times New Roman"/>
          <w:sz w:val="24"/>
        </w:rPr>
      </w:pPr>
      <w:bookmarkStart w:id="117" w:name="_TOC_250043"/>
      <w:bookmarkEnd w:id="117"/>
      <w:r>
        <w:rPr>
          <w:rFonts w:ascii="Times New Roman" w:hAnsi="Times New Roman"/>
          <w:b/>
          <w:sz w:val="24"/>
        </w:rPr>
        <w:t>3.4Junior Creditor not to recei</w:t>
      </w:r>
      <w:bookmarkStart w:id="118" w:name="a3s4"/>
      <w:bookmarkEnd w:id="118"/>
      <w:r>
        <w:rPr>
          <w:rFonts w:ascii="Times New Roman" w:hAnsi="Times New Roman"/>
          <w:b/>
          <w:sz w:val="24"/>
        </w:rPr>
        <w:t xml:space="preserve">ve payments </w:t>
      </w:r>
    </w:p>
    <w:p>
      <w:pPr>
        <w:pStyle w:val="TextBody"/>
        <w:bidi w:val="0"/>
        <w:spacing w:before="0" w:after="0"/>
        <w:ind w:left="2000" w:right="1540" w:hanging="0"/>
        <w:jc w:val="both"/>
        <w:rPr>
          <w:rFonts w:ascii="Times New Roman" w:hAnsi="Times New Roman"/>
          <w:sz w:val="22"/>
        </w:rPr>
      </w:pPr>
      <w:r>
        <w:rPr>
          <w:rFonts w:ascii="Times New Roman" w:hAnsi="Times New Roman"/>
          <w:sz w:val="22"/>
        </w:rPr>
        <w:t xml:space="preserve">Except for Permitted Payments, before the Senior Debt Discharge Date, the Junior Creditor must not, without the prior consent of the Senior Creditor: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(a)demand or receive payment of, or receive any distribution in respect of or on account of, any of the Junior Debt in cash or kind from the Company, any subsidiary of the Company or any other source or apply any money or assets in discharge of the Junior Debt;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(b)set off any of the Junior Deb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(c)permit to subsist or receive the benefit of, or any payment to it under, any Guarantee in respect of any of the Junior Debt; </w:t>
      </w:r>
    </w:p>
    <w:p>
      <w:pPr>
        <w:pStyle w:val="TextBody"/>
        <w:bidi w:val="0"/>
        <w:spacing w:before="120" w:after="0"/>
        <w:ind w:left="2720" w:right="1540" w:hanging="0"/>
        <w:jc w:val="both"/>
        <w:rPr>
          <w:rFonts w:ascii="Times New Roman" w:hAnsi="Times New Roman"/>
          <w:sz w:val="22"/>
        </w:rPr>
      </w:pPr>
      <w:r>
        <w:rPr>
          <w:rFonts w:ascii="Times New Roman" w:hAnsi="Times New Roman"/>
          <w:sz w:val="22"/>
        </w:rPr>
        <w:t xml:space="preserve">(d)permit to subsist or receive a Security Interest to secure payment of the Junior Debt; </w:t>
      </w:r>
    </w:p>
    <w:p>
      <w:pPr>
        <w:pStyle w:val="TextBody"/>
        <w:bidi w:val="0"/>
        <w:spacing w:before="120" w:after="0"/>
        <w:ind w:left="1280" w:right="154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4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(e)accelerate any of the Junior Debt or otherwise declare any of the Junior Debt prematurely payable or an event of default however described or otherwise;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(f)enforce the Junior Debt by execution or otherwise; 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(g)in connection with the Junior Debt, petition or apply for a vote in favour of any resolution for the winding up, administration, dissolution, arrangement or assignment for the benefit of creditors with respect to the Company.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19" w:name="_TOC_250042"/>
      <w:bookmarkEnd w:id="119"/>
      <w:r>
        <w:rPr>
          <w:rFonts w:ascii="Times New Roman" w:hAnsi="Times New Roman"/>
          <w:b/>
          <w:sz w:val="24"/>
        </w:rPr>
        <w:t>3.5Proceeds</w:t>
      </w:r>
      <w:bookmarkStart w:id="120" w:name="a3s5"/>
      <w:bookmarkEnd w:id="120"/>
      <w:r>
        <w:rPr>
          <w:rFonts w:ascii="Times New Roman" w:hAnsi="Times New Roman"/>
          <w:sz w:val="24"/>
        </w:rPr>
        <w:t xml:space="preserve"> </w:t>
      </w:r>
      <w:r>
        <w:rPr>
          <w:rFonts w:ascii="Times New Roman" w:hAnsi="Times New Roman"/>
          <w:b/>
          <w:sz w:val="24"/>
        </w:rPr>
        <w:t xml:space="preserve">trust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Except for Permitted Payments, </w:t>
      </w:r>
    </w:p>
    <w:p>
      <w:pPr>
        <w:pStyle w:val="TextBody"/>
        <w:bidi w:val="0"/>
        <w:spacing w:before="0" w:after="0"/>
        <w:ind w:left="1300" w:right="1560" w:hanging="0"/>
        <w:jc w:val="left"/>
        <w:rPr/>
      </w:pPr>
      <w:r>
        <w:rPr/>
        <w:t xml:space="preserv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(a)if before the Senior Debt Discharge Date the Junior Creditor receives or recovers any Junior Debt Proceeds, the Junior Creditor must hold the Junior Debt Proceeds on trust for itself and the Senior Creditor.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Junior Creditor must deposit the Junior Debt Proceeds into an account nominated by the Senior Creditor and distribute the Junior Debt Proceeds: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(i)first, to the Senior Creditor or as the Senior Creditor may direct; and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(ii)second,  if  any  balance  remains  after  distribution  to  the  Senior Creditor, to itself in satisfaction of the Junior Debt.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(c)The Senior Creditor may apply the Junior Debt Proceeds distributed to it under </w:t>
      </w:r>
      <w:r>
        <w:rPr>
          <w:rFonts w:ascii="Times New Roman" w:hAnsi="Times New Roman"/>
          <w:b/>
          <w:sz w:val="22"/>
        </w:rPr>
        <w:t>clause</w:t>
      </w:r>
      <w:r>
        <w:rPr>
          <w:rFonts w:ascii="Times New Roman" w:hAnsi="Times New Roman"/>
          <w:sz w:val="22"/>
        </w:rPr>
        <w:t> </w:t>
      </w:r>
      <w:r>
        <w:rPr>
          <w:rFonts w:ascii="Times New Roman" w:hAnsi="Times New Roman"/>
          <w:b/>
          <w:sz w:val="22"/>
        </w:rPr>
        <w:t>3.5(b)</w:t>
      </w:r>
      <w:r>
        <w:rPr>
          <w:rFonts w:ascii="Times New Roman" w:hAnsi="Times New Roman"/>
          <w:sz w:val="22"/>
        </w:rPr>
        <w:t xml:space="preserve"> in or towards satisfaction of the Senior Debt or as permitted under </w:t>
      </w:r>
      <w:r>
        <w:rPr>
          <w:rFonts w:ascii="Times New Roman" w:hAnsi="Times New Roman"/>
          <w:b/>
          <w:sz w:val="22"/>
        </w:rPr>
        <w:t xml:space="preserve">clause 4.2.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(d)This </w:t>
      </w:r>
      <w:r>
        <w:rPr>
          <w:rFonts w:ascii="Times New Roman" w:hAnsi="Times New Roman"/>
          <w:b/>
          <w:sz w:val="22"/>
        </w:rPr>
        <w:t>clause 3.5</w:t>
      </w:r>
      <w:r>
        <w:rPr>
          <w:rFonts w:ascii="Times New Roman" w:hAnsi="Times New Roman"/>
          <w:sz w:val="22"/>
        </w:rPr>
        <w:t xml:space="preserve"> does not create a charge over the Junior Debt Proceeds.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121" w:name="_TOC_250041"/>
      <w:bookmarkEnd w:id="121"/>
      <w:r>
        <w:rPr>
          <w:rFonts w:ascii="Times New Roman" w:hAnsi="Times New Roman"/>
          <w:b/>
          <w:sz w:val="24"/>
        </w:rPr>
        <w:t>3.6Turnover obligati</w:t>
      </w:r>
      <w:bookmarkStart w:id="122" w:name="a3s6"/>
      <w:bookmarkEnd w:id="122"/>
      <w:r>
        <w:rPr>
          <w:rFonts w:ascii="Times New Roman" w:hAnsi="Times New Roman"/>
          <w:b/>
          <w:sz w:val="24"/>
        </w:rPr>
        <w:t xml:space="preserve">on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Except for Permitted Payments, if before the Senior Debt Discharge Date: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 third party receives from the Company or any Guarantor any amount (whether in the form of money or kind) in connection with the Junior Debt; 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(b)an amount otherwise owed to the Company or any Guarantor is set off against the Junior Debt (by operation of law or otherwise), </w:t>
      </w:r>
    </w:p>
    <w:p>
      <w:pPr>
        <w:pStyle w:val="TextBody"/>
        <w:bidi w:val="0"/>
        <w:spacing w:before="120" w:after="0"/>
        <w:ind w:left="2020" w:right="1560" w:hanging="0"/>
        <w:jc w:val="both"/>
        <w:rPr>
          <w:rFonts w:ascii="Times New Roman" w:hAnsi="Times New Roman"/>
          <w:sz w:val="22"/>
        </w:rPr>
      </w:pPr>
      <w:r>
        <w:rPr>
          <w:rFonts w:ascii="Times New Roman" w:hAnsi="Times New Roman"/>
          <w:sz w:val="22"/>
        </w:rPr>
        <w:t xml:space="preserve">the Junior Creditor must immediately pay an equivalent amount, up to the amount of the Senior Debt, to the Senior Creditor.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123" w:name="_TOC_250040"/>
      <w:bookmarkEnd w:id="123"/>
      <w:r>
        <w:rPr>
          <w:rFonts w:ascii="Times New Roman" w:hAnsi="Times New Roman"/>
          <w:b/>
          <w:sz w:val="24"/>
        </w:rPr>
        <w:t>3.7Indemnit</w:t>
      </w:r>
      <w:bookmarkStart w:id="124" w:name="a3s7"/>
      <w:bookmarkEnd w:id="124"/>
      <w:r>
        <w:rPr>
          <w:rFonts w:ascii="Times New Roman" w:hAnsi="Times New Roman"/>
          <w:b/>
          <w:sz w:val="24"/>
        </w:rPr>
        <w:t>y  </w:t>
      </w:r>
      <w:r>
        <w:rPr>
          <w:rFonts w:ascii="Times New Roman" w:hAnsi="Times New Roman"/>
          <w:sz w:val="24"/>
        </w:rPr>
        <w:t xml:space="preserve">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If a liquidator, provisional liquidator or administrator of the Company sets off against the Junior Debt any amount in respect of which the Junior Creditor is indebted to the Company, the Junior Creditor indemnifies the Senior Creditor against any loss it suffers because the amount set off is not part of the Junior Debt.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125" w:name="_TOC_250039"/>
      <w:bookmarkEnd w:id="125"/>
      <w:r>
        <w:rPr>
          <w:rFonts w:ascii="Times New Roman" w:hAnsi="Times New Roman"/>
          <w:b/>
          <w:sz w:val="24"/>
        </w:rPr>
        <w:t>3.8Permitted Paymen</w:t>
      </w:r>
      <w:bookmarkStart w:id="126" w:name="a3s8"/>
      <w:bookmarkEnd w:id="126"/>
      <w:r>
        <w:rPr>
          <w:rFonts w:ascii="Times New Roman" w:hAnsi="Times New Roman"/>
          <w:b/>
          <w:sz w:val="24"/>
        </w:rPr>
        <w:t xml:space="preserve">ts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The following payments of Junior Debt are permitted: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5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(a)any payments expressly permitted to be made to the Junior Creditor as provided in the Senior Creditor Facility Agreement;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(b)any other payments which the Senior Creditor’s has consented to being made to the Junior Creditor, </w:t>
      </w:r>
    </w:p>
    <w:p>
      <w:pPr>
        <w:pStyle w:val="TextBody"/>
        <w:bidi w:val="0"/>
        <w:spacing w:before="120" w:after="0"/>
        <w:ind w:left="2020" w:right="1560" w:hanging="0"/>
        <w:jc w:val="both"/>
        <w:rPr>
          <w:rFonts w:ascii="Times New Roman" w:hAnsi="Times New Roman"/>
          <w:sz w:val="22"/>
        </w:rPr>
      </w:pPr>
      <w:r>
        <w:rPr>
          <w:rFonts w:ascii="Times New Roman" w:hAnsi="Times New Roman"/>
          <w:sz w:val="22"/>
        </w:rPr>
        <w:t xml:space="preserve">and, in each case, any such amounts shall be deemed not to be Junior Debt Proceeds.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27" w:name="_TOC_250038"/>
      <w:bookmarkEnd w:id="127"/>
      <w:r>
        <w:rPr>
          <w:rFonts w:ascii="Times New Roman" w:hAnsi="Times New Roman"/>
          <w:b/>
          <w:sz w:val="24"/>
        </w:rPr>
        <w:t>3.9Company under adminis</w:t>
      </w:r>
      <w:bookmarkStart w:id="128" w:name="a3s9"/>
      <w:bookmarkEnd w:id="128"/>
      <w:r>
        <w:rPr>
          <w:rFonts w:ascii="Times New Roman" w:hAnsi="Times New Roman"/>
          <w:b/>
          <w:sz w:val="24"/>
        </w:rPr>
        <w:t xml:space="preserve">tration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If the Company is under any form of administration following an Insolvency Event, until the Senior Debt Discharge Date the Junior Creditor must promptly: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(a)give copies of all notices received in relation to the Insolvency Event and subsequent administration to the Senior Creditor;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(b)do all things necessary so that the person making the distributions or payments in the administration of the Company is directed to pay those amounts, except for Permitted Payments, directly to the Senior Creditor.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4"/>
        </w:rPr>
      </w:pPr>
      <w:bookmarkStart w:id="129" w:name="_TOC_250037"/>
      <w:bookmarkEnd w:id="129"/>
      <w:r>
        <w:rPr>
          <w:rFonts w:ascii="Times New Roman" w:hAnsi="Times New Roman"/>
          <w:b/>
          <w:sz w:val="24"/>
        </w:rPr>
        <w:t>3.10Conversion of Junior Debt into eq</w:t>
      </w:r>
      <w:bookmarkStart w:id="130" w:name="a3s10"/>
      <w:bookmarkEnd w:id="130"/>
      <w:r>
        <w:rPr>
          <w:rFonts w:ascii="Times New Roman" w:hAnsi="Times New Roman"/>
          <w:b/>
          <w:sz w:val="24"/>
        </w:rPr>
        <w:t xml:space="preserve">uity </w:t>
      </w:r>
    </w:p>
    <w:p>
      <w:pPr>
        <w:pStyle w:val="TextBody"/>
        <w:bidi w:val="0"/>
        <w:spacing w:before="0" w:after="0"/>
        <w:ind w:left="2020" w:right="1560" w:hanging="0"/>
        <w:jc w:val="left"/>
        <w:rPr>
          <w:rFonts w:ascii="Times New Roman" w:hAnsi="Times New Roman"/>
          <w:sz w:val="22"/>
        </w:rPr>
      </w:pPr>
      <w:r>
        <w:rPr>
          <w:rFonts w:ascii="Times New Roman" w:hAnsi="Times New Roman"/>
          <w:sz w:val="22"/>
        </w:rPr>
        <w:t xml:space="preserve">Nothing in this document restricts: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(a)the rights of the Company and the Junior Creditor to convert all or part of the Junior Debt into shares of the Company; 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rights of the Junior Creditor to receive and retain any dividend or other distribution in respect of shares in the Company to the extent permitted by the Senior Creditor Facility Agreement.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8"/>
        </w:rPr>
      </w:pPr>
      <w:bookmarkStart w:id="131" w:name="_TOC_250036"/>
      <w:bookmarkEnd w:id="131"/>
      <w:r>
        <w:rPr>
          <w:rFonts w:ascii="Times New Roman" w:hAnsi="Times New Roman"/>
          <w:b/>
          <w:sz w:val="28"/>
        </w:rPr>
        <w:t xml:space="preserve">4Preservation of Senior Creditor’s </w:t>
      </w:r>
      <w:bookmarkStart w:id="132" w:name="a4"/>
      <w:bookmarkEnd w:id="132"/>
      <w:r>
        <w:rPr>
          <w:rFonts w:ascii="Times New Roman" w:hAnsi="Times New Roman"/>
          <w:b/>
          <w:sz w:val="28"/>
        </w:rPr>
        <w:t xml:space="preserve">rights   </w:t>
      </w:r>
    </w:p>
    <w:p>
      <w:pPr>
        <w:pStyle w:val="TextBody"/>
        <w:bidi w:val="0"/>
        <w:spacing w:before="0" w:after="0"/>
        <w:ind w:left="2020" w:right="1560" w:hanging="0"/>
        <w:jc w:val="left"/>
        <w:rPr>
          <w:rFonts w:ascii="Times New Roman" w:hAnsi="Times New Roman"/>
          <w:sz w:val="24"/>
        </w:rPr>
      </w:pPr>
      <w:bookmarkStart w:id="133" w:name="_TOC_250035"/>
      <w:bookmarkEnd w:id="133"/>
      <w:r>
        <w:rPr>
          <w:rFonts w:ascii="Times New Roman" w:hAnsi="Times New Roman"/>
          <w:b/>
          <w:sz w:val="24"/>
        </w:rPr>
        <w:t xml:space="preserve">4.1Preservation of Junior Creditor's obligations and waiver </w:t>
      </w:r>
      <w:bookmarkStart w:id="134" w:name="a4s1"/>
      <w:bookmarkEnd w:id="134"/>
      <w:r>
        <w:rPr>
          <w:rFonts w:ascii="Times New Roman" w:hAnsi="Times New Roman"/>
          <w:b/>
          <w:sz w:val="24"/>
        </w:rPr>
        <w:t xml:space="preserve">of rights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(a)Except as otherwise provided in this document, the Junior Creditor’s obligations and the Senior Creditor's rights under this document are not affected by anything which might abrogate, prejudice or limit them or the effectiveness of this document including: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(i)the grant of any time, waiver or other indulgence or concession;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(ii)the discharge or release of the Company, the Junior Creditor or any other person (other than a final discharge or final release granted by the Senior Creditor in accordance with the terms of this document or a Collateral Security);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(iii)any transaction or arrangement that may take place between the Senior Creditor and the Company, the Junior Creditor or any other person (other than a final release granted by the Senior Creditor in accordance with the terms of this document or a Collateral Security);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(iv)the occurrence of an Insolvency Event in relation to the Company, the Junior Creditor or any other person;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6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(v)the Senior Creditor or any other person dealing or not dealing in any way with any other Guarantee, Encumbrance, document or agreement;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(vi)the Senior Creditor or any other person: </w:t>
      </w:r>
    </w:p>
    <w:p>
      <w:pPr>
        <w:pStyle w:val="TextBody"/>
        <w:bidi w:val="0"/>
        <w:spacing w:before="120" w:after="0"/>
        <w:ind w:left="4180" w:right="1560" w:hanging="0"/>
        <w:jc w:val="both"/>
        <w:rPr>
          <w:rFonts w:ascii="Times New Roman" w:hAnsi="Times New Roman"/>
          <w:sz w:val="22"/>
        </w:rPr>
      </w:pPr>
      <w:r>
        <w:rPr>
          <w:rFonts w:ascii="Times New Roman" w:hAnsi="Times New Roman"/>
          <w:sz w:val="22"/>
        </w:rPr>
        <w:t xml:space="preserve">(A)exercising or not exercising any other Guarantee or Encumbrance or any right or remedy conferred on it by law or in equity or by any document or agreement; or  </w:t>
      </w:r>
    </w:p>
    <w:p>
      <w:pPr>
        <w:pStyle w:val="TextBody"/>
        <w:bidi w:val="0"/>
        <w:spacing w:before="120" w:after="0"/>
        <w:ind w:left="4180" w:right="1560" w:hanging="0"/>
        <w:jc w:val="both"/>
        <w:rPr>
          <w:rFonts w:ascii="Times New Roman" w:hAnsi="Times New Roman"/>
          <w:sz w:val="22"/>
        </w:rPr>
      </w:pPr>
      <w:r>
        <w:rPr>
          <w:rFonts w:ascii="Times New Roman" w:hAnsi="Times New Roman"/>
          <w:sz w:val="22"/>
        </w:rPr>
        <w:t xml:space="preserve">(B)not recovering any money owing by the Company;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(vii)any variation (including a variation which increases, or extends the duration of, the Senior Debt or the obligations of the Company or the Junior Creditor), replacement, or transfer of any document or agreement relating to the obligations of the Company, the Junior Creditor or any other person (including this document and any other Guarantee or Encumbrance held by the Senior Creditor from any person at any time);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(ix)the obligations of: </w:t>
      </w:r>
    </w:p>
    <w:p>
      <w:pPr>
        <w:pStyle w:val="TextBody"/>
        <w:bidi w:val="0"/>
        <w:spacing w:before="120" w:after="0"/>
        <w:ind w:left="4180" w:right="1560" w:hanging="0"/>
        <w:jc w:val="both"/>
        <w:rPr>
          <w:rFonts w:ascii="Times New Roman" w:hAnsi="Times New Roman"/>
          <w:sz w:val="22"/>
        </w:rPr>
      </w:pPr>
      <w:r>
        <w:rPr>
          <w:rFonts w:ascii="Times New Roman" w:hAnsi="Times New Roman"/>
          <w:sz w:val="22"/>
        </w:rPr>
        <w:t xml:space="preserve">(A)the Company or any other person (other than the Junior Creditor) under this document; or </w:t>
      </w:r>
    </w:p>
    <w:p>
      <w:pPr>
        <w:pStyle w:val="TextBody"/>
        <w:bidi w:val="0"/>
        <w:spacing w:before="120" w:after="0"/>
        <w:ind w:left="4180" w:right="1560" w:hanging="0"/>
        <w:jc w:val="both"/>
        <w:rPr>
          <w:rFonts w:ascii="Times New Roman" w:hAnsi="Times New Roman"/>
          <w:sz w:val="22"/>
        </w:rPr>
      </w:pPr>
      <w:r>
        <w:rPr>
          <w:rFonts w:ascii="Times New Roman" w:hAnsi="Times New Roman"/>
          <w:sz w:val="22"/>
        </w:rPr>
        <w:t xml:space="preserve">(B)the Junior Creditor or the Company or any other person under any other document or agreement relating to the Senior Debt or this document (including any other Guarantee or Encumbrance),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being or becoming illegal, void, voidable, unenforceable or disclaimed by a liquidator or trustee for creditors or in bankruptcy;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(x)the Senior Creditor not giving the Junior Creditor notice of any default by the Company or any other person;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(xi)any change in the legal capacity, rights or obligations of, or other circumstance related to, the Company, the Junior Creditor or any other person;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(xii)any legal limitation, disability, incapacity  or  other  circumstance related to the Company, the Junior Creditor or any other person;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(xiii)any obligation of the Company being discharged by operation of law;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(xiv)any person who was intended to be bound as a guarantor or surety in relation to the Senior Debt not becoming bound or ceasing to be bound;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(xv)any laches, acquiescence, delay, act, omission or mistake on the part of, or suffered by, the Senior Creditor or any other person, in relation to this document or any other Guarantee, Encumbrance, document or agreement;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(xvi)the receipt by the Senior Creditor or any other person of any distribution or money after an Insolvency Event in relation to the Company, the Junior Creditor or any other person;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(xvii)any judgement or right which the Senior Creditor may have or exercise against the Company, the Junior Creditor or any other person;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(xviii)the opening or operation of a new account by the Company with the Senior Creditor or any other person;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7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(xix)the amendment of the constitution, trust deed or other constituent document of the Company or the Junior Creditor;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(xx)if the Company or the Junior Creditor is a member of a partnership, firm, joint venture or association, any change in the structure, membership, name or business of that partnership, firm, joint venture or association;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(xxi)if the Company or the Junior Creditor is a trustee of a trust, any breach or variation of the terms of that trust; or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(xxii)if the Junior Creditor is a director or shareholder of the Company, any change in that directorship or shareholding.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Junior Creditor waives in favour of the Senior Creditor all rights at law or otherwise against any person or property so far as is necessary to give effect to this document, including any right to be subrogated to or to otherwise have the benefit of any document or Collateral Security until after the Senior Debt Discharge Date.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35" w:name="_TOC_250034"/>
      <w:bookmarkEnd w:id="135"/>
      <w:r>
        <w:rPr>
          <w:rFonts w:ascii="Times New Roman" w:hAnsi="Times New Roman"/>
          <w:b/>
          <w:sz w:val="24"/>
        </w:rPr>
        <w:t>4.2Appropriation of paymen</w:t>
      </w:r>
      <w:bookmarkStart w:id="136" w:name="a4s2"/>
      <w:bookmarkEnd w:id="136"/>
      <w:r>
        <w:rPr>
          <w:rFonts w:ascii="Times New Roman" w:hAnsi="Times New Roman"/>
          <w:b/>
          <w:sz w:val="24"/>
        </w:rPr>
        <w:t xml:space="preserve">ts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The Senior Creditor: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(a)may, subject to any express provision in the Senior Creditor Facility Agreement or any Collateral Security to the contrary and except for Permitted Payments, appropriate any payment made by the Company or any money received by the Senior Creditor in relation to the exercise of its rights under any Collateral Security, in relation to the Insolvency of the Company or under this document, towards the satisfaction of the Senior Debt, or any money owing by Junior Creditor to the Senior Creditor, in any way that the Senior Creditor thinks fit, acting reasonably;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(b)may, if the Company is subject to an Insolvency Event, pay any money received by it into a suspense account and hold that money s security for payment of the Senior Debt and if this is done the Senior Creditor will be deemed not to have appropriated that money towards the payment of the Senior Debt and the Senior Creditor may at any time appropriate any money in the suspense account towards the satisfaction of the Senior Debt in any way that the Senior Creditor thinks fit, acting reasonably;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(c)is not obliged to disclose to the Junior Creditor: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(i)any appropriation of money received from the Company or from the exercise of its rights under any Collateral Security; or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(ii)any  agreement  between  the  Senior  Creditor  and  the  Company relating to appropriation of money received by the Senior Creditor.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8"/>
        </w:rPr>
      </w:pPr>
      <w:bookmarkStart w:id="137" w:name="_TOC_250033"/>
      <w:bookmarkEnd w:id="137"/>
      <w:r>
        <w:rPr>
          <w:rFonts w:ascii="Times New Roman" w:hAnsi="Times New Roman"/>
          <w:b/>
          <w:sz w:val="28"/>
        </w:rPr>
        <w:t>5Warranties and representat</w:t>
      </w:r>
      <w:bookmarkStart w:id="138" w:name="a5"/>
      <w:bookmarkEnd w:id="138"/>
      <w:r>
        <w:rPr>
          <w:rFonts w:ascii="Times New Roman" w:hAnsi="Times New Roman"/>
          <w:b/>
          <w:sz w:val="28"/>
        </w:rPr>
        <w:t xml:space="preserve">ions </w:t>
      </w:r>
    </w:p>
    <w:p>
      <w:pPr>
        <w:pStyle w:val="TextBody"/>
        <w:bidi w:val="0"/>
        <w:spacing w:before="0" w:after="0"/>
        <w:ind w:left="2020" w:right="1560" w:hanging="0"/>
        <w:jc w:val="left"/>
        <w:rPr>
          <w:rFonts w:ascii="Times New Roman" w:hAnsi="Times New Roman"/>
          <w:sz w:val="24"/>
        </w:rPr>
      </w:pPr>
      <w:bookmarkStart w:id="139" w:name="_TOC_250032"/>
      <w:bookmarkEnd w:id="139"/>
      <w:r>
        <w:rPr>
          <w:rFonts w:ascii="Times New Roman" w:hAnsi="Times New Roman"/>
          <w:b/>
          <w:sz w:val="24"/>
        </w:rPr>
        <w:t>5.1Natur</w:t>
      </w:r>
      <w:bookmarkStart w:id="140" w:name="a5s1"/>
      <w:bookmarkEnd w:id="140"/>
      <w:r>
        <w:rPr>
          <w:rFonts w:ascii="Times New Roman" w:hAnsi="Times New Roman"/>
          <w:b/>
          <w:sz w:val="24"/>
        </w:rPr>
        <w:t>e  </w:t>
      </w:r>
      <w:r>
        <w:rPr>
          <w:rFonts w:ascii="Times New Roman" w:hAnsi="Times New Roman"/>
          <w:sz w:val="24"/>
        </w:rPr>
        <w:t xml:space="preserve">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The Junior Creditor and the Company each warrants and represents to the Senior Creditor that: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(a)</w:t>
      </w:r>
      <w:r>
        <w:rPr>
          <w:rFonts w:ascii="Times New Roman" w:hAnsi="Times New Roman"/>
          <w:b/>
          <w:sz w:val="22"/>
        </w:rPr>
        <w:t>duly incorporated</w:t>
      </w:r>
      <w:r>
        <w:rPr>
          <w:rFonts w:ascii="Times New Roman" w:hAnsi="Times New Roman"/>
          <w:sz w:val="22"/>
        </w:rPr>
        <w:t xml:space="preserve">: it is duly incorporated in accordance with the laws of its place of incorporation, validly exists under those laws and has the capacity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8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to sue or be sued in its own name and to own its property and conduct its business as it is being conducted;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(b)</w:t>
      </w:r>
      <w:r>
        <w:rPr>
          <w:rFonts w:ascii="Times New Roman" w:hAnsi="Times New Roman"/>
          <w:b/>
          <w:sz w:val="22"/>
        </w:rPr>
        <w:t>capacity</w:t>
      </w:r>
      <w:r>
        <w:rPr>
          <w:rFonts w:ascii="Times New Roman" w:hAnsi="Times New Roman"/>
          <w:sz w:val="22"/>
        </w:rPr>
        <w:t xml:space="preserve">: it has capacity unconditionally to execute and deliver and comply with its obligations under this document;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(c)</w:t>
      </w:r>
      <w:r>
        <w:rPr>
          <w:rFonts w:ascii="Times New Roman" w:hAnsi="Times New Roman"/>
          <w:b/>
          <w:sz w:val="22"/>
        </w:rPr>
        <w:t>action taken</w:t>
      </w:r>
      <w:r>
        <w:rPr>
          <w:rFonts w:ascii="Times New Roman" w:hAnsi="Times New Roman"/>
          <w:sz w:val="22"/>
        </w:rPr>
        <w:t xml:space="preserve">: it has taken all necessary action to authorize the unconditional execution and delivery of, and the compliance with its obligations under, this document;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(d)</w:t>
      </w:r>
      <w:r>
        <w:rPr>
          <w:rFonts w:ascii="Times New Roman" w:hAnsi="Times New Roman"/>
          <w:b/>
          <w:sz w:val="22"/>
        </w:rPr>
        <w:t>binding obligations</w:t>
      </w:r>
      <w:r>
        <w:rPr>
          <w:rFonts w:ascii="Times New Roman" w:hAnsi="Times New Roman"/>
          <w:sz w:val="22"/>
        </w:rPr>
        <w:t xml:space="preserve">: this document is its valid and legally binding obligation and is enforceable against it by the Senior Creditor in accordance with its terms;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(e)</w:t>
      </w:r>
      <w:r>
        <w:rPr>
          <w:rFonts w:ascii="Times New Roman" w:hAnsi="Times New Roman"/>
          <w:b/>
          <w:sz w:val="22"/>
        </w:rPr>
        <w:t>authorisations</w:t>
      </w:r>
      <w:r>
        <w:rPr>
          <w:rFonts w:ascii="Times New Roman" w:hAnsi="Times New Roman"/>
          <w:sz w:val="22"/>
        </w:rPr>
        <w:t xml:space="preserve">: each authorisation from, and filing and registration with, a Government Body necessary to enable it to unconditionally execute and deliver and comply  with its  obligations under  this document  has  been obtained, effected and complied with;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(f)</w:t>
      </w:r>
      <w:r>
        <w:rPr>
          <w:rFonts w:ascii="Times New Roman" w:hAnsi="Times New Roman"/>
          <w:b/>
          <w:sz w:val="22"/>
        </w:rPr>
        <w:t>no contravention</w:t>
      </w:r>
      <w:r>
        <w:rPr>
          <w:rFonts w:ascii="Times New Roman" w:hAnsi="Times New Roman"/>
          <w:sz w:val="22"/>
        </w:rPr>
        <w:t xml:space="preserve">: its unconditional execution and delivery of and compliance with its obligations under this document do not contravene: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(i)any law or directive from a Government Body;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(ii)its constitutional documents;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(iii)any agreement or instrument to which it is a party; or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(iv)any obligation of it to any other person such as would have a Material Adverse Effect;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(g)</w:t>
      </w:r>
      <w:r>
        <w:rPr>
          <w:rFonts w:ascii="Times New Roman" w:hAnsi="Times New Roman"/>
          <w:b/>
          <w:sz w:val="22"/>
        </w:rPr>
        <w:t>correct information</w:t>
      </w:r>
      <w:r>
        <w:rPr>
          <w:rFonts w:ascii="Times New Roman" w:hAnsi="Times New Roman"/>
          <w:sz w:val="22"/>
        </w:rPr>
        <w:t xml:space="preserve">: all information given and each statement made to the Senior Creditor by or at its direction in relation to this document is correct and complete in all material respects and not misleading in any material respect as at the date the information was given;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(h)</w:t>
      </w:r>
      <w:r>
        <w:rPr>
          <w:rFonts w:ascii="Times New Roman" w:hAnsi="Times New Roman"/>
          <w:b/>
          <w:sz w:val="22"/>
        </w:rPr>
        <w:t>full disclosure</w:t>
      </w:r>
      <w:r>
        <w:rPr>
          <w:rFonts w:ascii="Times New Roman" w:hAnsi="Times New Roman"/>
          <w:sz w:val="22"/>
        </w:rPr>
        <w:t xml:space="preserve">: to the best of its knowledge, as at the date of this document, it has disclosed to the Senior Creditor all material information which is has or has access to and which is reasonably considers is material to the assessment by the Senior Creditor of the nature and amount of the risks undertaken by the Senior Creditor entering into this document;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(i)</w:t>
      </w:r>
      <w:r>
        <w:rPr>
          <w:rFonts w:ascii="Times New Roman" w:hAnsi="Times New Roman"/>
          <w:b/>
          <w:sz w:val="22"/>
        </w:rPr>
        <w:t>no trust</w:t>
      </w:r>
      <w:r>
        <w:rPr>
          <w:rFonts w:ascii="Times New Roman" w:hAnsi="Times New Roman"/>
          <w:sz w:val="22"/>
        </w:rPr>
        <w:t xml:space="preserve">: except as notified to the Senior Creditor, it does not enter into this document as trustee of any trust;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(j)</w:t>
      </w:r>
      <w:r>
        <w:rPr>
          <w:rFonts w:ascii="Times New Roman" w:hAnsi="Times New Roman"/>
          <w:b/>
          <w:sz w:val="22"/>
        </w:rPr>
        <w:t>no insolvency</w:t>
      </w:r>
      <w:r>
        <w:rPr>
          <w:rFonts w:ascii="Times New Roman" w:hAnsi="Times New Roman"/>
          <w:sz w:val="22"/>
        </w:rPr>
        <w:t xml:space="preserve">: no Insolvency Event subsists in relation to it;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(k)</w:t>
      </w:r>
      <w:r>
        <w:rPr>
          <w:rFonts w:ascii="Times New Roman" w:hAnsi="Times New Roman"/>
          <w:b/>
          <w:sz w:val="22"/>
        </w:rPr>
        <w:t>no immunity</w:t>
      </w:r>
      <w:r>
        <w:rPr>
          <w:rFonts w:ascii="Times New Roman" w:hAnsi="Times New Roman"/>
          <w:sz w:val="22"/>
        </w:rPr>
        <w:t xml:space="preserve">: it and its property are free of any right of immunity from set-off, proceedings or execution in respect of its obligations under this document;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(l)</w:t>
      </w:r>
      <w:r>
        <w:rPr>
          <w:rFonts w:ascii="Times New Roman" w:hAnsi="Times New Roman"/>
          <w:b/>
          <w:sz w:val="22"/>
        </w:rPr>
        <w:t>sole owner</w:t>
      </w:r>
      <w:r>
        <w:rPr>
          <w:rFonts w:ascii="Times New Roman" w:hAnsi="Times New Roman"/>
          <w:sz w:val="22"/>
        </w:rPr>
        <w:t xml:space="preserve">: (in the case of the Junior Creditor only)the Junior Creditor is the sole legal and beneficial owner of the Junior Debt and no person has created or given a Security Interest or Guarantee in connection with the Junior Debt;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(m)</w:t>
      </w:r>
      <w:r>
        <w:rPr>
          <w:rFonts w:ascii="Times New Roman" w:hAnsi="Times New Roman"/>
          <w:b/>
          <w:sz w:val="22"/>
        </w:rPr>
        <w:t>sole shareholder</w:t>
      </w:r>
      <w:r>
        <w:rPr>
          <w:rFonts w:ascii="Times New Roman" w:hAnsi="Times New Roman"/>
          <w:sz w:val="22"/>
        </w:rPr>
        <w:t xml:space="preserve">: the Junior Creditor is the sole legal and beneficial owner of all the issued shares in the Company and those issued shares are fully paid. </w:t>
      </w:r>
    </w:p>
    <w:p>
      <w:pPr>
        <w:pStyle w:val="TextBody"/>
        <w:bidi w:val="0"/>
        <w:spacing w:before="120" w:after="0"/>
        <w:ind w:left="1300" w:right="1560" w:hanging="0"/>
        <w:jc w:val="left"/>
        <w:rPr/>
      </w:pPr>
      <w:r>
        <w:rPr/>
        <w:t xml:space="preserve">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9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41" w:name="_TOC_250031"/>
      <w:bookmarkEnd w:id="141"/>
      <w:r>
        <w:rPr>
          <w:rFonts w:ascii="Times New Roman" w:hAnsi="Times New Roman"/>
          <w:b/>
          <w:sz w:val="24"/>
        </w:rPr>
        <w:t>5.2Gener</w:t>
      </w:r>
      <w:bookmarkStart w:id="142" w:name="a5s2"/>
      <w:bookmarkEnd w:id="142"/>
      <w:r>
        <w:rPr>
          <w:rFonts w:ascii="Times New Roman" w:hAnsi="Times New Roman"/>
          <w:b/>
          <w:sz w:val="24"/>
        </w:rPr>
        <w:t xml:space="preserve">al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(a)The interpretation of any statement contained in any warranty or  representation will not be restricted by reference to or inference from any other statement contained in any other warranty or representation.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Junior Creditor and the Company each acknowledges that the Senior Creditor has entered into this document in reliance on the warranties and representations.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(c)Each warranty and representation is made on the date of this document.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8"/>
        </w:rPr>
      </w:pPr>
      <w:bookmarkStart w:id="143" w:name="_TOC_250030"/>
      <w:bookmarkEnd w:id="143"/>
      <w:r>
        <w:rPr>
          <w:rFonts w:ascii="Times New Roman" w:hAnsi="Times New Roman"/>
          <w:b/>
          <w:sz w:val="28"/>
        </w:rPr>
        <w:t>6Undertaking</w:t>
      </w:r>
      <w:bookmarkStart w:id="144" w:name="a6"/>
      <w:bookmarkEnd w:id="144"/>
      <w:r>
        <w:rPr>
          <w:rFonts w:ascii="Times New Roman" w:hAnsi="Times New Roman"/>
          <w:b/>
          <w:sz w:val="28"/>
        </w:rPr>
        <w:t>s  </w:t>
      </w:r>
      <w:r>
        <w:rPr>
          <w:rFonts w:ascii="Times New Roman" w:hAnsi="Times New Roman"/>
          <w:sz w:val="28"/>
        </w:rPr>
        <w:t xml:space="preserve"> </w:t>
      </w:r>
    </w:p>
    <w:p>
      <w:pPr>
        <w:pStyle w:val="TextBody"/>
        <w:bidi w:val="0"/>
        <w:spacing w:before="0" w:after="0"/>
        <w:ind w:left="2020" w:right="1560" w:hanging="0"/>
        <w:jc w:val="left"/>
        <w:rPr>
          <w:rFonts w:ascii="Times New Roman" w:hAnsi="Times New Roman"/>
          <w:sz w:val="24"/>
        </w:rPr>
      </w:pPr>
      <w:bookmarkStart w:id="145" w:name="_TOC_250029"/>
      <w:bookmarkEnd w:id="145"/>
      <w:r>
        <w:rPr>
          <w:rFonts w:ascii="Times New Roman" w:hAnsi="Times New Roman"/>
          <w:b/>
          <w:sz w:val="24"/>
        </w:rPr>
        <w:t xml:space="preserve">6.1No dealing with Junior </w:t>
      </w:r>
      <w:bookmarkStart w:id="146" w:name="a6s1"/>
      <w:bookmarkEnd w:id="146"/>
      <w:r>
        <w:rPr>
          <w:rFonts w:ascii="Times New Roman" w:hAnsi="Times New Roman"/>
          <w:b/>
          <w:sz w:val="24"/>
        </w:rPr>
        <w:t xml:space="preserve">Debt </w:t>
      </w:r>
    </w:p>
    <w:p>
      <w:pPr>
        <w:pStyle w:val="TextBody"/>
        <w:bidi w:val="0"/>
        <w:spacing w:before="0" w:after="0"/>
        <w:ind w:left="2020" w:right="1560" w:hanging="0"/>
        <w:jc w:val="left"/>
        <w:rPr>
          <w:rFonts w:ascii="Times New Roman" w:hAnsi="Times New Roman"/>
          <w:sz w:val="22"/>
        </w:rPr>
      </w:pPr>
      <w:r>
        <w:rPr>
          <w:rFonts w:ascii="Times New Roman" w:hAnsi="Times New Roman"/>
          <w:sz w:val="22"/>
        </w:rPr>
        <w:t xml:space="preserve">The Junior Creditor must not, without the consent of the Senior Creditor: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(a)assign or dispose of, or create or permit to subsist a Security Interest over, any of the Junior Debt or the Junior Debt Proceeds or any interest in the Junior Debt or the Junior Debt Proceeds to or in favour of any person, provided the Junior Creditor may do any of these things if required in connection with its own financing arrangements;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(b)subordinate any of the Junior Debt or the Junior Debt Proceeds to any sums owing by the Company to any person other than the Senior Creditor; 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(c)transfer by novation or otherwise any of its rights or obligations in respect of any of the Junior Debt or under any agreement or document under which the Company’s obligation in respect in of the Junior Debt arises to any person.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720"/>
        <w:jc w:val="left"/>
        <w:rPr>
          <w:rFonts w:ascii="Times New Roman" w:hAnsi="Times New Roman"/>
          <w:sz w:val="24"/>
        </w:rPr>
      </w:pPr>
      <w:r>
        <w:rPr>
          <w:rFonts w:ascii="Times New Roman" w:hAnsi="Times New Roman"/>
          <w:b/>
          <w:sz w:val="24"/>
        </w:rPr>
        <w:t>6.2 Voting [Intentionally De</w:t>
      </w:r>
      <w:bookmarkStart w:id="147" w:name="a6s2"/>
      <w:bookmarkEnd w:id="147"/>
      <w:r>
        <w:rPr>
          <w:rFonts w:ascii="Times New Roman" w:hAnsi="Times New Roman"/>
          <w:b/>
          <w:sz w:val="24"/>
        </w:rPr>
        <w:t xml:space="preserve">leted]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48" w:name="_TOC_250028"/>
      <w:bookmarkEnd w:id="148"/>
      <w:r>
        <w:rPr>
          <w:rFonts w:ascii="Times New Roman" w:hAnsi="Times New Roman"/>
          <w:b/>
          <w:sz w:val="24"/>
        </w:rPr>
        <w:t>6.3Notice of dema</w:t>
      </w:r>
      <w:bookmarkStart w:id="149" w:name="a6s3"/>
      <w:bookmarkEnd w:id="149"/>
      <w:r>
        <w:rPr>
          <w:rFonts w:ascii="Times New Roman" w:hAnsi="Times New Roman"/>
          <w:b/>
          <w:sz w:val="24"/>
        </w:rPr>
        <w:t xml:space="preserve">nd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The Company must notify the Senior Creditor immediately if it receives a demand, whether direct or indirect, for payment of the Junior Debt.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8"/>
        </w:rPr>
      </w:pPr>
      <w:bookmarkStart w:id="150" w:name="_TOC_250027"/>
      <w:bookmarkEnd w:id="150"/>
      <w:r>
        <w:rPr>
          <w:rFonts w:ascii="Times New Roman" w:hAnsi="Times New Roman"/>
          <w:b/>
          <w:sz w:val="28"/>
        </w:rPr>
        <w:t>7Goods and services t</w:t>
      </w:r>
      <w:bookmarkStart w:id="151" w:name="a7"/>
      <w:bookmarkEnd w:id="151"/>
      <w:r>
        <w:rPr>
          <w:rFonts w:ascii="Times New Roman" w:hAnsi="Times New Roman"/>
          <w:b/>
          <w:sz w:val="28"/>
        </w:rPr>
        <w:t xml:space="preserve">ax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If GST is payable by the Senior Creditor on any supply made under this document the party who is the recipient of the supply (</w:t>
      </w:r>
      <w:r>
        <w:rPr>
          <w:rFonts w:ascii="Times New Roman" w:hAnsi="Times New Roman"/>
          <w:b/>
          <w:sz w:val="22"/>
        </w:rPr>
        <w:t>recipient</w:t>
      </w:r>
      <w:r>
        <w:rPr>
          <w:rFonts w:ascii="Times New Roman" w:hAnsi="Times New Roman"/>
          <w:sz w:val="22"/>
        </w:rPr>
        <w:t xml:space="preserve">) must pay to the Senior Creditor an amount equal to the GST payable on the supply. That amount must be paid at the same time that the consideration for the supply is to be provided under this document and must be paid in addition to the consideration expressed elsewhere in this document. The Senior Creditor on receiving that amount from the recipient must provide the recipient with a tax invoice for the supply. </w:t>
      </w:r>
    </w:p>
    <w:p>
      <w:pPr>
        <w:pStyle w:val="TextBody"/>
        <w:bidi w:val="0"/>
        <w:spacing w:before="0" w:after="0"/>
        <w:ind w:left="1300" w:right="1560" w:hanging="0"/>
        <w:jc w:val="left"/>
        <w:rPr/>
      </w:pPr>
      <w:r>
        <w:rPr/>
        <w:t xml:space="preserve">  </w:t>
      </w:r>
    </w:p>
    <w:p>
      <w:pPr>
        <w:pStyle w:val="TextBody"/>
        <w:bidi w:val="0"/>
        <w:spacing w:before="0" w:after="0"/>
        <w:ind w:left="2020" w:right="1560" w:hanging="0"/>
        <w:jc w:val="left"/>
        <w:rPr>
          <w:rFonts w:ascii="Times New Roman" w:hAnsi="Times New Roman"/>
          <w:sz w:val="28"/>
        </w:rPr>
      </w:pPr>
      <w:bookmarkStart w:id="152" w:name="_TOC_250026"/>
      <w:bookmarkEnd w:id="152"/>
      <w:r>
        <w:rPr>
          <w:rFonts w:ascii="Times New Roman" w:hAnsi="Times New Roman"/>
          <w:b/>
          <w:sz w:val="28"/>
        </w:rPr>
        <w:t>8Attorn</w:t>
      </w:r>
      <w:bookmarkStart w:id="153" w:name="a8"/>
      <w:bookmarkEnd w:id="153"/>
      <w:r>
        <w:rPr>
          <w:rFonts w:ascii="Times New Roman" w:hAnsi="Times New Roman"/>
          <w:b/>
          <w:sz w:val="28"/>
        </w:rPr>
        <w:t xml:space="preserve">ey </w:t>
      </w:r>
    </w:p>
    <w:p>
      <w:pPr>
        <w:pStyle w:val="TextBody"/>
        <w:bidi w:val="0"/>
        <w:spacing w:before="0" w:after="0"/>
        <w:ind w:left="2020" w:right="1560" w:hanging="0"/>
        <w:jc w:val="left"/>
        <w:rPr>
          <w:rFonts w:ascii="Times New Roman" w:hAnsi="Times New Roman"/>
          <w:sz w:val="24"/>
        </w:rPr>
      </w:pPr>
      <w:bookmarkStart w:id="154" w:name="_TOC_250025"/>
      <w:bookmarkEnd w:id="154"/>
      <w:r>
        <w:rPr>
          <w:rFonts w:ascii="Times New Roman" w:hAnsi="Times New Roman"/>
          <w:b/>
          <w:sz w:val="24"/>
        </w:rPr>
        <w:t>8.1Appoint</w:t>
      </w:r>
      <w:bookmarkStart w:id="155" w:name="a8s1"/>
      <w:bookmarkEnd w:id="155"/>
      <w:r>
        <w:rPr>
          <w:rFonts w:ascii="Times New Roman" w:hAnsi="Times New Roman"/>
          <w:b/>
          <w:sz w:val="24"/>
        </w:rPr>
        <w:t xml:space="preserve">ment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For so long as an Insolvency Event subsists in relation to the Company, the Junior Creditor irrevocably appoints the Senior Creditor its attorney with the power: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(a)at any time to: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10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(i)do everything which in the Attorney’s reasonable opinion  is necessary or expedient to enable the exercise of any right of the Senior Creditor in relation to this document;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(ii)appoint substitutes and otherwise delegate its powers (except this power of delegation)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(b)to exercise a right of proof of the Junior Creditor and do all other acts and things which the Junior Creditor is obliged to do under this document or which is necessary or expedient in connection with the Junior Debt or the protection or perfection of the Senior Creditor’s interest in the Junior Debt or to enable the exercise of any right of the Senior Creditor in relation to this document.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56" w:name="_TOC_250024"/>
      <w:bookmarkEnd w:id="156"/>
      <w:r>
        <w:rPr>
          <w:rFonts w:ascii="Times New Roman" w:hAnsi="Times New Roman"/>
          <w:b/>
          <w:sz w:val="24"/>
        </w:rPr>
        <w:t>8.2Gene</w:t>
      </w:r>
      <w:bookmarkStart w:id="157" w:name="a8s2"/>
      <w:bookmarkEnd w:id="157"/>
      <w:r>
        <w:rPr>
          <w:rFonts w:ascii="Times New Roman" w:hAnsi="Times New Roman"/>
          <w:b/>
          <w:sz w:val="24"/>
        </w:rPr>
        <w:t xml:space="preserve">ral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(a)Any Attorney may exercise any right solely for the benefit of the Senior Creditor and notwithstanding that the exercise of the right constitutes a conflict of interest or duty.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Junior Creditor ratifies anything done or not done by the Attorney appointed by it under clause 8.1 under the power of attorney granted by it under that clause.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(c)The power of attorney is granted to secure the compliance by the Junior Creditor with its obligations to the Senior Creditor under this document; and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(i)to secure the compliance by the Junior Creditor with its obligations to the Senior Creditor under this document; and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(ii)for valuable consideration from the relevant Attorney (receipt of which is acknowledged).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8"/>
        </w:rPr>
      </w:pPr>
      <w:bookmarkStart w:id="158" w:name="_TOC_250023"/>
      <w:bookmarkEnd w:id="158"/>
      <w:r>
        <w:rPr>
          <w:rFonts w:ascii="Times New Roman" w:hAnsi="Times New Roman"/>
          <w:b/>
          <w:sz w:val="28"/>
        </w:rPr>
        <w:t>9Gener</w:t>
      </w:r>
      <w:bookmarkStart w:id="159" w:name="a9"/>
      <w:bookmarkEnd w:id="159"/>
      <w:r>
        <w:rPr>
          <w:rFonts w:ascii="Times New Roman" w:hAnsi="Times New Roman"/>
          <w:b/>
          <w:sz w:val="28"/>
        </w:rPr>
        <w:t xml:space="preserve">al </w:t>
      </w:r>
    </w:p>
    <w:p>
      <w:pPr>
        <w:pStyle w:val="TextBody"/>
        <w:bidi w:val="0"/>
        <w:spacing w:before="0" w:after="0"/>
        <w:ind w:left="2020" w:right="1560" w:hanging="0"/>
        <w:jc w:val="left"/>
        <w:rPr>
          <w:rFonts w:ascii="Times New Roman" w:hAnsi="Times New Roman"/>
          <w:sz w:val="24"/>
        </w:rPr>
      </w:pPr>
      <w:bookmarkStart w:id="160" w:name="_TOC_250022"/>
      <w:bookmarkEnd w:id="160"/>
      <w:r>
        <w:rPr>
          <w:rFonts w:ascii="Times New Roman" w:hAnsi="Times New Roman"/>
          <w:b/>
          <w:sz w:val="24"/>
        </w:rPr>
        <w:t>9.1Reinstatement of rights of Senior Credi</w:t>
      </w:r>
      <w:bookmarkStart w:id="161" w:name="a9s1"/>
      <w:bookmarkEnd w:id="161"/>
      <w:r>
        <w:rPr>
          <w:rFonts w:ascii="Times New Roman" w:hAnsi="Times New Roman"/>
          <w:b/>
          <w:sz w:val="24"/>
        </w:rPr>
        <w:t xml:space="preserve">tor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If a transaction or payment in connection with the Senior Debt or this document is void, voidable or otherwise unenforceable or refundable: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(a)the Senior Creditor is entitled against the Junior Creditor to all rights under this document and any Collateral Security held by the Senior Creditor that it would have had if the transaction or payment was not void, voidable or unenforceable or refundable;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(b)each of the Junior Creditor and the Company must do all things and sign such documents necessary or convenient to restore to the Senior Creditor its rights under this document or any Collateral Security held by it immediately before that transaction or payment.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62" w:name="_TOC_250021"/>
      <w:bookmarkEnd w:id="162"/>
      <w:r>
        <w:rPr>
          <w:rFonts w:ascii="Times New Roman" w:hAnsi="Times New Roman"/>
          <w:b/>
          <w:sz w:val="24"/>
        </w:rPr>
        <w:t>9.2Set-of</w:t>
      </w:r>
      <w:bookmarkStart w:id="163" w:name="a9s2"/>
      <w:bookmarkEnd w:id="163"/>
      <w:r>
        <w:rPr>
          <w:rFonts w:ascii="Times New Roman" w:hAnsi="Times New Roman"/>
          <w:b/>
          <w:sz w:val="24"/>
        </w:rPr>
        <w:t>f  </w:t>
      </w:r>
      <w:r>
        <w:rPr>
          <w:rFonts w:ascii="Times New Roman" w:hAnsi="Times New Roman"/>
          <w:sz w:val="24"/>
        </w:rPr>
        <w:t xml:space="preserve">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At any time while an Insolvency Event is subsisting in relation to the Company, the Senior Creditor may: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(a)set off any money due for payment by the Senior Creditor to the Company whatsoever; including any money in any currency held by the Senior Creditor for the account of the Company in any place, against any money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11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due for payment by the Company to the Senior Creditor under this document;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(b)if the money due for payment by the Senior Creditor to the Company is payable in a currency other than that in which the money due for payment is payable by the Senior Creditor, convert the money due for payment by the Senior Creditor into the currency in which the money due for payment by the Company is payable either directly or through a currency other than that in which the money due for payment by the Company is payable.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64" w:name="_TOC_250020"/>
      <w:bookmarkEnd w:id="164"/>
      <w:r>
        <w:rPr>
          <w:rFonts w:ascii="Times New Roman" w:hAnsi="Times New Roman"/>
          <w:b/>
          <w:sz w:val="24"/>
        </w:rPr>
        <w:t>9.3Senior Creditor’s certific</w:t>
      </w:r>
      <w:bookmarkStart w:id="165" w:name="a9s3"/>
      <w:bookmarkEnd w:id="165"/>
      <w:r>
        <w:rPr>
          <w:rFonts w:ascii="Times New Roman" w:hAnsi="Times New Roman"/>
          <w:b/>
          <w:sz w:val="24"/>
        </w:rPr>
        <w:t xml:space="preserve">ate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 certificate by the Senior Creditor relating to this document is, unless clearly incorrect on its face, prima facie evidence against the Company and the Junior Creditor of the matters certified, provided it contains reasonable detail as to those matters.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Senior Creditor is not obliged to give the reasons for its determination or opinion in relation to any matter under this document.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(c)A determination or an opinion of an Authorised Representative of the Senior Creditor which is given to the Company or the Junior Creditor or otherwise expressed or acted on by the Senior Creditor as being a determination or an opinion of the Senior Creditor will be deemed to be a determination or opinion of the Senior Creditor.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66" w:name="_TOC_250019"/>
      <w:bookmarkEnd w:id="166"/>
      <w:r>
        <w:rPr>
          <w:rFonts w:ascii="Times New Roman" w:hAnsi="Times New Roman"/>
          <w:b/>
          <w:sz w:val="24"/>
        </w:rPr>
        <w:t>9.4Supervening legislat</w:t>
      </w:r>
      <w:bookmarkStart w:id="167" w:name="a9s4"/>
      <w:bookmarkEnd w:id="167"/>
      <w:r>
        <w:rPr>
          <w:rFonts w:ascii="Times New Roman" w:hAnsi="Times New Roman"/>
          <w:b/>
          <w:sz w:val="24"/>
        </w:rPr>
        <w:t xml:space="preserve">ion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Any present or future legislation which operates: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(a)to lessen or vary in favour of the Company or the Junior Creditor any of its obligations in connection with this document; 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(b)to postpose, stay, suspend or curtail any rights of the Senior Creditor under this document </w:t>
      </w:r>
    </w:p>
    <w:p>
      <w:pPr>
        <w:pStyle w:val="TextBody"/>
        <w:bidi w:val="0"/>
        <w:spacing w:before="120" w:after="0"/>
        <w:ind w:left="2020" w:right="1560" w:hanging="0"/>
        <w:jc w:val="both"/>
        <w:rPr>
          <w:rFonts w:ascii="Times New Roman" w:hAnsi="Times New Roman"/>
          <w:sz w:val="22"/>
        </w:rPr>
      </w:pPr>
      <w:r>
        <w:rPr>
          <w:rFonts w:ascii="Times New Roman" w:hAnsi="Times New Roman"/>
          <w:sz w:val="22"/>
        </w:rPr>
        <w:t xml:space="preserve">is excluded except to the extent that its exclusion is prohibited or rendered ineffective by law.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68" w:name="_TOC_250018"/>
      <w:bookmarkEnd w:id="168"/>
      <w:r>
        <w:rPr>
          <w:rFonts w:ascii="Times New Roman" w:hAnsi="Times New Roman"/>
          <w:b/>
          <w:sz w:val="24"/>
        </w:rPr>
        <w:t>9.5Time of the essen</w:t>
      </w:r>
      <w:bookmarkStart w:id="169" w:name="a9s5"/>
      <w:bookmarkEnd w:id="169"/>
      <w:r>
        <w:rPr>
          <w:rFonts w:ascii="Times New Roman" w:hAnsi="Times New Roman"/>
          <w:b/>
          <w:sz w:val="24"/>
        </w:rPr>
        <w:t xml:space="preserve">ce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Time is of the essence of any obligation of the Company or the Junior Creditor under this document.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70" w:name="_TOC_250017"/>
      <w:bookmarkEnd w:id="170"/>
      <w:r>
        <w:rPr>
          <w:rFonts w:ascii="Times New Roman" w:hAnsi="Times New Roman"/>
          <w:b/>
          <w:sz w:val="24"/>
        </w:rPr>
        <w:t>9.6Business Da</w:t>
      </w:r>
      <w:bookmarkStart w:id="171" w:name="a9s6"/>
      <w:bookmarkEnd w:id="171"/>
      <w:r>
        <w:rPr>
          <w:rFonts w:ascii="Times New Roman" w:hAnsi="Times New Roman"/>
          <w:b/>
          <w:sz w:val="24"/>
        </w:rPr>
        <w:t xml:space="preserve">ys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(a)If the day on which anything, including making a payment, is to be done by the Company or the Junior Creditor under this document is not a Business Day, that thing must be done on or by the next Business Day.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(b)If anything, including making a payment, is to be done by the Company or the Junior Creditor on a particular day and it is done: </w:t>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(i)after the time by which this document states it must be done or, if this document does not state a time, after 4.00 pm in the place where it is to be done; or </w:t>
      </w:r>
    </w:p>
    <w:p>
      <w:pPr>
        <w:pStyle w:val="TextBody"/>
        <w:bidi w:val="0"/>
        <w:spacing w:before="120" w:after="0"/>
        <w:ind w:left="3460" w:right="1560" w:hanging="720"/>
        <w:jc w:val="left"/>
        <w:rPr/>
      </w:pPr>
      <w:r>
        <w:rPr/>
        <w:t xml:space="preserve">  </w:t>
      </w:r>
    </w:p>
    <w:p>
      <w:pPr>
        <w:pStyle w:val="TextBody"/>
        <w:bidi w:val="0"/>
        <w:spacing w:before="0" w:after="0"/>
        <w:ind w:left="1280" w:right="1520" w:hanging="0"/>
        <w:jc w:val="right"/>
        <w:rPr>
          <w:rFonts w:ascii="Times New Roman" w:hAnsi="Times New Roman"/>
          <w:sz w:val="22"/>
        </w:rPr>
      </w:pPr>
      <w:r>
        <w:rPr>
          <w:rFonts w:ascii="Times New Roman" w:hAnsi="Times New Roman"/>
          <w:sz w:val="22"/>
        </w:rPr>
        <w:t xml:space="preserve">Page 12 </w:t>
      </w:r>
    </w:p>
    <w:p>
      <w:pPr>
        <w:pStyle w:val="HorizontalLine"/>
        <w:pBdr>
          <w:bottom w:val="double" w:sz="6" w:space="0" w:color="808080"/>
        </w:pBdr>
        <w:bidi w:val="0"/>
        <w:ind w:left="1280" w:right="1520" w:hanging="0"/>
        <w:jc w:val="left"/>
        <w:rPr/>
      </w:pPr>
      <w:r>
        <w:rPr/>
      </w:r>
    </w:p>
    <w:p>
      <w:pPr>
        <w:pStyle w:val="TextBody"/>
        <w:bidi w:val="0"/>
        <w:ind w:left="1280" w:right="1520" w:hanging="0"/>
        <w:jc w:val="left"/>
        <w:rPr/>
      </w:pPr>
      <w:r>
        <w:rPr/>
        <w:t> </w:t>
      </w:r>
      <w:r>
        <w:br w:type="page"/>
      </w:r>
    </w:p>
    <w:p>
      <w:pPr>
        <w:pStyle w:val="TextBody"/>
        <w:bidi w:val="0"/>
        <w:spacing w:before="120" w:after="0"/>
        <w:ind w:left="3440" w:right="1520" w:hanging="0"/>
        <w:jc w:val="both"/>
        <w:rPr>
          <w:rFonts w:ascii="Times New Roman" w:hAnsi="Times New Roman"/>
          <w:sz w:val="22"/>
        </w:rPr>
      </w:pPr>
      <w:r>
        <w:rPr>
          <w:rFonts w:ascii="Times New Roman" w:hAnsi="Times New Roman"/>
          <w:sz w:val="22"/>
        </w:rPr>
        <w:t xml:space="preserve">(ii)on a day which is not a business day in the place where it is to be done, </w:t>
      </w:r>
    </w:p>
    <w:p>
      <w:pPr>
        <w:pStyle w:val="TextBody"/>
        <w:bidi w:val="0"/>
        <w:spacing w:before="120" w:after="0"/>
        <w:ind w:left="2000" w:right="1520" w:hanging="0"/>
        <w:jc w:val="both"/>
        <w:rPr>
          <w:rFonts w:ascii="Times New Roman" w:hAnsi="Times New Roman"/>
          <w:sz w:val="22"/>
        </w:rPr>
      </w:pPr>
      <w:r>
        <w:rPr>
          <w:rFonts w:ascii="Times New Roman" w:hAnsi="Times New Roman"/>
          <w:sz w:val="22"/>
        </w:rPr>
        <w:t xml:space="preserve">it will be deemed to have been done at 9.00 am on the next Business Day. </w:t>
      </w:r>
    </w:p>
    <w:p>
      <w:pPr>
        <w:pStyle w:val="TextBody"/>
        <w:bidi w:val="0"/>
        <w:spacing w:before="0" w:after="0"/>
        <w:ind w:left="1280" w:right="1520" w:hanging="0"/>
        <w:jc w:val="both"/>
        <w:rPr>
          <w:rFonts w:cs="Times New Roman"/>
          <w:szCs w:val="22"/>
        </w:rPr>
      </w:pPr>
      <w:r>
        <w:rPr>
          <w:rFonts w:cs="Times New Roman"/>
          <w:szCs w:val="22"/>
        </w:rPr>
        <w:t xml:space="preserve">﻿ </w:t>
      </w:r>
    </w:p>
    <w:p>
      <w:pPr>
        <w:pStyle w:val="TextBody"/>
        <w:bidi w:val="0"/>
        <w:spacing w:before="0" w:after="0"/>
        <w:ind w:left="1280" w:right="1520" w:hanging="0"/>
        <w:jc w:val="left"/>
        <w:rPr>
          <w:rFonts w:cs="Times New Roman"/>
          <w:szCs w:val="22"/>
        </w:rPr>
      </w:pPr>
      <w:r>
        <w:rPr>
          <w:rFonts w:cs="Times New Roman"/>
          <w:szCs w:val="22"/>
        </w:rPr>
        <w:t xml:space="preserve">﻿ </w:t>
      </w:r>
    </w:p>
    <w:p>
      <w:pPr>
        <w:pStyle w:val="TextBody"/>
        <w:bidi w:val="0"/>
        <w:spacing w:before="0" w:after="0"/>
        <w:ind w:left="2000" w:right="1520" w:hanging="0"/>
        <w:jc w:val="left"/>
        <w:rPr>
          <w:rFonts w:ascii="Times New Roman" w:hAnsi="Times New Roman"/>
          <w:sz w:val="24"/>
        </w:rPr>
      </w:pPr>
      <w:bookmarkStart w:id="172" w:name="_TOC_250016"/>
      <w:bookmarkEnd w:id="172"/>
      <w:r>
        <w:rPr>
          <w:rFonts w:ascii="Times New Roman" w:hAnsi="Times New Roman"/>
          <w:b/>
          <w:sz w:val="24"/>
        </w:rPr>
        <w:t>9.7Further assura</w:t>
      </w:r>
      <w:bookmarkStart w:id="173" w:name="a9s7"/>
      <w:bookmarkEnd w:id="173"/>
      <w:r>
        <w:rPr>
          <w:rFonts w:ascii="Times New Roman" w:hAnsi="Times New Roman"/>
          <w:b/>
          <w:sz w:val="24"/>
        </w:rPr>
        <w:t xml:space="preserve">nces </w:t>
      </w:r>
    </w:p>
    <w:p>
      <w:pPr>
        <w:pStyle w:val="TextBody"/>
        <w:bidi w:val="0"/>
        <w:spacing w:before="0" w:after="0"/>
        <w:ind w:left="2000" w:right="1520" w:hanging="0"/>
        <w:jc w:val="both"/>
        <w:rPr>
          <w:rFonts w:ascii="Times New Roman" w:hAnsi="Times New Roman"/>
          <w:sz w:val="22"/>
        </w:rPr>
      </w:pPr>
      <w:r>
        <w:rPr>
          <w:rFonts w:ascii="Times New Roman" w:hAnsi="Times New Roman"/>
          <w:sz w:val="22"/>
        </w:rPr>
        <w:t xml:space="preserve">The Company and the Junior Creditor must each promptly execute all documents and do all things that the Senior Creditor from time to time reasonably requires to: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(a)effect, perfect or complete the provisions of this document or any transaction contemplated by it; and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(b)stamp and (if required)register this document in any relevant jurisdiction. </w:t>
      </w:r>
    </w:p>
    <w:p>
      <w:pPr>
        <w:pStyle w:val="TextBody"/>
        <w:bidi w:val="0"/>
        <w:spacing w:before="0" w:after="0"/>
        <w:ind w:left="1280" w:right="1520" w:hanging="0"/>
        <w:jc w:val="left"/>
        <w:rPr/>
      </w:pPr>
      <w:r>
        <w:rPr/>
        <w:t xml:space="preserve">  </w:t>
      </w:r>
    </w:p>
    <w:p>
      <w:pPr>
        <w:pStyle w:val="TextBody"/>
        <w:bidi w:val="0"/>
        <w:spacing w:before="0" w:after="0"/>
        <w:ind w:left="1280" w:right="1520" w:hanging="0"/>
        <w:jc w:val="left"/>
        <w:rPr>
          <w:rFonts w:cs="Times New Roman"/>
          <w:szCs w:val="22"/>
        </w:rPr>
      </w:pPr>
      <w:r>
        <w:rPr>
          <w:rFonts w:cs="Times New Roman"/>
          <w:szCs w:val="22"/>
        </w:rPr>
        <w:t xml:space="preserve">﻿ </w:t>
      </w:r>
    </w:p>
    <w:p>
      <w:pPr>
        <w:pStyle w:val="TextBody"/>
        <w:bidi w:val="0"/>
        <w:spacing w:before="0" w:after="0"/>
        <w:ind w:left="2000" w:right="1520" w:hanging="0"/>
        <w:jc w:val="left"/>
        <w:rPr>
          <w:rFonts w:ascii="Times New Roman" w:hAnsi="Times New Roman"/>
          <w:sz w:val="24"/>
        </w:rPr>
      </w:pPr>
      <w:bookmarkStart w:id="174" w:name="_TOC_250015"/>
      <w:bookmarkEnd w:id="174"/>
      <w:r>
        <w:rPr>
          <w:rFonts w:ascii="Times New Roman" w:hAnsi="Times New Roman"/>
          <w:b/>
          <w:sz w:val="24"/>
        </w:rPr>
        <w:t>9.8Amendm</w:t>
      </w:r>
      <w:bookmarkStart w:id="175" w:name="a9s8"/>
      <w:bookmarkEnd w:id="175"/>
      <w:r>
        <w:rPr>
          <w:rFonts w:ascii="Times New Roman" w:hAnsi="Times New Roman"/>
          <w:b/>
          <w:sz w:val="24"/>
        </w:rPr>
        <w:t xml:space="preserve">ent </w:t>
      </w:r>
    </w:p>
    <w:p>
      <w:pPr>
        <w:pStyle w:val="TextBody"/>
        <w:bidi w:val="0"/>
        <w:spacing w:before="0" w:after="0"/>
        <w:ind w:left="2000" w:right="1520" w:hanging="0"/>
        <w:jc w:val="both"/>
        <w:rPr>
          <w:rFonts w:ascii="Times New Roman" w:hAnsi="Times New Roman"/>
          <w:sz w:val="22"/>
        </w:rPr>
      </w:pPr>
      <w:r>
        <w:rPr>
          <w:rFonts w:ascii="Times New Roman" w:hAnsi="Times New Roman"/>
          <w:sz w:val="22"/>
        </w:rPr>
        <w:t xml:space="preserve">This document may only be varied or replaced by an instrument executed by the parties. </w:t>
      </w:r>
    </w:p>
    <w:p>
      <w:pPr>
        <w:pStyle w:val="TextBody"/>
        <w:bidi w:val="0"/>
        <w:spacing w:before="0" w:after="0"/>
        <w:ind w:left="1280" w:right="1520" w:hanging="0"/>
        <w:jc w:val="both"/>
        <w:rPr/>
      </w:pPr>
      <w:r>
        <w:rPr/>
        <w:t xml:space="preserve">  </w:t>
      </w:r>
    </w:p>
    <w:p>
      <w:pPr>
        <w:pStyle w:val="TextBody"/>
        <w:bidi w:val="0"/>
        <w:spacing w:before="0" w:after="0"/>
        <w:ind w:left="2000" w:right="1520" w:hanging="0"/>
        <w:jc w:val="left"/>
        <w:rPr>
          <w:rFonts w:ascii="Times New Roman" w:hAnsi="Times New Roman"/>
          <w:sz w:val="24"/>
        </w:rPr>
      </w:pPr>
      <w:bookmarkStart w:id="176" w:name="_TOC_250014"/>
      <w:bookmarkEnd w:id="176"/>
      <w:r>
        <w:rPr>
          <w:rFonts w:ascii="Times New Roman" w:hAnsi="Times New Roman"/>
          <w:b/>
          <w:sz w:val="24"/>
        </w:rPr>
        <w:t xml:space="preserve">9.9Waiver and exercise </w:t>
      </w:r>
      <w:bookmarkStart w:id="177" w:name="a9s9"/>
      <w:bookmarkEnd w:id="177"/>
      <w:r>
        <w:rPr>
          <w:rFonts w:ascii="Times New Roman" w:hAnsi="Times New Roman"/>
          <w:b/>
          <w:sz w:val="24"/>
        </w:rPr>
        <w:t xml:space="preserve">of rights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(a)A right in favour of the Senior Creditor under this document, a breach of an obligation of the Company or the Junior Creditor under this document or an Insolvency Event can only be waived by an instrument duly executed by the Senior Creditor. No other act, omission or delay of the Senior Creditor will constitute a waiver binding, or estoppel against, the Senior Creditor.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(b)A single or partial exercise or waiver by the Senior Creditor or a right relating to this document will not prevent any other exercise of that right or the exercise of any other right.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(c)The Senior Creditor and its Representatives will not be liable for any loss, cost or expense of the Company or the Junior Creditor caused or contributed to by the waiver of, exercise of, attempted exercise of, failure to exercise or delay in exercising a right and the Senior Creditor holds the benefit of this clause 9.9 on trust for itself and its Representatives. </w:t>
      </w:r>
    </w:p>
    <w:p>
      <w:pPr>
        <w:pStyle w:val="TextBody"/>
        <w:bidi w:val="0"/>
        <w:spacing w:before="0" w:after="0"/>
        <w:ind w:left="1280" w:right="1520" w:hanging="0"/>
        <w:jc w:val="left"/>
        <w:rPr/>
      </w:pPr>
      <w:r>
        <w:rPr/>
        <w:t xml:space="preserve">  </w:t>
      </w:r>
    </w:p>
    <w:p>
      <w:pPr>
        <w:pStyle w:val="TextBody"/>
        <w:bidi w:val="0"/>
        <w:spacing w:before="0" w:after="0"/>
        <w:ind w:left="1280" w:right="1520" w:hanging="0"/>
        <w:jc w:val="left"/>
        <w:rPr>
          <w:rFonts w:cs="Times New Roman"/>
          <w:szCs w:val="22"/>
        </w:rPr>
      </w:pPr>
      <w:r>
        <w:rPr>
          <w:rFonts w:cs="Times New Roman"/>
          <w:szCs w:val="22"/>
        </w:rPr>
        <w:t xml:space="preserve">﻿ </w:t>
      </w:r>
    </w:p>
    <w:p>
      <w:pPr>
        <w:pStyle w:val="TextBody"/>
        <w:bidi w:val="0"/>
        <w:spacing w:before="0" w:after="0"/>
        <w:ind w:left="2000" w:right="1520" w:hanging="0"/>
        <w:jc w:val="left"/>
        <w:rPr>
          <w:rFonts w:ascii="Times New Roman" w:hAnsi="Times New Roman"/>
          <w:sz w:val="24"/>
        </w:rPr>
      </w:pPr>
      <w:bookmarkStart w:id="178" w:name="_TOC_250013"/>
      <w:bookmarkEnd w:id="178"/>
      <w:r>
        <w:rPr>
          <w:rFonts w:ascii="Times New Roman" w:hAnsi="Times New Roman"/>
          <w:b/>
          <w:sz w:val="24"/>
        </w:rPr>
        <w:t>9.10Rights cumulat</w:t>
      </w:r>
      <w:bookmarkStart w:id="179" w:name="a9s10"/>
      <w:bookmarkEnd w:id="179"/>
      <w:r>
        <w:rPr>
          <w:rFonts w:ascii="Times New Roman" w:hAnsi="Times New Roman"/>
          <w:b/>
          <w:sz w:val="24"/>
        </w:rPr>
        <w:t xml:space="preserve">ive </w:t>
      </w:r>
    </w:p>
    <w:p>
      <w:pPr>
        <w:pStyle w:val="TextBody"/>
        <w:bidi w:val="0"/>
        <w:spacing w:before="0" w:after="0"/>
        <w:ind w:left="2000" w:right="1520" w:hanging="0"/>
        <w:jc w:val="both"/>
        <w:rPr>
          <w:rFonts w:ascii="Times New Roman" w:hAnsi="Times New Roman"/>
          <w:sz w:val="22"/>
        </w:rPr>
      </w:pPr>
      <w:r>
        <w:rPr>
          <w:rFonts w:ascii="Times New Roman" w:hAnsi="Times New Roman"/>
          <w:sz w:val="22"/>
        </w:rPr>
        <w:t xml:space="preserve">The rights of the Senior Creditor under this document are cumulative and are in addition to any of its other rights. </w:t>
      </w:r>
    </w:p>
    <w:p>
      <w:pPr>
        <w:pStyle w:val="TextBody"/>
        <w:bidi w:val="0"/>
        <w:spacing w:before="0" w:after="0"/>
        <w:ind w:left="1280" w:right="1520" w:hanging="0"/>
        <w:jc w:val="left"/>
        <w:rPr/>
      </w:pPr>
      <w:r>
        <w:rPr/>
        <w:t xml:space="preserve">  </w:t>
      </w:r>
    </w:p>
    <w:p>
      <w:pPr>
        <w:pStyle w:val="TextBody"/>
        <w:bidi w:val="0"/>
        <w:spacing w:before="0" w:after="0"/>
        <w:ind w:left="1280" w:right="1520" w:hanging="0"/>
        <w:jc w:val="left"/>
        <w:rPr>
          <w:rFonts w:cs="Times New Roman"/>
          <w:szCs w:val="22"/>
        </w:rPr>
      </w:pPr>
      <w:r>
        <w:rPr>
          <w:rFonts w:cs="Times New Roman"/>
          <w:szCs w:val="22"/>
        </w:rPr>
        <w:t xml:space="preserve">﻿ </w:t>
      </w:r>
    </w:p>
    <w:p>
      <w:pPr>
        <w:pStyle w:val="TextBody"/>
        <w:bidi w:val="0"/>
        <w:spacing w:before="0" w:after="0"/>
        <w:ind w:left="2000" w:right="1520" w:hanging="0"/>
        <w:jc w:val="left"/>
        <w:rPr>
          <w:rFonts w:ascii="Times New Roman" w:hAnsi="Times New Roman"/>
          <w:sz w:val="24"/>
        </w:rPr>
      </w:pPr>
      <w:bookmarkStart w:id="180" w:name="_TOC_250012"/>
      <w:bookmarkEnd w:id="180"/>
      <w:r>
        <w:rPr>
          <w:rFonts w:ascii="Times New Roman" w:hAnsi="Times New Roman"/>
          <w:b/>
          <w:sz w:val="24"/>
        </w:rPr>
        <w:t>9.11Approval and conse</w:t>
      </w:r>
      <w:bookmarkStart w:id="181" w:name="a9s11"/>
      <w:bookmarkEnd w:id="181"/>
      <w:r>
        <w:rPr>
          <w:rFonts w:ascii="Times New Roman" w:hAnsi="Times New Roman"/>
          <w:b/>
          <w:sz w:val="24"/>
        </w:rPr>
        <w:t xml:space="preserve">nt </w:t>
      </w:r>
    </w:p>
    <w:p>
      <w:pPr>
        <w:pStyle w:val="TextBody"/>
        <w:bidi w:val="0"/>
        <w:spacing w:before="0" w:after="0"/>
        <w:ind w:left="1280" w:right="1520" w:hanging="0"/>
        <w:jc w:val="left"/>
        <w:rPr>
          <w:rFonts w:cs="Times New Roman"/>
          <w:szCs w:val="22"/>
        </w:rPr>
      </w:pPr>
      <w:r>
        <w:rPr>
          <w:rFonts w:cs="Times New Roman"/>
          <w:szCs w:val="22"/>
        </w:rPr>
        <w:t xml:space="preserve">﻿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(a)The Senior Creditor may conditionally or unconditionally give or withhold any consent to be given under this document and, is not obligated to give its reasons for doing so. </w:t>
      </w:r>
    </w:p>
    <w:p>
      <w:pPr>
        <w:pStyle w:val="TextBody"/>
        <w:bidi w:val="0"/>
        <w:spacing w:before="120" w:after="0"/>
        <w:ind w:left="2720" w:right="1520" w:hanging="0"/>
        <w:jc w:val="both"/>
        <w:rPr>
          <w:rFonts w:ascii="Times New Roman" w:hAnsi="Times New Roman"/>
          <w:sz w:val="22"/>
        </w:rPr>
      </w:pPr>
      <w:r>
        <w:rPr>
          <w:rFonts w:ascii="Times New Roman" w:hAnsi="Times New Roman"/>
          <w:sz w:val="22"/>
        </w:rPr>
        <w:t xml:space="preserve">(b)Any approval given by the Senior Creditor in connection with this document immediately terminates (but only on a going forward basis) if: </w:t>
      </w:r>
    </w:p>
    <w:p>
      <w:pPr>
        <w:pStyle w:val="TextBody"/>
        <w:bidi w:val="0"/>
        <w:spacing w:before="120" w:after="0"/>
        <w:ind w:left="3440" w:right="1520" w:hanging="0"/>
        <w:jc w:val="both"/>
        <w:rPr>
          <w:rFonts w:ascii="Times New Roman" w:hAnsi="Times New Roman"/>
          <w:sz w:val="22"/>
        </w:rPr>
      </w:pPr>
      <w:r>
        <w:rPr>
          <w:rFonts w:ascii="Times New Roman" w:hAnsi="Times New Roman"/>
          <w:sz w:val="22"/>
        </w:rPr>
        <w:t xml:space="preserve">(i)the Junior Creditor or the Company defaults under this document; </w:t>
      </w:r>
    </w:p>
    <w:p>
      <w:pPr>
        <w:pStyle w:val="TextBody"/>
        <w:bidi w:val="0"/>
        <w:spacing w:before="120" w:after="0"/>
        <w:ind w:left="3440" w:right="1520" w:hanging="0"/>
        <w:jc w:val="both"/>
        <w:rPr>
          <w:rFonts w:ascii="Times New Roman" w:hAnsi="Times New Roman"/>
          <w:sz w:val="22"/>
        </w:rPr>
      </w:pPr>
      <w:r>
        <w:rPr>
          <w:rFonts w:ascii="Times New Roman" w:hAnsi="Times New Roman"/>
          <w:sz w:val="22"/>
        </w:rPr>
        <w:t xml:space="preserve">(ii)an Insolvency Event subsists in relation to the Company or the Junior Creditor; or </w:t>
      </w:r>
    </w:p>
    <w:p>
      <w:pPr>
        <w:pStyle w:val="TextBody"/>
        <w:bidi w:val="0"/>
        <w:spacing w:before="0" w:after="0"/>
        <w:ind w:left="1300" w:right="1560" w:hanging="0"/>
        <w:jc w:val="right"/>
        <w:rPr>
          <w:rFonts w:ascii="Times New Roman" w:hAnsi="Times New Roman"/>
          <w:sz w:val="22"/>
        </w:rPr>
      </w:pPr>
      <w:r>
        <w:rPr>
          <w:rFonts w:ascii="Times New Roman" w:hAnsi="Times New Roman"/>
          <w:sz w:val="22"/>
        </w:rPr>
        <w:t xml:space="preserve">Page 13 </w:t>
      </w:r>
    </w:p>
    <w:p>
      <w:pPr>
        <w:pStyle w:val="HorizontalLine"/>
        <w:pBdr>
          <w:bottom w:val="double" w:sz="6" w:space="0" w:color="808080"/>
        </w:pBdr>
        <w:bidi w:val="0"/>
        <w:ind w:left="1300" w:right="1560" w:hanging="0"/>
        <w:jc w:val="left"/>
        <w:rPr/>
      </w:pPr>
      <w:r>
        <w:rPr/>
      </w:r>
    </w:p>
    <w:p>
      <w:pPr>
        <w:pStyle w:val="TextBody"/>
        <w:bidi w:val="0"/>
        <w:ind w:left="1300" w:right="1560" w:hanging="0"/>
        <w:jc w:val="left"/>
        <w:rPr/>
      </w:pPr>
      <w:r>
        <w:rPr/>
        <w:t> </w:t>
      </w:r>
      <w:r>
        <w:br w:type="page"/>
      </w:r>
    </w:p>
    <w:p>
      <w:pPr>
        <w:pStyle w:val="TextBody"/>
        <w:bidi w:val="0"/>
        <w:spacing w:before="120" w:after="0"/>
        <w:ind w:left="3460" w:right="1560" w:hanging="0"/>
        <w:jc w:val="both"/>
        <w:rPr>
          <w:rFonts w:ascii="Times New Roman" w:hAnsi="Times New Roman"/>
          <w:sz w:val="22"/>
        </w:rPr>
      </w:pPr>
      <w:r>
        <w:rPr>
          <w:rFonts w:ascii="Times New Roman" w:hAnsi="Times New Roman"/>
          <w:sz w:val="22"/>
        </w:rPr>
        <w:t xml:space="preserve">(iii)the Senior Creditor demands payment of the Senior Debt from the Company.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82" w:name="_TOC_250011"/>
      <w:bookmarkEnd w:id="182"/>
      <w:r>
        <w:rPr>
          <w:rFonts w:ascii="Times New Roman" w:hAnsi="Times New Roman"/>
          <w:b/>
          <w:sz w:val="24"/>
        </w:rPr>
        <w:t>9.12Assignme</w:t>
      </w:r>
      <w:bookmarkStart w:id="183" w:name="a9s12"/>
      <w:bookmarkEnd w:id="183"/>
      <w:r>
        <w:rPr>
          <w:rFonts w:ascii="Times New Roman" w:hAnsi="Times New Roman"/>
          <w:b/>
          <w:sz w:val="24"/>
        </w:rPr>
        <w:t xml:space="preserve">nt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(a)The Company and the Junior Creditor must not dispose of or Encumber any right under this document without the consent of the Senior Creditor.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Senior Creditor’s rights under this document are assignable in accordance with the Transaction Documents.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84" w:name="_TOC_250010"/>
      <w:bookmarkEnd w:id="184"/>
      <w:r>
        <w:rPr>
          <w:rFonts w:ascii="Times New Roman" w:hAnsi="Times New Roman"/>
          <w:b/>
          <w:sz w:val="24"/>
        </w:rPr>
        <w:t>9.13Counterpar</w:t>
      </w:r>
      <w:bookmarkStart w:id="185" w:name="a9s13"/>
      <w:bookmarkEnd w:id="185"/>
      <w:r>
        <w:rPr>
          <w:rFonts w:ascii="Times New Roman" w:hAnsi="Times New Roman"/>
          <w:b/>
          <w:sz w:val="24"/>
        </w:rPr>
        <w:t xml:space="preserve">ts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This document may consist of a number of counterparts and, if so, the counterparts taken together constitute one document.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86" w:name="_TOC_250009"/>
      <w:bookmarkEnd w:id="186"/>
      <w:r>
        <w:rPr>
          <w:rFonts w:ascii="Times New Roman" w:hAnsi="Times New Roman"/>
          <w:b/>
          <w:sz w:val="24"/>
        </w:rPr>
        <w:t>9.14Governing law and jurisd</w:t>
      </w:r>
      <w:bookmarkStart w:id="187" w:name="a9s14"/>
      <w:bookmarkEnd w:id="187"/>
      <w:r>
        <w:rPr>
          <w:rFonts w:ascii="Times New Roman" w:hAnsi="Times New Roman"/>
          <w:b/>
          <w:sz w:val="24"/>
        </w:rPr>
        <w:t xml:space="preserve">iction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(a)This document is governed by and is to be construed in accordance with the laws applicable in the Relevant Jurisdiction.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(b)Each party irrevocably and unconditionally submits to the non-exclusive jurisdiction of the courts of the Relevant Jurisdiction and any courts which have jurisdiction to hear appeals from any of those courts and waives any right to object to any proceedings being brought in those courts. </w:t>
      </w:r>
    </w:p>
    <w:p>
      <w:pPr>
        <w:pStyle w:val="TextBody"/>
        <w:bidi w:val="0"/>
        <w:spacing w:before="12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88" w:name="_TOC_250008"/>
      <w:bookmarkEnd w:id="188"/>
      <w:r>
        <w:rPr>
          <w:rFonts w:ascii="Times New Roman" w:hAnsi="Times New Roman"/>
          <w:b/>
          <w:sz w:val="24"/>
        </w:rPr>
        <w:t>9.15Currency deficien</w:t>
      </w:r>
      <w:bookmarkStart w:id="189" w:name="a9s15"/>
      <w:bookmarkEnd w:id="189"/>
      <w:r>
        <w:rPr>
          <w:rFonts w:ascii="Times New Roman" w:hAnsi="Times New Roman"/>
          <w:b/>
          <w:sz w:val="24"/>
        </w:rPr>
        <w:t xml:space="preserve">cy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If there is any deficiency between: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(a)an amount payable by the Junior Creditor under or in respect of this document which is received by the Senior Creditor in a currency other than in Australian dollars because of a judgment, order or otherwise, and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(b)the amount produced by converting the payment received from the currency in which it was paid into the currency in which it was agreed to be paid either directly or through a currency other than that in which it was agreed to be paid, </w:t>
      </w:r>
    </w:p>
    <w:p>
      <w:pPr>
        <w:pStyle w:val="TextBody"/>
        <w:bidi w:val="0"/>
        <w:spacing w:before="120" w:after="0"/>
        <w:ind w:left="2740" w:right="1560" w:hanging="0"/>
        <w:jc w:val="both"/>
        <w:rPr>
          <w:rFonts w:ascii="Times New Roman" w:hAnsi="Times New Roman"/>
          <w:sz w:val="22"/>
        </w:rPr>
      </w:pPr>
      <w:r>
        <w:rPr>
          <w:rFonts w:ascii="Times New Roman" w:hAnsi="Times New Roman"/>
          <w:sz w:val="22"/>
        </w:rPr>
        <w:t xml:space="preserve">(c)the Junior Creditor must pay to the Senior Creditor the deficiency and any loss, costs or expenses resulting from it.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8"/>
        </w:rPr>
      </w:pPr>
      <w:bookmarkStart w:id="190" w:name="_TOC_250007"/>
      <w:bookmarkEnd w:id="190"/>
      <w:r>
        <w:rPr>
          <w:rFonts w:ascii="Times New Roman" w:hAnsi="Times New Roman"/>
          <w:b/>
          <w:sz w:val="28"/>
        </w:rPr>
        <w:t>10Notic</w:t>
      </w:r>
      <w:bookmarkStart w:id="191" w:name="a10"/>
      <w:bookmarkEnd w:id="191"/>
      <w:r>
        <w:rPr>
          <w:rFonts w:ascii="Times New Roman" w:hAnsi="Times New Roman"/>
          <w:b/>
          <w:sz w:val="28"/>
        </w:rPr>
        <w:t xml:space="preserve">es </w:t>
      </w:r>
    </w:p>
    <w:p>
      <w:pPr>
        <w:pStyle w:val="TextBody"/>
        <w:bidi w:val="0"/>
        <w:spacing w:before="0" w:after="0"/>
        <w:ind w:left="2020" w:right="1560" w:hanging="0"/>
        <w:jc w:val="left"/>
        <w:rPr>
          <w:rFonts w:ascii="Times New Roman" w:hAnsi="Times New Roman"/>
          <w:sz w:val="24"/>
        </w:rPr>
      </w:pPr>
      <w:bookmarkStart w:id="192" w:name="_TOC_250006"/>
      <w:bookmarkEnd w:id="192"/>
      <w:r>
        <w:rPr>
          <w:rFonts w:ascii="Times New Roman" w:hAnsi="Times New Roman"/>
          <w:b/>
          <w:sz w:val="24"/>
        </w:rPr>
        <w:t>10.1Gener</w:t>
      </w:r>
      <w:bookmarkStart w:id="193" w:name="a10s1"/>
      <w:bookmarkEnd w:id="193"/>
      <w:r>
        <w:rPr>
          <w:rFonts w:ascii="Times New Roman" w:hAnsi="Times New Roman"/>
          <w:b/>
          <w:sz w:val="24"/>
        </w:rPr>
        <w:t xml:space="preserve">al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A notice, demand, certification, process or other communication relating to this document must be in writing in English and may be given by an Authorised Representative of the sender. </w:t>
      </w:r>
    </w:p>
    <w:p>
      <w:pPr>
        <w:pStyle w:val="TextBody"/>
        <w:bidi w:val="0"/>
        <w:spacing w:before="0" w:after="0"/>
        <w:ind w:left="1300" w:right="1560" w:hanging="0"/>
        <w:jc w:val="left"/>
        <w:rPr/>
      </w:pPr>
      <w:r>
        <w:rPr/>
        <w:t xml:space="preserve">  </w:t>
      </w:r>
    </w:p>
    <w:p>
      <w:pPr>
        <w:pStyle w:val="TextBody"/>
        <w:bidi w:val="0"/>
        <w:spacing w:before="0" w:after="0"/>
        <w:ind w:left="1300" w:right="1560" w:hanging="0"/>
        <w:jc w:val="left"/>
        <w:rPr>
          <w:rFonts w:cs="Times New Roman"/>
          <w:szCs w:val="22"/>
        </w:rPr>
      </w:pPr>
      <w:r>
        <w:rPr>
          <w:rFonts w:cs="Times New Roman"/>
          <w:szCs w:val="22"/>
        </w:rPr>
        <w:t xml:space="preserve">﻿ </w:t>
      </w:r>
    </w:p>
    <w:p>
      <w:pPr>
        <w:pStyle w:val="TextBody"/>
        <w:bidi w:val="0"/>
        <w:spacing w:before="0" w:after="0"/>
        <w:ind w:left="2020" w:right="1560" w:hanging="0"/>
        <w:jc w:val="left"/>
        <w:rPr>
          <w:rFonts w:ascii="Times New Roman" w:hAnsi="Times New Roman"/>
          <w:sz w:val="24"/>
        </w:rPr>
      </w:pPr>
      <w:bookmarkStart w:id="194" w:name="_TOC_250005"/>
      <w:bookmarkEnd w:id="194"/>
      <w:r>
        <w:rPr>
          <w:rFonts w:ascii="Times New Roman" w:hAnsi="Times New Roman"/>
          <w:b/>
          <w:sz w:val="24"/>
        </w:rPr>
        <w:t>10.2How to give a communi</w:t>
      </w:r>
      <w:bookmarkStart w:id="195" w:name="a10s2"/>
      <w:bookmarkEnd w:id="195"/>
      <w:r>
        <w:rPr>
          <w:rFonts w:ascii="Times New Roman" w:hAnsi="Times New Roman"/>
          <w:b/>
          <w:sz w:val="24"/>
        </w:rPr>
        <w:t xml:space="preserve">cation </w:t>
      </w:r>
    </w:p>
    <w:p>
      <w:pPr>
        <w:pStyle w:val="TextBody"/>
        <w:bidi w:val="0"/>
        <w:spacing w:before="0" w:after="0"/>
        <w:ind w:left="2020" w:right="1560" w:hanging="0"/>
        <w:jc w:val="both"/>
        <w:rPr>
          <w:rFonts w:ascii="Times New Roman" w:hAnsi="Times New Roman"/>
          <w:sz w:val="22"/>
        </w:rPr>
      </w:pPr>
      <w:r>
        <w:rPr>
          <w:rFonts w:ascii="Times New Roman" w:hAnsi="Times New Roman"/>
          <w:sz w:val="22"/>
        </w:rPr>
        <w:t xml:space="preserve">In addition to any other lawful means, a communication may be given by being: </w:t>
      </w:r>
    </w:p>
    <w:p>
      <w:pPr>
        <w:pStyle w:val="TextBody"/>
        <w:bidi w:val="0"/>
        <w:spacing w:before="120" w:after="0"/>
        <w:ind w:left="1300" w:right="1560" w:hanging="0"/>
        <w:jc w:val="left"/>
        <w:rPr/>
      </w:pPr>
      <w:r>
        <w:rPr/>
        <w:t xml:space="preserve">  </w:t>
      </w:r>
    </w:p>
    <w:p>
      <w:pPr>
        <w:pStyle w:val="TextBody"/>
        <w:bidi w:val="0"/>
        <w:spacing w:before="120" w:after="0"/>
        <w:ind w:left="1300" w:right="1560" w:hanging="0"/>
        <w:jc w:val="left"/>
        <w:rPr/>
      </w:pPr>
      <w:r>
        <w:rPr/>
        <w:t xml:space="preserve">  </w:t>
      </w:r>
    </w:p>
    <w:p>
      <w:pPr>
        <w:pStyle w:val="TextBody"/>
        <w:bidi w:val="0"/>
        <w:spacing w:before="0" w:after="0"/>
        <w:ind w:left="1300" w:right="1580" w:hanging="0"/>
        <w:jc w:val="right"/>
        <w:rPr>
          <w:rFonts w:ascii="Times New Roman" w:hAnsi="Times New Roman"/>
          <w:sz w:val="22"/>
        </w:rPr>
      </w:pPr>
      <w:r>
        <w:rPr>
          <w:rFonts w:ascii="Times New Roman" w:hAnsi="Times New Roman"/>
          <w:sz w:val="22"/>
        </w:rPr>
        <w:t xml:space="preserve">Page 14 </w:t>
      </w:r>
    </w:p>
    <w:p>
      <w:pPr>
        <w:pStyle w:val="HorizontalLine"/>
        <w:pBdr>
          <w:bottom w:val="double" w:sz="6" w:space="0" w:color="808080"/>
        </w:pBdr>
        <w:bidi w:val="0"/>
        <w:ind w:left="1300" w:right="1580" w:hanging="0"/>
        <w:jc w:val="left"/>
        <w:rPr/>
      </w:pPr>
      <w:r>
        <w:rPr/>
      </w:r>
    </w:p>
    <w:p>
      <w:pPr>
        <w:pStyle w:val="TextBody"/>
        <w:bidi w:val="0"/>
        <w:ind w:left="1300" w:right="1580" w:hanging="0"/>
        <w:jc w:val="left"/>
        <w:rPr/>
      </w:pPr>
      <w:r>
        <w:rPr/>
        <w:t> </w:t>
      </w:r>
      <w:r>
        <w:br w:type="page"/>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(a)personally delivered;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(b)left at the party’s current address for notices;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(c)sent to the party’s current address for notices by pre-paid ordinary mail or, if the address is outside of Australia, by pre-paid airmail; or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(d)sent by fax to the party’s current fax number for notices.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2020" w:right="1580" w:hanging="0"/>
        <w:jc w:val="left"/>
        <w:rPr>
          <w:rFonts w:ascii="Times New Roman" w:hAnsi="Times New Roman"/>
          <w:sz w:val="24"/>
        </w:rPr>
      </w:pPr>
      <w:bookmarkStart w:id="196" w:name="_TOC_250004"/>
      <w:bookmarkEnd w:id="196"/>
      <w:r>
        <w:rPr>
          <w:rFonts w:ascii="Times New Roman" w:hAnsi="Times New Roman"/>
          <w:b/>
          <w:sz w:val="24"/>
        </w:rPr>
        <w:t>10.3Particulars for delivery of noti</w:t>
      </w:r>
      <w:bookmarkStart w:id="197" w:name="a10s3"/>
      <w:bookmarkEnd w:id="197"/>
      <w:r>
        <w:rPr>
          <w:rFonts w:ascii="Times New Roman" w:hAnsi="Times New Roman"/>
          <w:b/>
          <w:sz w:val="24"/>
        </w:rPr>
        <w:t xml:space="preserve">ces </w:t>
      </w:r>
    </w:p>
    <w:p>
      <w:pPr>
        <w:pStyle w:val="TextBody"/>
        <w:bidi w:val="0"/>
        <w:spacing w:before="120" w:after="0"/>
        <w:ind w:left="2740" w:right="1580" w:hanging="0"/>
        <w:jc w:val="left"/>
        <w:rPr>
          <w:rFonts w:ascii="Times New Roman" w:hAnsi="Times New Roman"/>
          <w:sz w:val="22"/>
        </w:rPr>
      </w:pPr>
      <w:r>
        <w:rPr>
          <w:rFonts w:ascii="Times New Roman" w:hAnsi="Times New Roman"/>
          <w:sz w:val="22"/>
        </w:rPr>
        <w:t xml:space="preserve">(a)The particulars for delivery of notices are initially: </w:t>
      </w:r>
    </w:p>
    <w:p>
      <w:pPr>
        <w:pStyle w:val="TextBody"/>
        <w:bidi w:val="0"/>
        <w:spacing w:before="120" w:after="0"/>
        <w:ind w:left="2740" w:right="1580" w:hanging="0"/>
        <w:jc w:val="left"/>
        <w:rPr>
          <w:rFonts w:ascii="Times New Roman" w:hAnsi="Times New Roman"/>
          <w:b/>
          <w:sz w:val="22"/>
        </w:rPr>
      </w:pPr>
      <w:r>
        <w:rPr>
          <w:rFonts w:ascii="Times New Roman" w:hAnsi="Times New Roman"/>
          <w:b/>
          <w:sz w:val="22"/>
        </w:rPr>
        <w:t xml:space="preserve">Company: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Reading Entertainment Australia Pty Limited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Address:98 York Street, South Melbourne, Victoria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Fax:(03) 9685 0999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Attention:Managing Director </w:t>
      </w:r>
    </w:p>
    <w:p>
      <w:pPr>
        <w:pStyle w:val="TextBody"/>
        <w:bidi w:val="0"/>
        <w:spacing w:before="120" w:after="0"/>
        <w:ind w:left="1300" w:right="1580" w:hanging="0"/>
        <w:jc w:val="left"/>
        <w:rPr/>
      </w:pPr>
      <w:r>
        <w:rPr/>
        <w:t xml:space="preserve">   </w:t>
      </w:r>
    </w:p>
    <w:p>
      <w:pPr>
        <w:pStyle w:val="TextBody"/>
        <w:bidi w:val="0"/>
        <w:spacing w:before="120" w:after="0"/>
        <w:ind w:left="1300" w:right="1580" w:hanging="0"/>
        <w:jc w:val="left"/>
        <w:rPr/>
      </w:pPr>
      <w:r>
        <w:rPr/>
        <w:t xml:space="preserve">  </w:t>
      </w:r>
    </w:p>
    <w:p>
      <w:pPr>
        <w:pStyle w:val="TextBody"/>
        <w:bidi w:val="0"/>
        <w:spacing w:before="120" w:after="0"/>
        <w:ind w:left="4180" w:right="1580" w:hanging="1440"/>
        <w:jc w:val="left"/>
        <w:rPr>
          <w:rFonts w:ascii="Times New Roman" w:hAnsi="Times New Roman"/>
          <w:sz w:val="22"/>
        </w:rPr>
      </w:pPr>
      <w:r>
        <w:rPr>
          <w:rFonts w:ascii="Times New Roman" w:hAnsi="Times New Roman"/>
          <w:sz w:val="22"/>
        </w:rPr>
        <w:t xml:space="preserve">AND TO: </w:t>
      </w:r>
    </w:p>
    <w:p>
      <w:pPr>
        <w:pStyle w:val="TextBody"/>
        <w:bidi w:val="0"/>
        <w:spacing w:before="120" w:after="0"/>
        <w:ind w:left="1300" w:right="1580" w:hanging="0"/>
        <w:jc w:val="left"/>
        <w:rPr>
          <w:rFonts w:cs="Times New Roman"/>
          <w:szCs w:val="22"/>
        </w:rPr>
      </w:pPr>
      <w:r>
        <w:rPr>
          <w:rFonts w:cs="Times New Roman"/>
          <w:szCs w:val="22"/>
        </w:rPr>
        <w:t xml:space="preserve">﻿ </w:t>
      </w:r>
    </w:p>
    <w:p>
      <w:pPr>
        <w:pStyle w:val="TextBody"/>
        <w:bidi w:val="0"/>
        <w:spacing w:before="120" w:after="0"/>
        <w:ind w:left="1660" w:right="1580" w:hanging="0"/>
        <w:jc w:val="left"/>
        <w:rPr>
          <w:rFonts w:ascii="Times New Roman" w:hAnsi="Times New Roman"/>
          <w:sz w:val="22"/>
        </w:rPr>
      </w:pPr>
      <w:r>
        <w:rPr>
          <w:rFonts w:ascii="Times New Roman" w:hAnsi="Times New Roman"/>
          <w:sz w:val="22"/>
        </w:rPr>
        <w:t xml:space="preserve">Reading International, Inc. </w:t>
      </w:r>
    </w:p>
    <w:p>
      <w:pPr>
        <w:pStyle w:val="TextBody"/>
        <w:bidi w:val="0"/>
        <w:spacing w:before="120" w:after="0"/>
        <w:ind w:left="1300" w:right="1580" w:hanging="0"/>
        <w:jc w:val="left"/>
        <w:rPr/>
      </w:pPr>
      <w:r>
        <w:rPr/>
        <w:t xml:space="preserve">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Address:5995 Sepulveda Blvd., Suite 300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Culver City, California 90230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United States of America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Fax:+1 213 235 2229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Attention:EVP, Chief Financial Officer, Gilbert Avanes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120" w:after="0"/>
        <w:ind w:left="3460" w:right="1580" w:hanging="720"/>
        <w:jc w:val="left"/>
        <w:rPr>
          <w:rFonts w:ascii="Times New Roman" w:hAnsi="Times New Roman"/>
          <w:b/>
          <w:sz w:val="22"/>
        </w:rPr>
      </w:pPr>
      <w:r>
        <w:rPr>
          <w:rFonts w:ascii="Times New Roman" w:hAnsi="Times New Roman"/>
          <w:b/>
          <w:sz w:val="22"/>
        </w:rPr>
        <w:t xml:space="preserve">Junior Creditor: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Address:5995 Sepulveda Blvd., Suite 300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Culver City, California 90230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United States of America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Fax:+1 213 235 2229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Attention:EVP, Chief Financial Officer, Gilbert Avanes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120" w:after="0"/>
        <w:ind w:left="3460" w:right="1580" w:hanging="720"/>
        <w:jc w:val="left"/>
        <w:rPr>
          <w:rFonts w:ascii="Times New Roman" w:hAnsi="Times New Roman"/>
          <w:b/>
          <w:sz w:val="22"/>
        </w:rPr>
      </w:pPr>
      <w:r>
        <w:rPr>
          <w:rFonts w:ascii="Times New Roman" w:hAnsi="Times New Roman"/>
          <w:b/>
          <w:sz w:val="22"/>
        </w:rPr>
        <w:t xml:space="preserve">Senior Creditor: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Address:Level 17, </w:t>
      </w:r>
    </w:p>
    <w:p>
      <w:pPr>
        <w:pStyle w:val="TextBody"/>
        <w:bidi w:val="0"/>
        <w:spacing w:before="120" w:after="0"/>
        <w:ind w:left="4180" w:right="1580" w:hanging="0"/>
        <w:jc w:val="left"/>
        <w:rPr>
          <w:rFonts w:ascii="Times New Roman" w:hAnsi="Times New Roman"/>
          <w:sz w:val="22"/>
        </w:rPr>
      </w:pPr>
      <w:r>
        <w:rPr>
          <w:rFonts w:ascii="Times New Roman" w:hAnsi="Times New Roman"/>
          <w:sz w:val="22"/>
        </w:rPr>
        <w:t xml:space="preserve">395 Bourke Street,  Melbourne Vic 3000 </w:t>
      </w:r>
    </w:p>
    <w:p>
      <w:pPr>
        <w:pStyle w:val="TextBody"/>
        <w:bidi w:val="0"/>
        <w:spacing w:before="120" w:after="0"/>
        <w:ind w:left="3460" w:right="1580" w:hanging="0"/>
        <w:jc w:val="left"/>
        <w:rPr>
          <w:rFonts w:ascii="Times New Roman" w:hAnsi="Times New Roman"/>
          <w:sz w:val="22"/>
        </w:rPr>
      </w:pPr>
      <w:r>
        <w:rPr>
          <w:rFonts w:ascii="Times New Roman" w:hAnsi="Times New Roman"/>
          <w:sz w:val="22"/>
        </w:rPr>
        <w:t xml:space="preserve">Attention:Meagan Zwerwer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120" w:after="0"/>
        <w:ind w:left="2740" w:right="1580" w:hanging="0"/>
        <w:jc w:val="left"/>
        <w:rPr>
          <w:rFonts w:ascii="Times New Roman" w:hAnsi="Times New Roman"/>
          <w:sz w:val="22"/>
        </w:rPr>
      </w:pPr>
      <w:r>
        <w:rPr>
          <w:rFonts w:ascii="Times New Roman" w:hAnsi="Times New Roman"/>
          <w:sz w:val="22"/>
        </w:rPr>
        <w:t xml:space="preserve">(b)Each party may change its particulars for delivery of notices by notice to each other party. </w:t>
      </w:r>
    </w:p>
    <w:p>
      <w:pPr>
        <w:pStyle w:val="TextBody"/>
        <w:bidi w:val="0"/>
        <w:spacing w:before="120" w:after="0"/>
        <w:ind w:left="1300" w:right="1580" w:hanging="0"/>
        <w:jc w:val="left"/>
        <w:rPr/>
      </w:pPr>
      <w:r>
        <w:rPr/>
        <w:t xml:space="preserve">  </w:t>
      </w:r>
    </w:p>
    <w:p>
      <w:pPr>
        <w:pStyle w:val="TextBody"/>
        <w:bidi w:val="0"/>
        <w:spacing w:before="0" w:after="0"/>
        <w:ind w:left="1300" w:right="1580" w:hanging="0"/>
        <w:jc w:val="right"/>
        <w:rPr>
          <w:rFonts w:ascii="Times New Roman" w:hAnsi="Times New Roman"/>
          <w:sz w:val="22"/>
        </w:rPr>
      </w:pPr>
      <w:bookmarkStart w:id="198" w:name="_TOC_250003"/>
      <w:bookmarkEnd w:id="198"/>
      <w:r>
        <w:rPr>
          <w:rFonts w:ascii="Times New Roman" w:hAnsi="Times New Roman"/>
          <w:sz w:val="22"/>
        </w:rPr>
        <w:t xml:space="preserve">Page 15 </w:t>
      </w:r>
    </w:p>
    <w:p>
      <w:pPr>
        <w:pStyle w:val="HorizontalLine"/>
        <w:pBdr>
          <w:bottom w:val="double" w:sz="6" w:space="0" w:color="808080"/>
        </w:pBdr>
        <w:bidi w:val="0"/>
        <w:ind w:left="1300" w:right="1580" w:hanging="0"/>
        <w:jc w:val="left"/>
        <w:rPr/>
      </w:pPr>
      <w:r>
        <w:rPr/>
      </w:r>
    </w:p>
    <w:p>
      <w:pPr>
        <w:pStyle w:val="TextBody"/>
        <w:bidi w:val="0"/>
        <w:ind w:left="1300" w:right="1580" w:hanging="0"/>
        <w:jc w:val="left"/>
        <w:rPr/>
      </w:pPr>
      <w:r>
        <w:rPr/>
        <w:t> </w:t>
      </w:r>
      <w:r>
        <w:br w:type="page"/>
      </w:r>
    </w:p>
    <w:p>
      <w:pPr>
        <w:pStyle w:val="TextBody"/>
        <w:bidi w:val="0"/>
        <w:spacing w:before="0" w:after="0"/>
        <w:ind w:left="2020" w:right="1580" w:hanging="0"/>
        <w:jc w:val="left"/>
        <w:rPr>
          <w:rFonts w:ascii="Times New Roman" w:hAnsi="Times New Roman"/>
          <w:sz w:val="24"/>
        </w:rPr>
      </w:pPr>
      <w:r>
        <w:rPr>
          <w:rFonts w:ascii="Times New Roman" w:hAnsi="Times New Roman"/>
          <w:b/>
          <w:sz w:val="24"/>
        </w:rPr>
        <w:t>10.4Communications by p</w:t>
      </w:r>
      <w:bookmarkStart w:id="199" w:name="a10s4"/>
      <w:bookmarkEnd w:id="199"/>
      <w:r>
        <w:rPr>
          <w:rFonts w:ascii="Times New Roman" w:hAnsi="Times New Roman"/>
          <w:b/>
          <w:sz w:val="24"/>
        </w:rPr>
        <w:t xml:space="preserve">ost </w:t>
      </w:r>
    </w:p>
    <w:p>
      <w:pPr>
        <w:pStyle w:val="TextBody"/>
        <w:bidi w:val="0"/>
        <w:spacing w:before="0" w:after="0"/>
        <w:ind w:left="2020" w:right="1580" w:hanging="0"/>
        <w:jc w:val="both"/>
        <w:rPr>
          <w:rFonts w:ascii="Times New Roman" w:hAnsi="Times New Roman"/>
          <w:sz w:val="22"/>
        </w:rPr>
      </w:pPr>
      <w:r>
        <w:rPr>
          <w:rFonts w:ascii="Times New Roman" w:hAnsi="Times New Roman"/>
          <w:sz w:val="22"/>
        </w:rPr>
        <w:t xml:space="preserve">Subject to </w:t>
      </w:r>
      <w:r>
        <w:rPr>
          <w:rFonts w:ascii="Times New Roman" w:hAnsi="Times New Roman"/>
          <w:b/>
          <w:sz w:val="22"/>
        </w:rPr>
        <w:t>clause 10.6</w:t>
      </w:r>
      <w:r>
        <w:rPr>
          <w:rFonts w:ascii="Times New Roman" w:hAnsi="Times New Roman"/>
          <w:sz w:val="22"/>
        </w:rPr>
        <w:t xml:space="preserve">, a communication is given if posted: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(a)within Australia to an Australian address, three Business Days after posting; or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(b)in any other case, then ten Business Days after posting.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2020" w:right="1580" w:hanging="0"/>
        <w:jc w:val="left"/>
        <w:rPr>
          <w:rFonts w:ascii="Times New Roman" w:hAnsi="Times New Roman"/>
          <w:sz w:val="24"/>
        </w:rPr>
      </w:pPr>
      <w:bookmarkStart w:id="200" w:name="_TOC_250002"/>
      <w:bookmarkEnd w:id="200"/>
      <w:r>
        <w:rPr>
          <w:rFonts w:ascii="Times New Roman" w:hAnsi="Times New Roman"/>
          <w:b/>
          <w:sz w:val="24"/>
        </w:rPr>
        <w:t xml:space="preserve">10.5Communications by </w:t>
      </w:r>
      <w:bookmarkStart w:id="201" w:name="a10s5"/>
      <w:bookmarkEnd w:id="201"/>
      <w:r>
        <w:rPr>
          <w:rFonts w:ascii="Times New Roman" w:hAnsi="Times New Roman"/>
          <w:b/>
          <w:sz w:val="24"/>
        </w:rPr>
        <w:t xml:space="preserve">fax </w:t>
      </w:r>
    </w:p>
    <w:p>
      <w:pPr>
        <w:pStyle w:val="TextBody"/>
        <w:bidi w:val="0"/>
        <w:spacing w:before="0" w:after="0"/>
        <w:ind w:left="2020" w:right="1580" w:hanging="0"/>
        <w:jc w:val="both"/>
        <w:rPr>
          <w:rFonts w:ascii="Times New Roman" w:hAnsi="Times New Roman"/>
          <w:sz w:val="22"/>
        </w:rPr>
      </w:pPr>
      <w:r>
        <w:rPr>
          <w:rFonts w:ascii="Times New Roman" w:hAnsi="Times New Roman"/>
          <w:sz w:val="22"/>
        </w:rPr>
        <w:t xml:space="preserve">Subject to clause 10.6, a communication is given if sent by fax when the sender’s fax machine produces a report that the fax was sent in full to the addressee. That report is conclusive evidence that the addressee received the fax in full at the time indicated on that report.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2020" w:right="1580" w:hanging="0"/>
        <w:jc w:val="left"/>
        <w:rPr>
          <w:rFonts w:ascii="Times New Roman" w:hAnsi="Times New Roman"/>
          <w:sz w:val="24"/>
        </w:rPr>
      </w:pPr>
      <w:bookmarkStart w:id="202" w:name="_TOC_250001"/>
      <w:bookmarkEnd w:id="202"/>
      <w:r>
        <w:rPr>
          <w:rFonts w:ascii="Times New Roman" w:hAnsi="Times New Roman"/>
          <w:b/>
          <w:sz w:val="24"/>
        </w:rPr>
        <w:t>10.6After hours communicat</w:t>
      </w:r>
      <w:bookmarkStart w:id="203" w:name="a10s6"/>
      <w:bookmarkEnd w:id="203"/>
      <w:r>
        <w:rPr>
          <w:rFonts w:ascii="Times New Roman" w:hAnsi="Times New Roman"/>
          <w:b/>
          <w:sz w:val="24"/>
        </w:rPr>
        <w:t xml:space="preserve">ions </w:t>
      </w:r>
    </w:p>
    <w:p>
      <w:pPr>
        <w:pStyle w:val="TextBody"/>
        <w:bidi w:val="0"/>
        <w:spacing w:before="0" w:after="0"/>
        <w:ind w:left="2020" w:right="1580" w:hanging="0"/>
        <w:jc w:val="both"/>
        <w:rPr>
          <w:rFonts w:ascii="Times New Roman" w:hAnsi="Times New Roman"/>
          <w:sz w:val="22"/>
        </w:rPr>
      </w:pPr>
      <w:r>
        <w:rPr>
          <w:rFonts w:ascii="Times New Roman" w:hAnsi="Times New Roman"/>
          <w:sz w:val="22"/>
        </w:rPr>
        <w:t xml:space="preserve">If a communication is given: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(a)after 5.00 pm in the place of receipt; or </w:t>
      </w:r>
    </w:p>
    <w:p>
      <w:pPr>
        <w:pStyle w:val="TextBody"/>
        <w:bidi w:val="0"/>
        <w:spacing w:before="120" w:after="0"/>
        <w:ind w:left="2740" w:right="1580" w:hanging="0"/>
        <w:jc w:val="both"/>
        <w:rPr>
          <w:rFonts w:ascii="Times New Roman" w:hAnsi="Times New Roman"/>
          <w:sz w:val="22"/>
        </w:rPr>
      </w:pPr>
      <w:r>
        <w:rPr>
          <w:rFonts w:ascii="Times New Roman" w:hAnsi="Times New Roman"/>
          <w:sz w:val="22"/>
        </w:rPr>
        <w:t xml:space="preserve">(b)on a day that is not a Business Day, </w:t>
      </w:r>
    </w:p>
    <w:p>
      <w:pPr>
        <w:pStyle w:val="TextBody"/>
        <w:bidi w:val="0"/>
        <w:spacing w:before="120" w:after="0"/>
        <w:ind w:left="2020" w:right="1580" w:hanging="0"/>
        <w:jc w:val="both"/>
        <w:rPr>
          <w:rFonts w:ascii="Times New Roman" w:hAnsi="Times New Roman"/>
          <w:sz w:val="22"/>
        </w:rPr>
      </w:pPr>
      <w:r>
        <w:rPr>
          <w:rFonts w:ascii="Times New Roman" w:hAnsi="Times New Roman"/>
          <w:sz w:val="22"/>
        </w:rPr>
        <w:t xml:space="preserve">it is taken as having been given at 9.00 am on the next Business Day in that place.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left"/>
        <w:rPr>
          <w:rFonts w:cs="Times New Roman"/>
          <w:szCs w:val="22"/>
        </w:rPr>
      </w:pPr>
      <w:r>
        <w:rPr>
          <w:rFonts w:cs="Times New Roman"/>
          <w:szCs w:val="22"/>
        </w:rPr>
        <w:t xml:space="preserve">﻿ </w:t>
      </w:r>
    </w:p>
    <w:p>
      <w:pPr>
        <w:pStyle w:val="TextBody"/>
        <w:bidi w:val="0"/>
        <w:spacing w:before="0" w:after="0"/>
        <w:ind w:left="2020" w:right="1580" w:hanging="0"/>
        <w:jc w:val="left"/>
        <w:rPr>
          <w:rFonts w:ascii="Times New Roman" w:hAnsi="Times New Roman"/>
          <w:sz w:val="24"/>
        </w:rPr>
      </w:pPr>
      <w:bookmarkStart w:id="204" w:name="_TOC_250000"/>
      <w:bookmarkEnd w:id="204"/>
      <w:r>
        <w:rPr>
          <w:rFonts w:ascii="Times New Roman" w:hAnsi="Times New Roman"/>
          <w:b/>
          <w:sz w:val="24"/>
        </w:rPr>
        <w:t>10.7Process servi</w:t>
      </w:r>
      <w:bookmarkStart w:id="205" w:name="a10s7"/>
      <w:bookmarkEnd w:id="205"/>
      <w:r>
        <w:rPr>
          <w:rFonts w:ascii="Times New Roman" w:hAnsi="Times New Roman"/>
          <w:b/>
          <w:sz w:val="24"/>
        </w:rPr>
        <w:t xml:space="preserve">ce </w:t>
      </w:r>
    </w:p>
    <w:p>
      <w:pPr>
        <w:pStyle w:val="TextBody"/>
        <w:bidi w:val="0"/>
        <w:spacing w:before="0" w:after="0"/>
        <w:ind w:left="2020" w:right="1580" w:hanging="0"/>
        <w:jc w:val="both"/>
        <w:rPr>
          <w:rFonts w:ascii="Times New Roman" w:hAnsi="Times New Roman"/>
          <w:sz w:val="22"/>
        </w:rPr>
      </w:pPr>
      <w:r>
        <w:rPr>
          <w:rFonts w:ascii="Times New Roman" w:hAnsi="Times New Roman"/>
          <w:sz w:val="22"/>
        </w:rPr>
        <w:t xml:space="preserve">Any process or other document relating to litigation, administrative or arbitral proceedings relating to this document may be served by any method contemplated by this </w:t>
      </w:r>
      <w:r>
        <w:rPr>
          <w:rFonts w:ascii="Times New Roman" w:hAnsi="Times New Roman"/>
          <w:b/>
          <w:sz w:val="22"/>
        </w:rPr>
        <w:t>clause 10</w:t>
      </w:r>
      <w:r>
        <w:rPr>
          <w:rFonts w:ascii="Times New Roman" w:hAnsi="Times New Roman"/>
          <w:sz w:val="22"/>
        </w:rPr>
        <w:t xml:space="preserve"> or in accordance with any applicable law.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left"/>
        <w:rPr/>
      </w:pPr>
      <w:r>
        <w:rPr/>
        <w:t xml:space="preserve">   </w:t>
      </w:r>
    </w:p>
    <w:p>
      <w:pPr>
        <w:pStyle w:val="TextBody"/>
        <w:bidi w:val="0"/>
        <w:spacing w:before="0" w:after="0"/>
        <w:ind w:left="1300" w:right="1580" w:hanging="0"/>
        <w:jc w:val="left"/>
        <w:rPr/>
      </w:pPr>
      <w:r>
        <w:rPr/>
        <w:t xml:space="preserve">  </w:t>
      </w:r>
    </w:p>
    <w:p>
      <w:pPr>
        <w:pStyle w:val="TextBody"/>
        <w:bidi w:val="0"/>
        <w:spacing w:before="0" w:after="0"/>
        <w:ind w:left="1280" w:right="1540" w:hanging="0"/>
        <w:jc w:val="right"/>
        <w:rPr>
          <w:rFonts w:ascii="Times New Roman" w:hAnsi="Times New Roman"/>
          <w:sz w:val="22"/>
        </w:rPr>
      </w:pPr>
      <w:r>
        <w:rPr>
          <w:rFonts w:ascii="Times New Roman" w:hAnsi="Times New Roman"/>
          <w:sz w:val="22"/>
        </w:rPr>
        <w:t xml:space="preserve">Page 16 </w:t>
      </w:r>
    </w:p>
    <w:p>
      <w:pPr>
        <w:pStyle w:val="HorizontalLine"/>
        <w:pBdr>
          <w:bottom w:val="double" w:sz="6" w:space="0" w:color="808080"/>
        </w:pBdr>
        <w:bidi w:val="0"/>
        <w:ind w:left="1280" w:right="1540" w:hanging="0"/>
        <w:jc w:val="left"/>
        <w:rPr/>
      </w:pPr>
      <w:r>
        <w:rPr/>
      </w:r>
    </w:p>
    <w:p>
      <w:pPr>
        <w:pStyle w:val="TextBody"/>
        <w:bidi w:val="0"/>
        <w:ind w:left="1280" w:right="1540" w:hanging="0"/>
        <w:jc w:val="left"/>
        <w:rPr/>
      </w:pPr>
      <w:r>
        <w:rPr/>
        <w:t> </w:t>
      </w:r>
      <w:r>
        <w:br w:type="page"/>
      </w:r>
    </w:p>
    <w:p>
      <w:pPr>
        <w:pStyle w:val="TextBody"/>
        <w:bidi w:val="0"/>
        <w:spacing w:before="0" w:after="0"/>
        <w:ind w:left="1280" w:right="1540" w:hanging="0"/>
        <w:jc w:val="left"/>
        <w:rPr>
          <w:rFonts w:ascii="Times New Roman" w:hAnsi="Times New Roman"/>
          <w:sz w:val="22"/>
        </w:rPr>
      </w:pPr>
      <w:r>
        <w:rPr>
          <w:rFonts w:ascii="Times New Roman" w:hAnsi="Times New Roman"/>
          <w:b/>
          <w:sz w:val="22"/>
        </w:rPr>
        <w:t>EXECUTED AS A DEED</w:t>
      </w:r>
      <w:r>
        <w:rPr>
          <w:rFonts w:ascii="Times New Roman" w:hAnsi="Times New Roman"/>
          <w:sz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tbl>
      <w:tblPr>
        <w:tblW w:w="7385" w:type="dxa"/>
        <w:jc w:val="left"/>
        <w:tblInd w:w="1280" w:type="dxa"/>
        <w:tblLayout w:type="fixed"/>
        <w:tblCellMar>
          <w:top w:w="0" w:type="dxa"/>
          <w:left w:w="0" w:type="dxa"/>
          <w:bottom w:w="0" w:type="dxa"/>
          <w:right w:w="0" w:type="dxa"/>
        </w:tblCellMar>
      </w:tblPr>
      <w:tblGrid>
        <w:gridCol w:w="5077"/>
        <w:gridCol w:w="95"/>
        <w:gridCol w:w="2213"/>
      </w:tblGrid>
      <w:tr>
        <w:trPr/>
        <w:tc>
          <w:tcPr>
            <w:tcW w:w="5077"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Executed on behalf of the NATIONAL AUSTRALIA BANK LIMITED by its Attorney who holds the position of Level 3 Attorney under Power of Attorney dated 1 March 2007 in the presence of:</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/s/ Rhea D’Souza___________________</w:t>
              <w:br/>
              <w:t>Signature of Witness</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__ Rhea D’Souza___________________</w:t>
              <w:br/>
              <w:t>Name of Witness (print)</w:t>
            </w:r>
          </w:p>
        </w:tc>
        <w:tc>
          <w:tcPr>
            <w:tcW w:w="95"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w:t>
              <w:br/>
              <w:t>)</w:t>
              <w:br/>
              <w:t>)</w:t>
              <w:br/>
              <w:t>)</w:t>
              <w:br/>
              <w:t>)</w:t>
              <w:br/>
              <w:t>)</w:t>
              <w:br/>
              <w:t>)</w:t>
              <w:br/>
              <w:t>)</w:t>
              <w:br/>
              <w:t>)</w:t>
              <w:br/>
              <w:t>)</w:t>
              <w:br/>
              <w:t>)</w:t>
              <w:br/>
              <w:t>)</w:t>
              <w:br/>
              <w:t>)</w:t>
            </w:r>
          </w:p>
        </w:tc>
        <w:tc>
          <w:tcPr>
            <w:tcW w:w="2213"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/s/ Meagan Zwerwer________________</w:t>
              <w:br/>
              <w:t>Signature of Attorney</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___Meagan Zwerwer________________</w:t>
              <w:br/>
              <w:t xml:space="preserve">Name of Attorney (print) </w:t>
            </w:r>
          </w:p>
        </w:tc>
      </w:tr>
    </w:tbl>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tbl>
      <w:tblPr>
        <w:tblW w:w="7385" w:type="dxa"/>
        <w:jc w:val="left"/>
        <w:tblInd w:w="1280" w:type="dxa"/>
        <w:tblLayout w:type="fixed"/>
        <w:tblCellMar>
          <w:top w:w="0" w:type="dxa"/>
          <w:left w:w="0" w:type="dxa"/>
          <w:bottom w:w="0" w:type="dxa"/>
          <w:right w:w="0" w:type="dxa"/>
        </w:tblCellMar>
      </w:tblPr>
      <w:tblGrid>
        <w:gridCol w:w="4504"/>
        <w:gridCol w:w="95"/>
        <w:gridCol w:w="2786"/>
      </w:tblGrid>
      <w:tr>
        <w:trPr/>
        <w:tc>
          <w:tcPr>
            <w:tcW w:w="4504"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Executed by READING ENTERTAINMENT AUSTRALIA PTY LIMITED</w:t>
              <w:br/>
              <w:t>ABN 12 070 893 908</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/s/ Ellen M. Cotter___________________</w:t>
              <w:br/>
              <w:t xml:space="preserve">Signature of Director </w:t>
            </w:r>
          </w:p>
          <w:p>
            <w:pPr>
              <w:pStyle w:val="TableContents"/>
              <w:bidi w:val="0"/>
              <w:spacing w:before="0" w:after="0"/>
              <w:ind w:left="0" w:right="0" w:hanging="0"/>
              <w:jc w:val="left"/>
              <w:rPr/>
            </w:pPr>
            <w:r>
              <w:rPr/>
              <w:t>     </w:t>
            </w:r>
            <w:r>
              <w:rPr>
                <w:rFonts w:ascii="Times New Roman" w:hAnsi="Times New Roman"/>
                <w:sz w:val="22"/>
              </w:rPr>
              <w:t>Ellen M. Cotter___________________</w:t>
              <w:br/>
              <w:t>Name of Director (print)</w:t>
            </w:r>
          </w:p>
        </w:tc>
        <w:tc>
          <w:tcPr>
            <w:tcW w:w="9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br/>
              <w:t>)</w:t>
              <w:br/>
              <w:t>)</w:t>
              <w:br/>
              <w:t>)</w:t>
            </w:r>
          </w:p>
        </w:tc>
        <w:tc>
          <w:tcPr>
            <w:tcW w:w="2786"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br/>
              <w:t>/s/ Andrzej Matyczynski______________</w:t>
              <w:br/>
              <w:t>Signature of Director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___Andrzej Matyczynski______________</w:t>
              <w:br/>
              <w:t xml:space="preserve">Name of Director (print) </w:t>
            </w:r>
          </w:p>
        </w:tc>
      </w:tr>
    </w:tbl>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tbl>
      <w:tblPr>
        <w:tblW w:w="7385" w:type="dxa"/>
        <w:jc w:val="left"/>
        <w:tblInd w:w="1280" w:type="dxa"/>
        <w:tblLayout w:type="fixed"/>
        <w:tblCellMar>
          <w:top w:w="0" w:type="dxa"/>
          <w:left w:w="0" w:type="dxa"/>
          <w:bottom w:w="0" w:type="dxa"/>
          <w:right w:w="0" w:type="dxa"/>
        </w:tblCellMar>
      </w:tblPr>
      <w:tblGrid>
        <w:gridCol w:w="4541"/>
        <w:gridCol w:w="95"/>
        <w:gridCol w:w="2749"/>
      </w:tblGrid>
      <w:tr>
        <w:trPr/>
        <w:tc>
          <w:tcPr>
            <w:tcW w:w="4541"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Executed by READING INTERNATIONAL CINEMAS LLC by its duly appointed officer in the presence of:</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/s/ Susan Villeda____________________</w:t>
              <w:br/>
              <w:t>Witness</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___ Susan Villeda____________________</w:t>
              <w:br/>
              <w:t>Name of Witness (print)</w:t>
            </w:r>
          </w:p>
        </w:tc>
        <w:tc>
          <w:tcPr>
            <w:tcW w:w="95"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br/>
              <w:t>)</w:t>
              <w:br/>
              <w:t>)</w:t>
              <w:br/>
              <w:t>)</w:t>
            </w:r>
          </w:p>
        </w:tc>
        <w:tc>
          <w:tcPr>
            <w:tcW w:w="2749"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
          </w:p>
          <w:p>
            <w:pPr>
              <w:pStyle w:val="TableContents"/>
              <w:bidi w:val="0"/>
              <w:spacing w:before="0" w:after="0"/>
              <w:ind w:left="0" w:right="0" w:hanging="0"/>
              <w:jc w:val="left"/>
              <w:rPr>
                <w:rFonts w:ascii="Times New Roman" w:hAnsi="Times New Roman"/>
                <w:sz w:val="22"/>
              </w:rPr>
            </w:pPr>
            <w:r>
              <w:rPr>
                <w:rFonts w:ascii="Times New Roman" w:hAnsi="Times New Roman"/>
                <w:sz w:val="22"/>
              </w:rPr>
              <w:t>/s/ Ellen M. Cotter___________________</w:t>
              <w:br/>
              <w:t>Signature of Officer</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2"/>
              </w:rPr>
            </w:pPr>
            <w:r>
              <w:rPr>
                <w:rFonts w:ascii="Times New Roman" w:hAnsi="Times New Roman"/>
                <w:sz w:val="22"/>
              </w:rPr>
              <w:t>___ Ellen M. Cotter___________________</w:t>
              <w:br/>
              <w:t xml:space="preserve">Name of Officer (print) </w:t>
            </w:r>
          </w:p>
        </w:tc>
      </w:tr>
    </w:tbl>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left"/>
        <w:rPr>
          <w:rFonts w:cs="Times New Roman"/>
          <w:szCs w:val="22"/>
        </w:rPr>
      </w:pPr>
      <w:r>
        <w:rPr>
          <w:rFonts w:cs="Times New Roman"/>
          <w:szCs w:val="22"/>
        </w:rPr>
        <w:t xml:space="preserve">﻿ </w:t>
      </w:r>
    </w:p>
    <w:p>
      <w:pPr>
        <w:pStyle w:val="TextBody"/>
        <w:bidi w:val="0"/>
        <w:spacing w:before="0" w:after="0"/>
        <w:ind w:left="1280" w:right="1540" w:hanging="0"/>
        <w:jc w:val="right"/>
        <w:rPr>
          <w:rFonts w:ascii="Times New Roman" w:hAnsi="Times New Roman"/>
          <w:sz w:val="22"/>
        </w:rPr>
      </w:pPr>
      <w:r>
        <w:rPr>
          <w:rFonts w:ascii="Times New Roman" w:hAnsi="Times New Roman"/>
          <w:sz w:val="22"/>
        </w:rPr>
        <w:t xml:space="preserve">Page 17 </w:t>
      </w:r>
    </w:p>
    <w:p>
      <w:pPr>
        <w:pStyle w:val="HorizontalLine"/>
        <w:pBdr>
          <w:bottom w:val="double" w:sz="6" w:space="0" w:color="808080"/>
        </w:pBdr>
        <w:bidi w:val="0"/>
        <w:ind w:left="1280" w:right="1540" w:hanging="0"/>
        <w:jc w:val="left"/>
        <w:rPr/>
      </w:pPr>
      <w:r>
        <w:rPr/>
      </w:r>
    </w:p>
    <w:p>
      <w:pPr>
        <w:pStyle w:val="TextBody"/>
        <w:bidi w:val="0"/>
        <w:spacing w:before="0" w:after="284"/>
        <w:ind w:left="1440" w:right="1440" w:hanging="0"/>
        <w:jc w:val="both"/>
        <w:rPr>
          <w:rFonts w:ascii="Times New Roman" w:hAnsi="Times New Roman"/>
          <w:sz w:val="22"/>
        </w:rPr>
      </w:pPr>
      <w:bookmarkStart w:id="206" w:name="rdi-20231231xex21.htm"/>
      <w:bookmarkStart w:id="207" w:name="ksrdi20231231xex21"/>
      <w:bookmarkEnd w:id="206"/>
      <w:bookmarkEnd w:id="207"/>
      <w:r>
        <w:rPr>
          <w:rFonts w:ascii="Garamond" w:hAnsi="Garamond"/>
          <w:b/>
          <w:sz w:val="22"/>
        </w:rPr>
        <w:t>READING INTERNATIONAL, INC. –</w:t>
      </w:r>
      <w:r>
        <w:rPr>
          <w:rFonts w:ascii="Times New Roman" w:hAnsi="Times New Roman"/>
          <w:sz w:val="22"/>
        </w:rPr>
        <w:t> </w:t>
      </w:r>
      <w:r>
        <w:rPr>
          <w:rFonts w:ascii="Garamond" w:hAnsi="Garamond"/>
          <w:b/>
          <w:sz w:val="22"/>
        </w:rPr>
        <w:t>LIST OF SUBSIDIARIES</w:t>
      </w:r>
      <w:r>
        <w:rPr>
          <w:rFonts w:ascii="Times New Roman" w:hAnsi="Times New Roman"/>
          <w:sz w:val="22"/>
        </w:rPr>
        <w:t xml:space="preserve"> </w:t>
      </w:r>
      <w:r>
        <w:br w:type="page"/>
      </w:r>
    </w:p>
    <w:tbl>
      <w:tblPr>
        <w:tblW w:w="7325" w:type="dxa"/>
        <w:jc w:val="left"/>
        <w:tblInd w:w="1440" w:type="dxa"/>
        <w:tblLayout w:type="fixed"/>
        <w:tblCellMar>
          <w:top w:w="0" w:type="dxa"/>
          <w:left w:w="0" w:type="dxa"/>
          <w:bottom w:w="0" w:type="dxa"/>
          <w:right w:w="0" w:type="dxa"/>
        </w:tblCellMar>
      </w:tblPr>
      <w:tblGrid>
        <w:gridCol w:w="4718"/>
        <w:gridCol w:w="2607"/>
      </w:tblGrid>
      <w:tr>
        <w:trPr/>
        <w:tc>
          <w:tcPr>
            <w:tcW w:w="4718" w:type="dxa"/>
            <w:tcBorders/>
            <w:vAlign w:val="center"/>
          </w:tcPr>
          <w:p>
            <w:pPr>
              <w:pStyle w:val="TableContents"/>
              <w:bidi w:val="0"/>
              <w:spacing w:lineRule="auto" w:line="256" w:before="0" w:after="0"/>
              <w:ind w:left="0" w:right="0" w:hanging="0"/>
              <w:jc w:val="left"/>
              <w:rPr>
                <w:rFonts w:cs="Times New Roman"/>
                <w:szCs w:val="2"/>
              </w:rPr>
            </w:pPr>
            <w:r>
              <w:rPr>
                <w:rFonts w:cs="Times New Roman"/>
                <w:szCs w:val="2"/>
              </w:rPr>
              <w:t>﻿</w:t>
            </w:r>
          </w:p>
        </w:tc>
        <w:tc>
          <w:tcPr>
            <w:tcW w:w="2607" w:type="dxa"/>
            <w:tcBorders/>
            <w:vAlign w:val="center"/>
          </w:tcPr>
          <w:p>
            <w:pPr>
              <w:pStyle w:val="TableContents"/>
              <w:bidi w:val="0"/>
              <w:spacing w:lineRule="auto" w:line="256" w:before="0" w:after="0"/>
              <w:ind w:left="0" w:right="0" w:hanging="0"/>
              <w:jc w:val="left"/>
              <w:rPr/>
            </w:pPr>
            <w:r>
              <w:rPr/>
              <w:t> </w:t>
            </w:r>
          </w:p>
        </w:tc>
      </w:tr>
      <w:tr>
        <w:trPr/>
        <w:tc>
          <w:tcPr>
            <w:tcW w:w="4718" w:type="dxa"/>
            <w:tcBorders>
              <w:bottom w:val="single" w:sz="12" w:space="0" w:color="000000"/>
            </w:tcBorders>
            <w:tcMar>
              <w:bottom w:w="28" w:type="dxa"/>
            </w:tcMar>
            <w:vAlign w:val="center"/>
          </w:tcPr>
          <w:p>
            <w:pPr>
              <w:pStyle w:val="TableContents"/>
              <w:bidi w:val="0"/>
              <w:spacing w:lineRule="auto" w:line="240" w:before="0" w:after="0"/>
              <w:ind w:left="0" w:right="0" w:hanging="0"/>
              <w:jc w:val="left"/>
              <w:rPr>
                <w:rFonts w:ascii="Garamond" w:hAnsi="Garamond"/>
                <w:sz w:val="22"/>
              </w:rPr>
            </w:pPr>
            <w:r>
              <w:rPr>
                <w:rFonts w:ascii="Garamond" w:hAnsi="Garamond"/>
                <w:sz w:val="22"/>
              </w:rPr>
              <w:t>Subsidiary</w:t>
            </w:r>
          </w:p>
        </w:tc>
        <w:tc>
          <w:tcPr>
            <w:tcW w:w="2607" w:type="dxa"/>
            <w:tcBorders>
              <w:bottom w:val="single" w:sz="12" w:space="0" w:color="000000"/>
            </w:tcBorders>
            <w:tcMar>
              <w:bottom w:w="28" w:type="dxa"/>
            </w:tcMar>
            <w:vAlign w:val="center"/>
          </w:tcPr>
          <w:p>
            <w:pPr>
              <w:pStyle w:val="TableContents"/>
              <w:bidi w:val="0"/>
              <w:spacing w:lineRule="auto" w:line="240" w:before="0" w:after="0"/>
              <w:ind w:left="0" w:right="0" w:hanging="0"/>
              <w:jc w:val="left"/>
              <w:rPr>
                <w:rFonts w:ascii="Garamond" w:hAnsi="Garamond"/>
                <w:sz w:val="22"/>
              </w:rPr>
            </w:pPr>
            <w:r>
              <w:rPr>
                <w:rFonts w:ascii="Garamond" w:hAnsi="Garamond"/>
                <w:sz w:val="22"/>
              </w:rPr>
              <w:t>Jurisdiction of Incorporation</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AHGP,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AHLP,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Pty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 Mosaic,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(Dallas),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 Union Market,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(Plano) LP</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Plano Beverage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Plano Holdings,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 Country Cinemas Pty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Bayou Cinemas LP</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Bogart Holdings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Burwood Developments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Carmel Theatres,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Agriculture,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Cinemas,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Cinema Services, LLC (fka Reading Malulani,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Realty,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City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Amusement Holdings,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Cinema Services,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Cinemas Kapolei,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Entertainment,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Entertainment,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Courtenay Car Park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Craig Corporation</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Darnelle Enterprises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Dimension Specialty Company,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Epping Cinemas Pty.</w:t>
            </w:r>
            <w:r>
              <w:rPr>
                <w:rFonts w:ascii="Times New Roman" w:hAnsi="Times New Roman"/>
                <w:color w:val="000000"/>
                <w:sz w:val="22"/>
              </w:rPr>
              <w:t xml:space="preserve"> </w:t>
            </w:r>
            <w:r>
              <w:rPr>
                <w:rFonts w:ascii="Garamond" w:hAnsi="Garamond"/>
                <w:color w:val="000000"/>
                <w:sz w:val="22"/>
              </w:rPr>
              <w:t>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Gaslamp Theatres,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Hope Street Hospitality,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Hotel Newmarket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Kaahumanu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Kahala Cinema Company,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KMA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Landplan Property Partners Manukau Trust</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Landplan Property Partners Discretionary Trust</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Live,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Theaters,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Theatricals,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5768"/>
        <w:gridCol w:w="1557"/>
      </w:tblGrid>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Theatres Properties,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Minetta Live,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Movieland Cinemas (NZ) Limted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 Equipment Supply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#3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No. 2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Orpheum Live,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Queenstown Land Holdings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RCPA LLC (fka Reading Company)</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RDI Employee Investment Fund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Altona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Arthouse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cs="Garamond"/>
                <w:color w:val="000000"/>
                <w:szCs w:val="22"/>
              </w:rPr>
            </w:pPr>
            <w:r>
              <w:rPr>
                <w:rFonts w:cs="Garamond"/>
                <w:color w:val="000000"/>
                <w:szCs w:val="22"/>
              </w:rPr>
              <w:t>﻿</w:t>
            </w:r>
          </w:p>
        </w:tc>
        <w:tc>
          <w:tcPr>
            <w:tcW w:w="1557" w:type="dxa"/>
            <w:tcBorders/>
            <w:vAlign w:val="center"/>
          </w:tcPr>
          <w:p>
            <w:pPr>
              <w:pStyle w:val="TableContents"/>
              <w:bidi w:val="0"/>
              <w:spacing w:lineRule="auto" w:line="240" w:before="0" w:after="0"/>
              <w:ind w:left="0" w:right="0" w:hanging="0"/>
              <w:jc w:val="left"/>
              <w:rPr/>
            </w:pPr>
            <w:r>
              <w:rPr/>
              <w:t> </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Armadale Pty Ltd (fka Reading Australia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Auburn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Belmont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Beverages (California)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Bundaberg 2012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Burwood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Busselton Pty Ltd (fka A.C.N 143 633 096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Cannon Park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Capital Corporation</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Center Development Corporation</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Charlestown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Cinemas Asset Management Pty Ltd</w:t>
            </w:r>
            <w:r>
              <w:rPr>
                <w:rFonts w:ascii="Times New Roman" w:hAnsi="Times New Roman"/>
                <w:color w:val="000000"/>
                <w:sz w:val="22"/>
              </w:rPr>
              <w:t xml:space="preserve"> </w:t>
            </w:r>
            <w:r>
              <w:rPr>
                <w:rFonts w:ascii="Garamond" w:hAnsi="Garamond"/>
                <w:color w:val="000000"/>
                <w:sz w:val="22"/>
              </w:rPr>
              <w:t xml:space="preserve">(fka Australian Equipment Supply Pty Limited) </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Auburn Pty Ltd (fka Reading Alphington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Courtenay Central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Cinemas Management Pty</w:t>
            </w:r>
            <w:r>
              <w:rPr>
                <w:rFonts w:ascii="Times New Roman" w:hAnsi="Times New Roman"/>
                <w:color w:val="000000"/>
                <w:sz w:val="22"/>
              </w:rPr>
              <w:t xml:space="preserve"> </w:t>
            </w:r>
            <w:r>
              <w:rPr>
                <w:rFonts w:ascii="Garamond" w:hAnsi="Garamond"/>
                <w:color w:val="000000"/>
                <w:sz w:val="22"/>
              </w:rPr>
              <w:t>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Management, LLC (fka US Agricultural Investors,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New Zealand Trust (fka - Landplan Property Partners Taupo Trust)</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New Zealand Trustee Limited (fka - Reading Properties Lake Taupo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NJ,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cs="Garamond"/>
                <w:color w:val="000000"/>
                <w:szCs w:val="22"/>
              </w:rPr>
            </w:pPr>
            <w:r>
              <w:rPr>
                <w:rFonts w:cs="Garamond"/>
                <w:color w:val="000000"/>
                <w:szCs w:val="22"/>
              </w:rPr>
              <w:t>﻿</w:t>
            </w:r>
          </w:p>
        </w:tc>
        <w:tc>
          <w:tcPr>
            <w:tcW w:w="1557" w:type="dxa"/>
            <w:tcBorders/>
            <w:vAlign w:val="center"/>
          </w:tcPr>
          <w:p>
            <w:pPr>
              <w:pStyle w:val="TableContents"/>
              <w:bidi w:val="0"/>
              <w:spacing w:lineRule="auto" w:line="240" w:before="0" w:after="0"/>
              <w:ind w:left="0" w:right="0" w:hanging="0"/>
              <w:jc w:val="left"/>
              <w:rPr/>
            </w:pPr>
            <w:r>
              <w:rPr/>
              <w:t> </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Puerto Rico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USA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Consolidated Holdings,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Consolidated Holdings (Hawaii),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Hawaii</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Courtenay Central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Dandenong Pty</w:t>
            </w:r>
            <w:r>
              <w:rPr>
                <w:rFonts w:ascii="Times New Roman" w:hAnsi="Times New Roman"/>
                <w:color w:val="000000"/>
                <w:sz w:val="22"/>
              </w:rPr>
              <w:t xml:space="preserve"> </w:t>
            </w:r>
            <w:r>
              <w:rPr>
                <w:rFonts w:ascii="Garamond" w:hAnsi="Garamond"/>
                <w:color w:val="000000"/>
                <w:sz w:val="22"/>
              </w:rPr>
              <w:t>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Devonport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Dunedin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5764"/>
        <w:gridCol w:w="1561"/>
      </w:tblGrid>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Elizabeth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Entertainment Australia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Exhibition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Food Services,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Holdings, Inc.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Cinemas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Services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IP,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Jindalee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Licences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Maitland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Management NZ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Melton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Murrieta Theater,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New Lynn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New Zealand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Pacific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Productions,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LLC (fka GardenWalk Cinemas,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Indooroopilly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Manukau Limited (Trustee)</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New Zealand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Property Partners No. 1 Discretionary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cs="Garamond"/>
                <w:color w:val="000000"/>
                <w:szCs w:val="22"/>
              </w:rPr>
            </w:pPr>
            <w:r>
              <w:rPr>
                <w:rFonts w:cs="Garamond"/>
                <w:color w:val="000000"/>
                <w:szCs w:val="22"/>
              </w:rPr>
              <w:t>﻿</w:t>
            </w:r>
          </w:p>
        </w:tc>
        <w:tc>
          <w:tcPr>
            <w:tcW w:w="1561" w:type="dxa"/>
            <w:tcBorders/>
            <w:vAlign w:val="center"/>
          </w:tcPr>
          <w:p>
            <w:pPr>
              <w:pStyle w:val="TableContents"/>
              <w:bidi w:val="0"/>
              <w:spacing w:lineRule="auto" w:line="240" w:before="0" w:after="0"/>
              <w:ind w:left="0" w:right="0" w:hanging="0"/>
              <w:jc w:val="left"/>
              <w:rPr/>
            </w:pPr>
            <w:r>
              <w:rPr/>
              <w:t> </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Property Holdings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Noosa Pty Ltd (fka Reading Properties Taringa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Queenstown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RREC LLC (Reading Real Estate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Restaurants NZ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Rouse Hill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Royal George,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South City Square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Sunbury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Tammany Mezz,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Tammany Owner,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Theaters, Inc.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Traralgon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Wellington Properties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Rhodes Peninsula Cinema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Rialto Cinemas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Rialto Entertainment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Ronwood Investments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Rydal Equipment Co.</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 Note Liquidation Company,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5762"/>
        <w:gridCol w:w="1563"/>
      </w:tblGrid>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Sails Apartments Management Limited</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Shadow View Land and Farming, LLC</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State Cinema Hobart Pty Ltd (fka Reading Colac Pty Ltd)</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Sutton Hill Properties, LLC</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The Theatre At Legacy L.P.</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Tobrooke Holdings Limited</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Trans-Pacific Finance Fund I, LLC</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Trenton-Princeton Traction Company</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Jersey</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Twin Cities Cinemas, Inc.</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US Development, LLC</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US International Property Finance Pty Ltd</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Washington and Franklin Railway Company</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Westlakes Cinema Pty Limited</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2"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Wilmington and Northern Railroad Company</w:t>
            </w:r>
          </w:p>
        </w:tc>
        <w:tc>
          <w:tcPr>
            <w:tcW w:w="1563"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bl>
    <w:p>
      <w:pPr>
        <w:pStyle w:val="TextBody"/>
        <w:bidi w:val="0"/>
        <w:spacing w:before="0" w:after="284"/>
        <w:ind w:left="1440" w:right="1440" w:hanging="0"/>
        <w:jc w:val="both"/>
        <w:rPr>
          <w:rFonts w:cs="Times New Roman"/>
          <w:szCs w:val="22"/>
        </w:rPr>
      </w:pPr>
      <w:r>
        <w:rPr>
          <w:rFonts w:cs="Garamond"/>
          <w:szCs w:val="22"/>
        </w:rPr>
        <w:t>﻿</w:t>
      </w:r>
      <w:r>
        <w:rPr>
          <w:rFonts w:cs="Times New Roman"/>
          <w:szCs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480"/>
        <w:ind w:left="1440" w:right="1440" w:hanging="0"/>
        <w:jc w:val="center"/>
        <w:rPr>
          <w:rFonts w:ascii="Arial Bold" w:hAnsi="Arial Bold"/>
          <w:b/>
          <w:sz w:val="20"/>
        </w:rPr>
      </w:pPr>
      <w:bookmarkStart w:id="208" w:name="rdi-20231231xex23_1.htm"/>
      <w:bookmarkStart w:id="209" w:name="ksrdi20231231xex23_1"/>
      <w:bookmarkEnd w:id="208"/>
      <w:bookmarkEnd w:id="209"/>
      <w:r>
        <w:rPr>
          <w:rFonts w:ascii="Arial Bold" w:hAnsi="Arial Bold"/>
          <w:b/>
          <w:sz w:val="20"/>
        </w:rPr>
        <w:t xml:space="preserve">CONSENT OF INDEPENDENT REGISTERED PUBLIC ACCOUNTING FIRM </w:t>
      </w:r>
      <w:r>
        <w:br w:type="page"/>
      </w:r>
    </w:p>
    <w:p>
      <w:pPr>
        <w:pStyle w:val="TextBody"/>
        <w:pBdr/>
        <w:bidi w:val="0"/>
        <w:spacing w:lineRule="auto" w:line="240" w:before="0" w:after="200"/>
        <w:ind w:left="1440" w:right="1440" w:hanging="0"/>
        <w:jc w:val="both"/>
        <w:rPr>
          <w:rFonts w:ascii="Arial" w:hAnsi="Arial"/>
          <w:sz w:val="20"/>
        </w:rPr>
      </w:pPr>
      <w:r>
        <w:rPr>
          <w:rFonts w:ascii="Arial" w:hAnsi="Arial"/>
          <w:sz w:val="20"/>
        </w:rPr>
        <w:t xml:space="preserve">We have issued our report dated March 29, 2024, with respect to the consolidated financial statements included in the Annual Report of Reading International, Inc. on Form 10-K for the year ended December 31, 2023. We consent to the incorporation by reference of said report in the Registration Statements of Reading International, Inc. on Forms S-8 (File No. 333-167101, File No. 333-225471 and File No. 333-254929). </w:t>
      </w:r>
    </w:p>
    <w:p>
      <w:pPr>
        <w:pStyle w:val="TextBody"/>
        <w:pBdr/>
        <w:bidi w:val="0"/>
        <w:spacing w:lineRule="auto" w:line="240" w:before="360" w:after="360"/>
        <w:ind w:left="1440" w:right="1440" w:hanging="0"/>
        <w:jc w:val="both"/>
        <w:rPr>
          <w:rFonts w:ascii="Arial" w:hAnsi="Arial"/>
          <w:sz w:val="20"/>
        </w:rPr>
      </w:pPr>
      <w:r>
        <w:rPr>
          <w:rFonts w:ascii="Arial" w:hAnsi="Arial"/>
          <w:sz w:val="20"/>
        </w:rPr>
        <w:t xml:space="preserve">/s/ GRANT THORNTON LLP </w:t>
      </w:r>
    </w:p>
    <w:p>
      <w:pPr>
        <w:pStyle w:val="TextBody"/>
        <w:pBdr/>
        <w:bidi w:val="0"/>
        <w:spacing w:lineRule="auto" w:line="240" w:before="0" w:after="0"/>
        <w:ind w:left="1440" w:right="1440" w:hanging="0"/>
        <w:jc w:val="both"/>
        <w:rPr>
          <w:rFonts w:ascii="Arial" w:hAnsi="Arial"/>
          <w:sz w:val="20"/>
        </w:rPr>
      </w:pPr>
      <w:r>
        <w:rPr>
          <w:rFonts w:ascii="Arial" w:hAnsi="Arial"/>
          <w:sz w:val="20"/>
        </w:rPr>
        <w:t xml:space="preserve">Los Angeles, California </w:t>
      </w:r>
    </w:p>
    <w:p>
      <w:pPr>
        <w:pStyle w:val="TextBody"/>
        <w:pBdr/>
        <w:bidi w:val="0"/>
        <w:spacing w:lineRule="auto" w:line="240" w:before="0" w:after="0"/>
        <w:ind w:left="1440" w:right="1440" w:hanging="0"/>
        <w:jc w:val="both"/>
        <w:rPr>
          <w:rFonts w:ascii="Arial" w:hAnsi="Arial"/>
          <w:sz w:val="20"/>
        </w:rPr>
      </w:pPr>
      <w:r>
        <w:rPr>
          <w:rFonts w:ascii="Arial" w:hAnsi="Arial"/>
          <w:sz w:val="20"/>
        </w:rPr>
        <w:t xml:space="preserve">March 29, 2024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20"/>
        </w:rPr>
      </w:pPr>
      <w:bookmarkStart w:id="210" w:name="rdi-20231231xex31_1.htm"/>
      <w:bookmarkStart w:id="211" w:name="ksrdi20231231xex31_1"/>
      <w:bookmarkEnd w:id="210"/>
      <w:bookmarkEnd w:id="211"/>
      <w:r>
        <w:rPr>
          <w:rFonts w:ascii="Times New Roman" w:hAnsi="Times New Roman"/>
          <w:b/>
          <w:sz w:val="20"/>
        </w:rPr>
        <w:t>EXHIBIT 31.1</w:t>
      </w:r>
      <w:r>
        <w:rPr>
          <w:rFonts w:ascii="Calibri" w:hAnsi="Calibri"/>
          <w:sz w:val="20"/>
        </w:rPr>
        <w:t xml:space="preserve"> </w:t>
      </w:r>
      <w:r>
        <w:br w:type="page"/>
      </w:r>
    </w:p>
    <w:p>
      <w:pPr>
        <w:pStyle w:val="TextBody"/>
        <w:bidi w:val="0"/>
        <w:spacing w:lineRule="auto" w:line="256" w:before="0" w:after="160"/>
        <w:ind w:left="1440" w:right="1440" w:hanging="0"/>
        <w:jc w:val="center"/>
        <w:rPr>
          <w:rFonts w:cs="Calibri"/>
          <w:szCs w:val="20"/>
        </w:rPr>
      </w:pPr>
      <w:r>
        <w:rPr>
          <w:rFonts w:cs="Times New Roman"/>
          <w:szCs w:val="20"/>
        </w:rPr>
        <w:t>﻿</w:t>
      </w:r>
      <w:r>
        <w:rPr>
          <w:rFonts w:cs="Calibri"/>
          <w:szCs w:val="20"/>
        </w:rPr>
        <w:t xml:space="preserve"> </w:t>
      </w:r>
    </w:p>
    <w:p>
      <w:pPr>
        <w:pStyle w:val="TextBody"/>
        <w:bidi w:val="0"/>
        <w:spacing w:lineRule="auto" w:line="256" w:before="0" w:after="160"/>
        <w:ind w:left="1440" w:right="1440" w:hanging="0"/>
        <w:jc w:val="center"/>
        <w:rPr>
          <w:rFonts w:ascii="Calibri" w:hAnsi="Calibri"/>
          <w:sz w:val="20"/>
        </w:rPr>
      </w:pPr>
      <w:bookmarkStart w:id="212" w:name="Certifications"/>
      <w:bookmarkEnd w:id="212"/>
      <w:r>
        <w:rPr>
          <w:rFonts w:ascii="Times New Roman" w:hAnsi="Times New Roman"/>
          <w:sz w:val="20"/>
        </w:rPr>
        <w:t>CERTIFICATION</w:t>
      </w:r>
      <w:r>
        <w:rPr>
          <w:rFonts w:ascii="Calibri" w:hAnsi="Calibri"/>
          <w:sz w:val="20"/>
        </w:rPr>
        <w:t xml:space="preserve"> </w:t>
      </w:r>
      <w:r>
        <w:rPr>
          <w:rFonts w:ascii="Times New Roman" w:hAnsi="Times New Roman"/>
          <w:sz w:val="20"/>
        </w:rPr>
        <w:t>OF PRINCIPAL EXECUTIVE OFFICER</w:t>
      </w:r>
      <w:r>
        <w:rPr>
          <w:rFonts w:ascii="Calibri" w:hAnsi="Calibri"/>
          <w:sz w:val="20"/>
        </w:rPr>
        <w:t xml:space="preserve"> </w:t>
      </w:r>
    </w:p>
    <w:p>
      <w:pPr>
        <w:pStyle w:val="TextBody"/>
        <w:bidi w:val="0"/>
        <w:spacing w:lineRule="auto" w:line="256" w:before="0" w:after="160"/>
        <w:ind w:left="1440" w:right="1440" w:hanging="0"/>
        <w:jc w:val="center"/>
        <w:rPr>
          <w:rFonts w:ascii="Calibri" w:hAnsi="Calibri"/>
          <w:sz w:val="20"/>
        </w:rPr>
      </w:pPr>
      <w:r>
        <w:rPr>
          <w:rFonts w:ascii="Times New Roman" w:hAnsi="Times New Roman"/>
          <w:sz w:val="20"/>
        </w:rPr>
        <w:t>PURSUANT TO EXCHANGE ACT RULE 13a-14(a)/15d-14(a) AS ADOPTED</w:t>
      </w:r>
      <w:r>
        <w:rPr>
          <w:rFonts w:ascii="Calibri" w:hAnsi="Calibri"/>
          <w:sz w:val="20"/>
        </w:rPr>
        <w:t xml:space="preserve"> </w:t>
      </w:r>
    </w:p>
    <w:p>
      <w:pPr>
        <w:pStyle w:val="TextBody"/>
        <w:bidi w:val="0"/>
        <w:spacing w:lineRule="auto" w:line="256" w:before="0" w:after="0"/>
        <w:ind w:left="1440" w:right="1440" w:hanging="0"/>
        <w:jc w:val="center"/>
        <w:rPr>
          <w:rFonts w:ascii="Calibri" w:hAnsi="Calibri"/>
          <w:sz w:val="20"/>
        </w:rPr>
      </w:pPr>
      <w:r>
        <w:rPr>
          <w:rFonts w:ascii="Times New Roman" w:hAnsi="Times New Roman"/>
          <w:b/>
          <w:sz w:val="20"/>
        </w:rPr>
        <w:t>PURSUANT TO SECTION 302 OF THE SARBANES-OXLEY ACT OF 2002</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sz w:val="20"/>
        </w:rPr>
        <w:t>I, Ellen M. Cotter, certify that:</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160" w:right="1440" w:hanging="0"/>
        <w:jc w:val="both"/>
        <w:rPr>
          <w:rFonts w:ascii="Calibri" w:hAnsi="Calibri"/>
          <w:sz w:val="20"/>
        </w:rPr>
      </w:pPr>
      <w:r>
        <w:rPr>
          <w:rFonts w:ascii="Times New Roman" w:hAnsi="Times New Roman"/>
          <w:sz w:val="20"/>
        </w:rPr>
        <w:t>1)I have reviewed this Annual Report on Form 10-K of Reading International, Inc.;</w:t>
      </w:r>
      <w:r>
        <w:rPr>
          <w:rFonts w:ascii="Calibri" w:hAnsi="Calibri"/>
          <w:sz w:val="20"/>
        </w:rPr>
        <w:t xml:space="preserve"> </w:t>
      </w:r>
    </w:p>
    <w:p>
      <w:pPr>
        <w:pStyle w:val="TextBody"/>
        <w:bidi w:val="0"/>
        <w:spacing w:lineRule="auto" w:line="256" w:before="0" w:after="0"/>
        <w:ind w:left="180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160" w:right="1440" w:hanging="0"/>
        <w:jc w:val="both"/>
        <w:rPr>
          <w:rFonts w:ascii="Times New Roman" w:hAnsi="Times New Roman"/>
          <w:sz w:val="20"/>
        </w:rPr>
      </w:pPr>
      <w:r>
        <w:rPr>
          <w:rFonts w:ascii="Times New Roman" w:hAnsi="Times New Roman"/>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160" w:right="1440" w:hanging="0"/>
        <w:jc w:val="both"/>
        <w:rPr>
          <w:rFonts w:ascii="Times New Roman" w:hAnsi="Times New Roman"/>
          <w:sz w:val="20"/>
        </w:rPr>
      </w:pPr>
      <w:r>
        <w:rPr>
          <w:rFonts w:ascii="Times New Roman" w:hAnsi="Times New Roman"/>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160" w:right="1440" w:hanging="0"/>
        <w:jc w:val="both"/>
        <w:rPr>
          <w:rFonts w:ascii="Calibri" w:hAnsi="Calibri"/>
          <w:sz w:val="20"/>
        </w:rPr>
      </w:pPr>
      <w:r>
        <w:rPr>
          <w:rFonts w:ascii="Times New Roman" w:hAnsi="Times New Roman"/>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Calibri" w:hAnsi="Calibri"/>
          <w:sz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Calibri" w:hAnsi="Calibri"/>
          <w:sz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Calibri" w:hAnsi="Calibri"/>
          <w:sz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160" w:right="1440" w:hanging="0"/>
        <w:jc w:val="both"/>
        <w:rPr>
          <w:rFonts w:ascii="Calibri" w:hAnsi="Calibri"/>
          <w:sz w:val="20"/>
        </w:rPr>
      </w:pPr>
      <w:r>
        <w:rPr>
          <w:rFonts w:ascii="Times New Roman" w:hAnsi="Times New Roman"/>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Calibri" w:hAnsi="Calibri"/>
          <w:sz w:val="20"/>
        </w:rPr>
        <w:t xml:space="preserve"> </w:t>
      </w:r>
    </w:p>
    <w:p>
      <w:pPr>
        <w:pStyle w:val="TextBody"/>
        <w:bidi w:val="0"/>
        <w:spacing w:lineRule="auto" w:line="256" w:before="0" w:after="0"/>
        <w:ind w:left="180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Calibri" w:hAnsi="Calibri"/>
          <w:sz w:val="20"/>
        </w:rPr>
        <w:t xml:space="preserve"> </w:t>
      </w:r>
    </w:p>
    <w:p>
      <w:pPr>
        <w:pStyle w:val="TextBody"/>
        <w:bidi w:val="0"/>
        <w:spacing w:lineRule="auto" w:line="256" w:before="0" w:after="0"/>
        <w:ind w:left="2880" w:right="1440" w:hanging="0"/>
        <w:jc w:val="both"/>
        <w:rPr>
          <w:rFonts w:ascii="Calibri" w:hAnsi="Calibri"/>
          <w:sz w:val="20"/>
        </w:rPr>
      </w:pPr>
      <w:r>
        <w:rPr>
          <w:rFonts w:ascii="Times New Roman" w:hAnsi="Times New Roman"/>
          <w:sz w:val="20"/>
        </w:rPr>
        <w:t>b)any fraud, whether or not material, that involves management or other employees who have a significant role in the registrant's internal control over financial reporting.</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lineRule="auto" w:line="256" w:before="0" w:after="0"/>
        <w:ind w:left="1440" w:right="1440" w:hanging="0"/>
        <w:jc w:val="both"/>
        <w:rPr>
          <w:rFonts w:ascii="Calibri" w:hAnsi="Calibri"/>
          <w:sz w:val="20"/>
        </w:rPr>
      </w:pPr>
      <w:r>
        <w:rPr>
          <w:rFonts w:ascii="Times New Roman" w:hAnsi="Times New Roman"/>
          <w:sz w:val="20"/>
        </w:rPr>
        <w:t>By:         </w:t>
      </w:r>
      <w:r>
        <w:rPr>
          <w:rFonts w:ascii="Times New Roman" w:hAnsi="Times New Roman"/>
          <w:sz w:val="20"/>
          <w:u w:val="single"/>
        </w:rPr>
        <w:t>/s/ Ellen M. Cotter</w:t>
      </w:r>
      <w:r>
        <w:rPr>
          <w:rFonts w:ascii="Calibri" w:hAnsi="Calibri"/>
          <w:sz w:val="20"/>
        </w:rPr>
        <w:t xml:space="preserve">  </w:t>
      </w:r>
    </w:p>
    <w:p>
      <w:pPr>
        <w:pStyle w:val="TextBody"/>
        <w:bidi w:val="0"/>
        <w:spacing w:lineRule="auto" w:line="256" w:before="0" w:after="0"/>
        <w:ind w:left="1440" w:right="1440" w:firstLine="720"/>
        <w:jc w:val="both"/>
        <w:rPr>
          <w:rFonts w:ascii="Calibri" w:hAnsi="Calibri"/>
          <w:sz w:val="20"/>
        </w:rPr>
      </w:pPr>
      <w:r>
        <w:rPr>
          <w:rFonts w:ascii="Times New Roman" w:hAnsi="Times New Roman"/>
          <w:sz w:val="20"/>
        </w:rPr>
        <w:t>Ellen M. Cotter</w:t>
      </w:r>
      <w:r>
        <w:rPr>
          <w:rFonts w:ascii="Calibri" w:hAnsi="Calibri"/>
          <w:sz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sz w:val="20"/>
        </w:rPr>
        <w:t>President and Chief Executive Officer</w:t>
      </w:r>
      <w:r>
        <w:rPr>
          <w:rFonts w:ascii="Calibri" w:hAnsi="Calibri"/>
          <w:sz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sz w:val="20"/>
        </w:rPr>
        <w:t>March</w:t>
      </w:r>
      <w:r>
        <w:rPr>
          <w:rFonts w:ascii="Calibri" w:hAnsi="Calibri"/>
          <w:sz w:val="20"/>
        </w:rPr>
        <w:t> </w:t>
      </w:r>
      <w:r>
        <w:rPr>
          <w:rFonts w:ascii="Times New Roman" w:hAnsi="Times New Roman"/>
          <w:sz w:val="20"/>
        </w:rPr>
        <w:t>29, 2024</w:t>
      </w:r>
      <w:r>
        <w:rPr>
          <w:rFonts w:ascii="Calibri" w:hAnsi="Calibri"/>
          <w:sz w:val="20"/>
        </w:rPr>
        <w:t xml:space="preserve"> </w:t>
      </w:r>
    </w:p>
    <w:p>
      <w:pPr>
        <w:pStyle w:val="TextBody"/>
        <w:bidi w:val="0"/>
        <w:spacing w:lineRule="auto" w:line="256" w:before="0" w:after="160"/>
        <w:ind w:left="1440" w:right="1440" w:hanging="0"/>
        <w:jc w:val="left"/>
        <w:rPr>
          <w:rFonts w:cs="Calibri"/>
          <w:szCs w:val="20"/>
        </w:rPr>
      </w:pPr>
      <w:r>
        <w:rPr>
          <w:rFonts w:cs="Times New Roman"/>
          <w:szCs w:val="20"/>
        </w:rPr>
        <w:t>﻿</w:t>
      </w: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213" w:name="rdi-20231231xex31_2.htm"/>
      <w:bookmarkStart w:id="214" w:name="ksrdi20231231xex31_2"/>
      <w:bookmarkEnd w:id="213"/>
      <w:bookmarkEnd w:id="214"/>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 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SECTION 302 OF THE SARBANES-OXLEY ACT OF 2002</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I, Gilbert Avanes, certify that:</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160" w:right="1440" w:hanging="0"/>
        <w:jc w:val="both"/>
        <w:rPr>
          <w:rFonts w:ascii="Calibri" w:hAnsi="Calibri"/>
          <w:sz w:val="20"/>
        </w:rPr>
      </w:pPr>
      <w:r>
        <w:rPr>
          <w:rFonts w:ascii="Times New Roman" w:hAnsi="Times New Roman"/>
          <w:sz w:val="20"/>
        </w:rPr>
        <w:t>1)I have reviewed this Annual Report on Form 10-K of Reading International, Inc.;</w:t>
      </w:r>
      <w:r>
        <w:rPr>
          <w:rFonts w:ascii="Calibri" w:hAnsi="Calibri"/>
          <w:sz w:val="20"/>
        </w:rPr>
        <w:t xml:space="preserve"> </w:t>
      </w:r>
    </w:p>
    <w:p>
      <w:pPr>
        <w:pStyle w:val="TextBody"/>
        <w:bidi w:val="0"/>
        <w:spacing w:lineRule="auto" w:line="240" w:before="0" w:after="0"/>
        <w:ind w:left="180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160" w:right="1440" w:hanging="0"/>
        <w:jc w:val="both"/>
        <w:rPr>
          <w:rFonts w:ascii="Times New Roman" w:hAnsi="Times New Roman"/>
          <w:sz w:val="20"/>
        </w:rPr>
      </w:pPr>
      <w:r>
        <w:rPr>
          <w:rFonts w:ascii="Times New Roman" w:hAnsi="Times New Roman"/>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160" w:right="1440" w:hanging="0"/>
        <w:jc w:val="both"/>
        <w:rPr>
          <w:rFonts w:ascii="Times New Roman" w:hAnsi="Times New Roman"/>
          <w:sz w:val="20"/>
        </w:rPr>
      </w:pPr>
      <w:r>
        <w:rPr>
          <w:rFonts w:ascii="Times New Roman" w:hAnsi="Times New Roman"/>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160" w:right="1440" w:hanging="0"/>
        <w:jc w:val="both"/>
        <w:rPr>
          <w:rFonts w:ascii="Calibri" w:hAnsi="Calibri"/>
          <w:sz w:val="20"/>
        </w:rPr>
      </w:pPr>
      <w:r>
        <w:rPr>
          <w:rFonts w:ascii="Times New Roman" w:hAnsi="Times New Roman"/>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Calibri" w:hAnsi="Calibri"/>
          <w:sz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Calibri" w:hAnsi="Calibri"/>
          <w:sz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Calibri" w:hAnsi="Calibri"/>
          <w:sz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r>
        <w:rPr>
          <w:rFonts w:ascii="Calibri" w:hAnsi="Calibri"/>
          <w:sz w:val="20"/>
        </w:rPr>
        <w:t xml:space="preserve"> </w:t>
      </w:r>
    </w:p>
    <w:p>
      <w:pPr>
        <w:pStyle w:val="TextBody"/>
        <w:bidi w:val="0"/>
        <w:spacing w:lineRule="auto" w:line="240" w:before="0" w:after="0"/>
        <w:ind w:left="2880" w:right="1440" w:hanging="36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160" w:right="1440" w:hanging="0"/>
        <w:jc w:val="both"/>
        <w:rPr>
          <w:rFonts w:ascii="Calibri" w:hAnsi="Calibri"/>
          <w:sz w:val="20"/>
        </w:rPr>
      </w:pPr>
      <w:r>
        <w:rPr>
          <w:rFonts w:ascii="Times New Roman" w:hAnsi="Times New Roman"/>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Calibri" w:hAnsi="Calibri"/>
          <w:sz w:val="20"/>
        </w:rPr>
        <w:t xml:space="preserve"> </w:t>
      </w:r>
    </w:p>
    <w:p>
      <w:pPr>
        <w:pStyle w:val="TextBody"/>
        <w:bidi w:val="0"/>
        <w:spacing w:lineRule="auto" w:line="240" w:before="0" w:after="0"/>
        <w:ind w:left="180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Calibri" w:hAnsi="Calibri"/>
          <w:sz w:val="20"/>
        </w:rPr>
        <w:t xml:space="preserve"> </w:t>
      </w:r>
    </w:p>
    <w:p>
      <w:pPr>
        <w:pStyle w:val="TextBody"/>
        <w:bidi w:val="0"/>
        <w:spacing w:lineRule="auto" w:line="240" w:before="0" w:after="0"/>
        <w:ind w:left="2880" w:right="1440" w:hanging="0"/>
        <w:jc w:val="both"/>
        <w:rPr>
          <w:rFonts w:ascii="Calibri" w:hAnsi="Calibri"/>
          <w:sz w:val="20"/>
        </w:rPr>
      </w:pPr>
      <w:r>
        <w:rPr>
          <w:rFonts w:ascii="Times New Roman" w:hAnsi="Times New Roman"/>
          <w:sz w:val="20"/>
        </w:rPr>
        <w:t>b)any fraud, whether or not material, that involves management or other employees who have a significant role in the registrant's internal control over financial reporting.</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By:         </w:t>
      </w:r>
      <w:r>
        <w:rPr>
          <w:rFonts w:ascii="Times New Roman" w:hAnsi="Times New Roman"/>
          <w:sz w:val="20"/>
          <w:u w:val="single"/>
        </w:rPr>
        <w:t>/s/ Gilbert Avanes</w:t>
      </w:r>
      <w:r>
        <w:rPr>
          <w:rFonts w:ascii="Calibri" w:hAnsi="Calibri"/>
          <w:sz w:val="20"/>
        </w:rPr>
        <w:t xml:space="preserve"> </w:t>
      </w:r>
    </w:p>
    <w:p>
      <w:pPr>
        <w:pStyle w:val="TextBody"/>
        <w:bidi w:val="0"/>
        <w:spacing w:lineRule="auto" w:line="240" w:before="0" w:after="0"/>
        <w:ind w:left="1440" w:right="1440" w:firstLine="720"/>
        <w:jc w:val="both"/>
        <w:rPr>
          <w:rFonts w:ascii="Calibri" w:hAnsi="Calibri"/>
          <w:sz w:val="20"/>
        </w:rPr>
      </w:pPr>
      <w:r>
        <w:rPr>
          <w:rFonts w:ascii="Times New Roman" w:hAnsi="Times New Roman"/>
          <w:sz w:val="20"/>
        </w:rPr>
        <w:t>Gilbert Avanes</w:t>
      </w:r>
      <w:r>
        <w:rPr>
          <w:rFonts w:ascii="Calibri" w:hAnsi="Calibri"/>
          <w:sz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Executive Vice President, Chief Financial Officer and Treasurer</w:t>
      </w:r>
      <w:r>
        <w:rPr>
          <w:rFonts w:ascii="Calibri" w:hAnsi="Calibri"/>
          <w:sz w:val="20"/>
        </w:rPr>
        <w:t xml:space="preserve"> </w:t>
      </w:r>
    </w:p>
    <w:p>
      <w:pPr>
        <w:pStyle w:val="TextBody"/>
        <w:bidi w:val="0"/>
        <w:spacing w:lineRule="auto" w:line="240" w:before="0" w:after="0"/>
        <w:ind w:left="1440" w:right="1440" w:firstLine="720"/>
        <w:jc w:val="both"/>
        <w:rPr>
          <w:rFonts w:ascii="Calibri" w:hAnsi="Calibri"/>
          <w:sz w:val="20"/>
        </w:rPr>
      </w:pPr>
      <w:r>
        <w:rPr>
          <w:rFonts w:ascii="Times New Roman" w:hAnsi="Times New Roman"/>
          <w:sz w:val="20"/>
        </w:rPr>
        <w:t>March</w:t>
      </w:r>
      <w:r>
        <w:rPr>
          <w:rFonts w:ascii="Calibri" w:hAnsi="Calibri"/>
          <w:sz w:val="20"/>
        </w:rPr>
        <w:t> </w:t>
      </w:r>
      <w:r>
        <w:rPr>
          <w:rFonts w:ascii="Times New Roman" w:hAnsi="Times New Roman"/>
          <w:sz w:val="20"/>
        </w:rPr>
        <w:t>29, 2024</w:t>
      </w:r>
      <w:r>
        <w:rPr>
          <w:rFonts w:ascii="Calibri" w:hAnsi="Calibri"/>
          <w:sz w:val="20"/>
        </w:rPr>
        <w:t xml:space="preserve"> </w:t>
      </w:r>
    </w:p>
    <w:p>
      <w:pPr>
        <w:pStyle w:val="TextBody"/>
        <w:bidi w:val="0"/>
        <w:spacing w:lineRule="auto" w:line="240" w:before="0" w:after="0"/>
        <w:ind w:left="1440" w:right="1440" w:hanging="0"/>
        <w:jc w:val="center"/>
        <w:rPr>
          <w:rFonts w:cs="Calibri"/>
          <w:szCs w:val="20"/>
        </w:rPr>
      </w:pP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0"/>
        <w:ind w:left="1440" w:right="1440" w:hanging="0"/>
        <w:jc w:val="right"/>
        <w:rPr>
          <w:rFonts w:ascii="Calibri" w:hAnsi="Calibri"/>
          <w:sz w:val="18"/>
        </w:rPr>
      </w:pPr>
      <w:bookmarkStart w:id="215" w:name="rdi-20231231xex32_1.htm"/>
      <w:bookmarkStart w:id="216" w:name="ksrdi20231231xex32_1"/>
      <w:bookmarkEnd w:id="215"/>
      <w:bookmarkEnd w:id="216"/>
      <w:r>
        <w:rPr>
          <w:rFonts w:ascii="Times New Roman" w:hAnsi="Times New Roman"/>
          <w:sz w:val="18"/>
        </w:rPr>
        <w:t>EXHIBIT 32.1</w:t>
      </w:r>
      <w:r>
        <w:rPr>
          <w:rFonts w:ascii="Calibri" w:hAnsi="Calibri"/>
          <w:sz w:val="18"/>
        </w:rPr>
        <w:t xml:space="preserve"> </w:t>
      </w:r>
      <w:r>
        <w:br w:type="page"/>
      </w:r>
    </w:p>
    <w:p>
      <w:pPr>
        <w:pStyle w:val="TextBody"/>
        <w:bidi w:val="0"/>
        <w:spacing w:lineRule="auto" w:line="256" w:before="0" w:after="0"/>
        <w:ind w:left="1440" w:right="1440" w:hanging="0"/>
        <w:jc w:val="left"/>
        <w:rPr>
          <w:rFonts w:cs="Calibri"/>
          <w:szCs w:val="22"/>
        </w:rPr>
      </w:pPr>
      <w:r>
        <w:rPr>
          <w:rFonts w:cs="Times New Roman"/>
          <w:bCs/>
          <w:cap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sz w:val="20"/>
        </w:rPr>
        <w:t>CERTIFICATION OF PRINCIPAL EXECUTIVE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sz w:val="20"/>
        </w:rPr>
        <w:t>PURSUANT TO</w:t>
      </w:r>
      <w:r>
        <w:rPr>
          <w:rFonts w:ascii="Calibri" w:hAnsi="Calibri"/>
          <w:sz w:val="20"/>
        </w:rPr>
        <w:br/>
      </w:r>
      <w:r>
        <w:rPr>
          <w:rFonts w:ascii="Times New Roman" w:hAnsi="Times New Roman"/>
          <w:sz w:val="20"/>
        </w:rPr>
        <w:t xml:space="preserve">18 U.S.C.  SECTION 1350, </w:t>
      </w:r>
      <w:r>
        <w:rPr>
          <w:rFonts w:ascii="Calibri" w:hAnsi="Calibri"/>
          <w:sz w:val="20"/>
        </w:rPr>
        <w:br/>
      </w:r>
      <w:r>
        <w:rPr>
          <w:rFonts w:ascii="Times New Roman" w:hAnsi="Times New Roman"/>
          <w:sz w:val="20"/>
        </w:rPr>
        <w:t>AS ADOPTED PURSUANT TO</w:t>
      </w:r>
      <w:r>
        <w:rPr>
          <w:rFonts w:ascii="Calibri" w:hAnsi="Calibri"/>
          <w:sz w:val="20"/>
        </w:rPr>
        <w:br/>
      </w:r>
      <w:r>
        <w:rPr>
          <w:rFonts w:ascii="Times New Roman" w:hAnsi="Times New Roman"/>
          <w:sz w:val="20"/>
        </w:rPr>
        <w:t>SECTION 906 OF THE SARBANES-OXLEY ACT OF 2002</w:t>
      </w:r>
      <w:r>
        <w:rPr>
          <w:rFonts w:ascii="Calibri" w:hAnsi="Calibri"/>
          <w:sz w:val="20"/>
        </w:rPr>
        <w:t xml:space="preserve"> </w:t>
      </w:r>
    </w:p>
    <w:p>
      <w:pPr>
        <w:pStyle w:val="TextBody"/>
        <w:bidi w:val="0"/>
        <w:spacing w:lineRule="auto" w:line="240" w:before="0" w:after="0"/>
        <w:ind w:left="1440" w:right="1440" w:hanging="0"/>
        <w:jc w:val="left"/>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left"/>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Ellen M. Cotter, Chief Executive Officer of Reading International, Inc. (the “Company”), pursuant to 18 U.S.C. Section 1350, as adopted pursuant to Section 906 of the Sarbanes-Oxley Act of 2002, does hereby certify, that, to her knowledge:</w:t>
      </w:r>
      <w:r>
        <w:rPr>
          <w:rFonts w:ascii="Calibri" w:hAnsi="Calibri"/>
          <w:sz w:val="20"/>
        </w:rPr>
        <w:t xml:space="preserve"> </w:t>
      </w:r>
    </w:p>
    <w:p>
      <w:pPr>
        <w:pStyle w:val="TextBody"/>
        <w:bidi w:val="0"/>
        <w:spacing w:lineRule="auto" w:line="240" w:before="0" w:after="0"/>
        <w:ind w:left="1440" w:right="1440" w:firstLine="72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200"/>
        <w:ind w:left="2160" w:right="1440" w:hanging="0"/>
        <w:jc w:val="left"/>
        <w:rPr/>
      </w:pPr>
      <w:r>
        <w:rPr/>
        <w:t></w:t>
      </w:r>
      <w:r>
        <w:rPr>
          <w:rFonts w:ascii="Times New Roman" w:hAnsi="Times New Roman"/>
          <w:sz w:val="20"/>
        </w:rPr>
        <w:t>The Annual Report on Form 10-K for the period ended December 31, 2023 (the "Report") of the Company fully complies with the requirements of Section 13(a) or 15(d), as applicable, of the Securities Exchange Act of 1934; and</w:t>
      </w:r>
      <w:r>
        <w:rPr>
          <w:rFonts w:ascii="Calibri" w:hAnsi="Calibri"/>
          <w:sz w:val="20"/>
        </w:rPr>
        <w:t xml:space="preserve"> </w:t>
      </w:r>
    </w:p>
    <w:p>
      <w:pPr>
        <w:pStyle w:val="TextBody"/>
        <w:bidi w:val="0"/>
        <w:spacing w:lineRule="auto" w:line="240" w:before="0" w:after="200"/>
        <w:ind w:left="2160" w:right="1440" w:hanging="0"/>
        <w:jc w:val="left"/>
        <w:rPr/>
      </w:pPr>
      <w:r>
        <w:rPr/>
        <w:t></w:t>
      </w:r>
      <w:r>
        <w:rPr>
          <w:rFonts w:ascii="Times New Roman" w:hAnsi="Times New Roman"/>
          <w:sz w:val="20"/>
        </w:rPr>
        <w:t>The information contained in the Report fairly presents, in all material respects, the financial condition and results of operations of the Company.</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Dated:  March</w:t>
      </w:r>
      <w:r>
        <w:rPr>
          <w:rFonts w:ascii="Calibri" w:hAnsi="Calibri"/>
          <w:sz w:val="20"/>
        </w:rPr>
        <w:t> </w:t>
      </w:r>
      <w:r>
        <w:rPr>
          <w:rFonts w:ascii="Times New Roman" w:hAnsi="Times New Roman"/>
          <w:sz w:val="20"/>
        </w:rPr>
        <w:t>29, 2024</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u w:val="single"/>
        </w:rPr>
        <w:t>/s/ Ellen M. Cotter</w:t>
      </w:r>
      <w:r>
        <w:rPr>
          <w:rFonts w:ascii="Calibri" w:hAnsi="Calibri"/>
          <w:sz w:val="20"/>
        </w:rPr>
        <w:t xml:space="preserve"> </w:t>
      </w:r>
    </w:p>
    <w:p>
      <w:pPr>
        <w:pStyle w:val="TextBody"/>
        <w:bidi w:val="0"/>
        <w:spacing w:lineRule="auto" w:line="254" w:before="0" w:after="0"/>
        <w:ind w:left="1440" w:right="1440" w:hanging="0"/>
        <w:jc w:val="left"/>
        <w:rPr>
          <w:rFonts w:ascii="Calibri" w:hAnsi="Calibri"/>
          <w:sz w:val="20"/>
        </w:rPr>
      </w:pPr>
      <w:r>
        <w:rPr>
          <w:rFonts w:ascii="Times New Roman" w:hAnsi="Times New Roman"/>
          <w:sz w:val="20"/>
        </w:rPr>
        <w:t>Name:Ellen M. Cotter</w:t>
      </w:r>
      <w:r>
        <w:rPr>
          <w:rFonts w:ascii="Calibri" w:hAnsi="Calibri"/>
          <w:sz w:val="20"/>
        </w:rPr>
        <w:t xml:space="preserve"> </w:t>
      </w:r>
    </w:p>
    <w:p>
      <w:pPr>
        <w:pStyle w:val="TextBody"/>
        <w:bidi w:val="0"/>
        <w:spacing w:lineRule="auto" w:line="254" w:before="0" w:after="0"/>
        <w:ind w:left="1440" w:right="1440" w:hanging="0"/>
        <w:jc w:val="left"/>
        <w:rPr>
          <w:rFonts w:ascii="Calibri" w:hAnsi="Calibri"/>
          <w:sz w:val="20"/>
        </w:rPr>
      </w:pPr>
      <w:r>
        <w:rPr>
          <w:rFonts w:ascii="Times New Roman" w:hAnsi="Times New Roman"/>
          <w:sz w:val="20"/>
        </w:rPr>
        <w:t>Title:President and Chief Executive Officer</w:t>
      </w:r>
      <w:r>
        <w:rPr>
          <w:rFonts w:ascii="Calibri" w:hAnsi="Calibri"/>
          <w:sz w:val="20"/>
        </w:rPr>
        <w:t xml:space="preserve"> </w:t>
      </w:r>
    </w:p>
    <w:p>
      <w:pPr>
        <w:pStyle w:val="TextBody"/>
        <w:bidi w:val="0"/>
        <w:spacing w:lineRule="auto" w:line="256" w:before="0" w:after="160"/>
        <w:ind w:left="1440" w:right="1440" w:hanging="0"/>
        <w:jc w:val="left"/>
        <w:rPr>
          <w:rFonts w:cs="Calibri"/>
          <w:szCs w:val="20"/>
        </w:rPr>
      </w:pPr>
      <w:r>
        <w:rPr>
          <w:rFonts w:cs="Times New Roman"/>
          <w:szCs w:val="20"/>
        </w:rPr>
        <w:t>﻿</w:t>
      </w: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0"/>
        <w:ind w:left="1440" w:right="1440" w:hanging="0"/>
        <w:jc w:val="right"/>
        <w:rPr>
          <w:rFonts w:ascii="Calibri" w:hAnsi="Calibri"/>
          <w:sz w:val="18"/>
        </w:rPr>
      </w:pPr>
      <w:bookmarkStart w:id="217" w:name="rdi-20231231xex32_2.htm"/>
      <w:bookmarkStart w:id="218" w:name="ksrdi20231231xex32_2"/>
      <w:bookmarkEnd w:id="217"/>
      <w:bookmarkEnd w:id="218"/>
      <w:r>
        <w:rPr>
          <w:rFonts w:ascii="Times New Roman" w:hAnsi="Times New Roman"/>
          <w:sz w:val="18"/>
        </w:rPr>
        <w:t>EXHIBIT 32.2</w:t>
      </w:r>
      <w:r>
        <w:rPr>
          <w:rFonts w:ascii="Calibri" w:hAnsi="Calibri"/>
          <w:sz w:val="18"/>
        </w:rPr>
        <w:t xml:space="preserve"> </w:t>
      </w:r>
      <w:r>
        <w:br w:type="page"/>
      </w:r>
    </w:p>
    <w:p>
      <w:pPr>
        <w:pStyle w:val="TextBody"/>
        <w:bidi w:val="0"/>
        <w:spacing w:lineRule="auto" w:line="256" w:before="0" w:after="0"/>
        <w:ind w:left="1440" w:right="1440" w:hanging="0"/>
        <w:jc w:val="left"/>
        <w:rPr>
          <w:rFonts w:cs="Calibri"/>
          <w:szCs w:val="22"/>
        </w:rPr>
      </w:pPr>
      <w:r>
        <w:rPr>
          <w:rFonts w:cs="Times New Roman"/>
          <w:bCs/>
          <w:caps/>
          <w:szCs w:val="22"/>
        </w:rPr>
        <w:t>﻿</w:t>
      </w:r>
      <w:r>
        <w:rPr>
          <w:rFonts w:cs="Calibri"/>
          <w:szCs w:val="22"/>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sz w:val="20"/>
        </w:rPr>
        <w:t xml:space="preserve">CERTIFICATION OF PRINCIPAL FINANCIAL OFFICER </w:t>
      </w:r>
    </w:p>
    <w:p>
      <w:pPr>
        <w:pStyle w:val="TextBody"/>
        <w:bidi w:val="0"/>
        <w:spacing w:lineRule="auto" w:line="240" w:before="0" w:after="0"/>
        <w:ind w:left="1440" w:right="1440" w:hanging="0"/>
        <w:jc w:val="center"/>
        <w:rPr>
          <w:rFonts w:ascii="Calibri" w:hAnsi="Calibri"/>
          <w:sz w:val="20"/>
        </w:rPr>
      </w:pPr>
      <w:r>
        <w:rPr>
          <w:rFonts w:ascii="Times New Roman" w:hAnsi="Times New Roman"/>
          <w:sz w:val="20"/>
        </w:rPr>
        <w:t>PURSUANT TO</w:t>
      </w:r>
      <w:r>
        <w:rPr>
          <w:rFonts w:ascii="Calibri" w:hAnsi="Calibri"/>
          <w:sz w:val="20"/>
        </w:rPr>
        <w:br/>
      </w:r>
      <w:r>
        <w:rPr>
          <w:rFonts w:ascii="Times New Roman" w:hAnsi="Times New Roman"/>
          <w:sz w:val="20"/>
        </w:rPr>
        <w:t xml:space="preserve">18 U.S.C.  SECTION 1350, </w:t>
      </w:r>
      <w:r>
        <w:rPr>
          <w:rFonts w:ascii="Calibri" w:hAnsi="Calibri"/>
          <w:sz w:val="20"/>
        </w:rPr>
        <w:br/>
      </w:r>
      <w:r>
        <w:rPr>
          <w:rFonts w:ascii="Times New Roman" w:hAnsi="Times New Roman"/>
          <w:sz w:val="20"/>
        </w:rPr>
        <w:t>AS ADOPTED PURSUANT TO</w:t>
      </w:r>
      <w:r>
        <w:rPr>
          <w:rFonts w:ascii="Calibri" w:hAnsi="Calibri"/>
          <w:sz w:val="20"/>
        </w:rPr>
        <w:br/>
      </w:r>
      <w:r>
        <w:rPr>
          <w:rFonts w:ascii="Times New Roman" w:hAnsi="Times New Roman"/>
          <w:sz w:val="20"/>
        </w:rPr>
        <w:t>SECTION 906 OF THE SARBANES-OXLEY ACT OF 2002</w:t>
      </w:r>
      <w:r>
        <w:rPr>
          <w:rFonts w:ascii="Calibri" w:hAnsi="Calibri"/>
          <w:sz w:val="20"/>
        </w:rPr>
        <w:t xml:space="preserve"> </w:t>
      </w:r>
    </w:p>
    <w:p>
      <w:pPr>
        <w:pStyle w:val="TextBody"/>
        <w:bidi w:val="0"/>
        <w:spacing w:lineRule="auto" w:line="240" w:before="0" w:after="0"/>
        <w:ind w:left="1440" w:right="1440" w:hanging="0"/>
        <w:jc w:val="left"/>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left"/>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Gilbert Avanes, Chief Financial Officer, of Reading International, Inc. (the “Company”), pursuant to 18 U.S.C. Section 1350, as adopted pursuant to Section 906 of the Sarbanes-Oxley Act of 2002, does hereby certify, that, to his knowledge:</w:t>
      </w:r>
      <w:r>
        <w:rPr>
          <w:rFonts w:ascii="Calibri" w:hAnsi="Calibri"/>
          <w:sz w:val="20"/>
        </w:rPr>
        <w:t xml:space="preserve"> </w:t>
      </w:r>
    </w:p>
    <w:p>
      <w:pPr>
        <w:pStyle w:val="TextBody"/>
        <w:bidi w:val="0"/>
        <w:spacing w:lineRule="auto" w:line="240" w:before="0" w:after="0"/>
        <w:ind w:left="1440" w:right="1440" w:firstLine="72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200"/>
        <w:ind w:left="2160" w:right="1440" w:hanging="0"/>
        <w:jc w:val="left"/>
        <w:rPr/>
      </w:pPr>
      <w:r>
        <w:rPr/>
        <w:t></w:t>
      </w:r>
      <w:r>
        <w:rPr>
          <w:rFonts w:ascii="Times New Roman" w:hAnsi="Times New Roman"/>
          <w:sz w:val="20"/>
        </w:rPr>
        <w:t>The Annual Report on Form 10-K for the period ended December 31, 2023 (the "Report") of the Company fully complies with the requirements of Section 13(a) or 15(d), as applicable, of the Securities Exchange Act of 1934; and</w:t>
      </w:r>
      <w:r>
        <w:rPr>
          <w:rFonts w:ascii="Calibri" w:hAnsi="Calibri"/>
          <w:sz w:val="20"/>
        </w:rPr>
        <w:t xml:space="preserve"> </w:t>
      </w:r>
    </w:p>
    <w:p>
      <w:pPr>
        <w:pStyle w:val="TextBody"/>
        <w:bidi w:val="0"/>
        <w:spacing w:lineRule="auto" w:line="240" w:before="0" w:after="200"/>
        <w:ind w:left="2160" w:right="1440" w:hanging="0"/>
        <w:jc w:val="left"/>
        <w:rPr/>
      </w:pPr>
      <w:r>
        <w:rPr/>
        <w:t></w:t>
      </w:r>
      <w:r>
        <w:rPr>
          <w:rFonts w:ascii="Times New Roman" w:hAnsi="Times New Roman"/>
          <w:sz w:val="20"/>
        </w:rPr>
        <w:t>The information contained in the Report fairly presents, in all material respects, the financial condition and results of operations of the Company.</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Dated:  March</w:t>
      </w:r>
      <w:r>
        <w:rPr>
          <w:rFonts w:ascii="Calibri" w:hAnsi="Calibri"/>
          <w:sz w:val="20"/>
        </w:rPr>
        <w:t> </w:t>
      </w:r>
      <w:r>
        <w:rPr>
          <w:rFonts w:ascii="Times New Roman" w:hAnsi="Times New Roman"/>
          <w:sz w:val="20"/>
        </w:rPr>
        <w:t>29, 2024</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cs="Calibri"/>
          <w:szCs w:val="20"/>
        </w:rPr>
      </w:pPr>
      <w:r>
        <w:rPr>
          <w:rFonts w:cs="Times New Roman"/>
          <w:szCs w:val="20"/>
          <w:u w:val="single"/>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u w:val="single"/>
        </w:rPr>
        <w:t>/s/ Gilbert Avanes</w:t>
      </w:r>
      <w:r>
        <w:rPr>
          <w:rFonts w:ascii="Calibri" w:hAnsi="Calibri"/>
          <w:sz w:val="20"/>
        </w:rPr>
        <w:t xml:space="preserve"> </w:t>
      </w:r>
    </w:p>
    <w:p>
      <w:pPr>
        <w:pStyle w:val="TextBody"/>
        <w:bidi w:val="0"/>
        <w:spacing w:lineRule="auto" w:line="254" w:before="0" w:after="0"/>
        <w:ind w:left="1440" w:right="1440" w:hanging="0"/>
        <w:jc w:val="left"/>
        <w:rPr>
          <w:rFonts w:ascii="Calibri" w:hAnsi="Calibri"/>
          <w:sz w:val="20"/>
        </w:rPr>
      </w:pPr>
      <w:r>
        <w:rPr>
          <w:rFonts w:ascii="Times New Roman" w:hAnsi="Times New Roman"/>
          <w:sz w:val="20"/>
        </w:rPr>
        <w:t>Name:Gilbert Avanes</w:t>
      </w:r>
      <w:r>
        <w:rPr>
          <w:rFonts w:ascii="Calibri" w:hAnsi="Calibri"/>
          <w:sz w:val="20"/>
        </w:rPr>
        <w:t xml:space="preserve"> </w:t>
      </w:r>
    </w:p>
    <w:p>
      <w:pPr>
        <w:pStyle w:val="TextBody"/>
        <w:bidi w:val="0"/>
        <w:spacing w:lineRule="auto" w:line="254" w:before="0" w:after="160"/>
        <w:ind w:left="1440" w:right="1440" w:hanging="0"/>
        <w:jc w:val="left"/>
        <w:rPr>
          <w:rFonts w:ascii="Calibri" w:hAnsi="Calibri"/>
          <w:sz w:val="20"/>
        </w:rPr>
      </w:pPr>
      <w:r>
        <w:rPr>
          <w:rFonts w:ascii="Times New Roman" w:hAnsi="Times New Roman"/>
          <w:sz w:val="20"/>
        </w:rPr>
        <w:t>Title:Executive Vice President, Chief Financial Officer and Treasurer</w:t>
      </w:r>
      <w:r>
        <w:rPr>
          <w:rFonts w:ascii="Calibri" w:hAnsi="Calibri"/>
          <w:sz w:val="20"/>
        </w:rPr>
        <w:t xml:space="preserve"> </w:t>
      </w:r>
    </w:p>
    <w:p>
      <w:pPr>
        <w:pStyle w:val="TextBody"/>
        <w:bidi w:val="0"/>
        <w:spacing w:lineRule="auto" w:line="256" w:before="0" w:after="160"/>
        <w:ind w:left="1440" w:right="1440" w:hanging="0"/>
        <w:jc w:val="left"/>
        <w:rPr>
          <w:rFonts w:cs="Calibri"/>
          <w:szCs w:val="20"/>
        </w:rPr>
      </w:pPr>
      <w:r>
        <w:rPr>
          <w:rFonts w:cs="Times New Roman"/>
          <w:szCs w:val="20"/>
        </w:rPr>
        <w:t>﻿</w:t>
      </w:r>
      <w:r>
        <w:rPr>
          <w:rFonts w:cs="Calibri"/>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eutraface Display Titling">
    <w:charset w:val="01"/>
    <w:family w:val="auto"/>
    <w:pitch w:val="default"/>
  </w:font>
  <w:font w:name="inherit">
    <w:charset w:val="01"/>
    <w:family w:val="auto"/>
    <w:pitch w:val="default"/>
  </w:font>
  <w:font w:name="Wingdings">
    <w:charset w:val="02"/>
    <w:family w:val="auto"/>
    <w:pitch w:val="default"/>
  </w:font>
  <w:font w:name="TimesNewRoman">
    <w:charset w:val="01"/>
    <w:family w:val="auto"/>
    <w:pitch w:val="default"/>
  </w:font>
  <w:font w:name="TimesNewRomanPS-ItalicMT">
    <w:charset w:val="01"/>
    <w:family w:val="auto"/>
    <w:pitch w:val="default"/>
  </w:font>
  <w:font w:name="Symbol">
    <w:charset w:val="01"/>
    <w:family w:val="auto"/>
    <w:pitch w:val="default"/>
  </w:font>
  <w:font w:name="Arial">
    <w:altName w:val="sans-serif"/>
    <w:charset w:val="01"/>
    <w:family w:val="auto"/>
    <w:pitch w:val="default"/>
  </w:font>
  <w:font w:name="Times New Roman">
    <w:charset w:val="01"/>
    <w:family w:val="auto"/>
    <w:pitch w:val="default"/>
  </w:font>
  <w:font w:name="Garamond">
    <w:charset w:val="01"/>
    <w:family w:val="auto"/>
    <w:pitch w:val="default"/>
  </w:font>
  <w:font w:name="Arial Bold">
    <w:charset w:val="01"/>
    <w:family w:val="auto"/>
    <w:pitch w:val="default"/>
  </w:font>
  <w:font w:name="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www.sec.gov/Archives/edgar/data/716634/000071663421000005/rdi-20201231xex21.htm" TargetMode="External"/><Relationship Id="rId22" Type="http://schemas.openxmlformats.org/officeDocument/2006/relationships/hyperlink" Target="http://www.sec.gov/Archives/edgar/data/716634/000071663416000067/rdi-20151231xex3_1.htm" TargetMode="External"/><Relationship Id="rId23" Type="http://schemas.openxmlformats.org/officeDocument/2006/relationships/hyperlink" Target="http://www.sec.gov/Archives/edgar/data/716634/000071663418000006/rdi-20171231xex3_2.htm" TargetMode="External"/><Relationship Id="rId24" Type="http://schemas.openxmlformats.org/officeDocument/2006/relationships/hyperlink" Target="http://www.sec.gov/Archives/edgar/data/716634/000071663407000004/ex4_1.htm" TargetMode="External"/><Relationship Id="rId25" Type="http://schemas.openxmlformats.org/officeDocument/2006/relationships/hyperlink" Target="http://www.sec.gov/Archives/edgar/data/716634/000071663407000004/ex4_2.htm" TargetMode="External"/><Relationship Id="rId26" Type="http://schemas.openxmlformats.org/officeDocument/2006/relationships/hyperlink" Target="http://www.sec.gov/Archives/edgar/data/716634/000071663407000004/ex4_3.htm" TargetMode="External"/><Relationship Id="rId27" Type="http://schemas.openxmlformats.org/officeDocument/2006/relationships/hyperlink" Target="http://www.sec.gov/Archives/edgar/data/716634/000071663407000004/ex10_4.htm" TargetMode="External"/><Relationship Id="rId28" Type="http://schemas.openxmlformats.org/officeDocument/2006/relationships/hyperlink" Target="http://www.sec.gov/Archives/edgar/data/716634/000071663409000036/exhibit4_4.htm" TargetMode="External"/><Relationship Id="rId29" Type="http://schemas.openxmlformats.org/officeDocument/2006/relationships/hyperlink" Target="http://www.sec.gov/Archives/edgar/data/0000716634/000071663421000005/rdi-20201231xex4_6.htm" TargetMode="External"/><Relationship Id="rId30" Type="http://schemas.openxmlformats.org/officeDocument/2006/relationships/hyperlink" Target="http://www.sec.gov/Archives/edgar/data/716634/000071663418000006/rdi-20171231xex10_1.htm" TargetMode="External"/><Relationship Id="rId31" Type="http://schemas.openxmlformats.org/officeDocument/2006/relationships/hyperlink" Target="http://www.sec.gov/Archives/edgar/data/716634/000071663410000014/exhibit4_2.htm" TargetMode="External"/><Relationship Id="rId32" Type="http://schemas.openxmlformats.org/officeDocument/2006/relationships/hyperlink" Target="http://www.sec.gov/Archives/edgar/data/716634/000071663410000014/exhibit4_3.htm" TargetMode="External"/><Relationship Id="rId33" Type="http://schemas.openxmlformats.org/officeDocument/2006/relationships/hyperlink" Target="http://www.sec.gov/Archives/edgar/data/716634/000071663410000014/exhibit4_4.htm" TargetMode="External"/><Relationship Id="rId34" Type="http://schemas.openxmlformats.org/officeDocument/2006/relationships/hyperlink" Target="http://www.sec.gov/Archives/edgar/data/716634/000071663410000014/exhibit4_5.htm" TargetMode="External"/><Relationship Id="rId35" Type="http://schemas.openxmlformats.org/officeDocument/2006/relationships/hyperlink" Target="http://www.sec.gov/Archives/edgar/data/0000716634/000071663420000024/rdi-20200331x10q.htm" TargetMode="External"/><Relationship Id="rId36" Type="http://schemas.openxmlformats.org/officeDocument/2006/relationships/hyperlink" Target="http://www.sec.gov/Archives/edgar/data/0000716634/000071663420000024/rdi-20200331x10q.htm" TargetMode="External"/><Relationship Id="rId37" Type="http://schemas.openxmlformats.org/officeDocument/2006/relationships/hyperlink" Target="http://www.sec.gov/Archives/edgar/data/0000716634/000071663420000024/rdi-20200331x10q.htm" TargetMode="External"/><Relationship Id="rId38" Type="http://schemas.openxmlformats.org/officeDocument/2006/relationships/hyperlink" Target="http://www.sec.gov/Archives/edgar/data/716634/000071663423000021/rdi-20221231xdef14a.htm" TargetMode="External"/><Relationship Id="rId39" Type="http://schemas.openxmlformats.org/officeDocument/2006/relationships/hyperlink" Target="http://www.sec.gov/Archives/edgar/data/0000716634/000071663421000005/rdi-20201231xex10_7.htm" TargetMode="External"/><Relationship Id="rId40" Type="http://schemas.openxmlformats.org/officeDocument/2006/relationships/hyperlink" Target="http://www.sec.gov/Archives/edgar/data/0000716634/000071663421000005/rdi-20201231xex10_8.htm" TargetMode="External"/><Relationship Id="rId41" Type="http://schemas.openxmlformats.org/officeDocument/2006/relationships/hyperlink" Target="http://www.sec.gov/Archives/edgar/data/0000716634/000071663421000005/rdi-20201231xex10_9.htm" TargetMode="External"/><Relationship Id="rId42" Type="http://schemas.openxmlformats.org/officeDocument/2006/relationships/hyperlink" Target="http://www.sec.gov/Archives/edgar/data/716634/000095015003000386/a88762exv10w40.txt" TargetMode="External"/><Relationship Id="rId43" Type="http://schemas.openxmlformats.org/officeDocument/2006/relationships/hyperlink" Target="http://www.sec.gov/Archives/edgar/data/716634/000095012905009355/a12618exv10w58.htm" TargetMode="External"/><Relationship Id="rId44" Type="http://schemas.openxmlformats.org/officeDocument/2006/relationships/hyperlink" Target="http://www.sec.gov/Archives/edgar/data/716634/000095012905009355/a12618exv10w56.htm" TargetMode="External"/><Relationship Id="rId45" Type="http://schemas.openxmlformats.org/officeDocument/2006/relationships/hyperlink" Target="http://www.sec.gov/Archives/edgar/data/716634/000071663411000002/exhibit10_21.htm" TargetMode="External"/><Relationship Id="rId46" Type="http://schemas.openxmlformats.org/officeDocument/2006/relationships/hyperlink" Target="http://www.sec.gov/Archives/edgar/data/716634/000095015003001354/a94399exv10w49.txt" TargetMode="External"/><Relationship Id="rId47" Type="http://schemas.openxmlformats.org/officeDocument/2006/relationships/hyperlink" Target="http://www.sec.gov/Archives/edgar/data/716634/000071663407000004/ex10_2.htm" TargetMode="External"/><Relationship Id="rId48" Type="http://schemas.openxmlformats.org/officeDocument/2006/relationships/hyperlink" Target="http://www.sec.gov/Archives/edgar/data/716634/000071663416000067/rdi-20151231xex10_9.htm" TargetMode="External"/><Relationship Id="rId49" Type="http://schemas.openxmlformats.org/officeDocument/2006/relationships/hyperlink" Target="http://www.sec.gov/Archives/edgar/data/0000716634/000071663420000015/rdi-20200602x8k.htm" TargetMode="External"/><Relationship Id="rId50" Type="http://schemas.openxmlformats.org/officeDocument/2006/relationships/hyperlink" Target="http://www.sec.gov/Archives/edgar/data/0000716634/000071663420000015/rdi-20200602x8k.htm" TargetMode="External"/><Relationship Id="rId51" Type="http://schemas.openxmlformats.org/officeDocument/2006/relationships/hyperlink" Target="http://www.sec.gov/Archives/edgar/data/0000716634/000071663420000015/rdi-20200602x8k.htm" TargetMode="External"/><Relationship Id="rId52" Type="http://schemas.openxmlformats.org/officeDocument/2006/relationships/hyperlink" Target="http://www.sec.gov/ix?doc=/Archives/edgar/data/0000716634/000071663420000034/rdi-20200630x10q.htm" TargetMode="External"/><Relationship Id="rId53" Type="http://schemas.openxmlformats.org/officeDocument/2006/relationships/hyperlink" Target="http://www.sec.gov/Archives/edgar/data/0000716634/000071663420000015/rdi-20200602x8k.htm" TargetMode="External"/><Relationship Id="rId54" Type="http://schemas.openxmlformats.org/officeDocument/2006/relationships/hyperlink" Target="http://www.sec.gov/Archives/edgar/data/0000716634/000156276221000331/rdi-20210630xex10_3.htm" TargetMode="External"/><Relationship Id="rId55" Type="http://schemas.openxmlformats.org/officeDocument/2006/relationships/hyperlink" Target="http://www.sec.gov/Archives/edgar/data/0000716634/000156276221000331/rdi-20210630xex10_3.htm" TargetMode="External"/><Relationship Id="rId56" Type="http://schemas.openxmlformats.org/officeDocument/2006/relationships/hyperlink" Target="http://www.sec.gov/Archives/edgar/data/0000716634/000071663421000029/rdi-20210930xex10_1.htm" TargetMode="External"/><Relationship Id="rId57" Type="http://schemas.openxmlformats.org/officeDocument/2006/relationships/hyperlink" Target="http://www.sec.gov/Archives/edgar/data/716634/000071663423000016/rdi-20230630xex10_1.htm" TargetMode="External"/><Relationship Id="rId58" Type="http://schemas.openxmlformats.org/officeDocument/2006/relationships/hyperlink" Target="http://www.sec.gov/Archives/edgar/data/716634/000071663423000031/rdi-20230930xex10_1.htm" TargetMode="External"/><Relationship Id="rId59" Type="http://schemas.openxmlformats.org/officeDocument/2006/relationships/hyperlink" Target="http://www.sec.gov/Archives/edgar/data/716634/000071663423000031/rdi-20230930xex10_1.htm" TargetMode="External"/><Relationship Id="rId60" Type="http://schemas.openxmlformats.org/officeDocument/2006/relationships/hyperlink" Target="http://www.sec.gov/Archives/edgar/data/716634/000071663416000067/rdi-20151231xex10_10.htm" TargetMode="External"/><Relationship Id="rId61" Type="http://schemas.openxmlformats.org/officeDocument/2006/relationships/hyperlink" Target="http://www.sec.gov/Archives/edgar/data/0000716634/000071663420000015/rdi-20200602x8k.htm" TargetMode="External"/><Relationship Id="rId62" Type="http://schemas.openxmlformats.org/officeDocument/2006/relationships/hyperlink" Target="http://www.sec.gov/Archives/edgar/data/0000716634/000071663420000015/rdi-20200602x8k.htm" TargetMode="External"/><Relationship Id="rId63" Type="http://schemas.openxmlformats.org/officeDocument/2006/relationships/hyperlink" Target="http://www.sec.gov/ix?doc=/Archives/edgar/data/0000716634/000071663420000034/rdi-20200630x10q.htm" TargetMode="External"/><Relationship Id="rId64" Type="http://schemas.openxmlformats.org/officeDocument/2006/relationships/hyperlink" Target="http://www.sec.gov/ix?doc=/Archives/edgar/data/0000716634/000071663420000046/rdi-20200930x10q.htm" TargetMode="External"/><Relationship Id="rId65" Type="http://schemas.openxmlformats.org/officeDocument/2006/relationships/hyperlink" Target="http://www.sec.gov/Archives/edgar/data/0000716634/000071663421000019/rdi-20210331xex10_1.htm" TargetMode="External"/><Relationship Id="rId66" Type="http://schemas.openxmlformats.org/officeDocument/2006/relationships/hyperlink" Target="http://www.sec.gov/Archives/edgar/data/0000716634/000071663420000015/rdi-20200602x8k.htm" TargetMode="External"/><Relationship Id="rId67" Type="http://schemas.openxmlformats.org/officeDocument/2006/relationships/hyperlink" Target="http://www.sec.gov/Archives/edgar/data/0000716634/000071663420000015/rdi-20200602x8k.htm" TargetMode="External"/><Relationship Id="rId68" Type="http://schemas.openxmlformats.org/officeDocument/2006/relationships/hyperlink" Target="http://www.sec.gov/ix?doc=/Archives/edgar/data/0000716634/000071663420000034/rdi-20200630x10q.htm" TargetMode="External"/><Relationship Id="rId69" Type="http://schemas.openxmlformats.org/officeDocument/2006/relationships/hyperlink" Target="http://www.sec.gov/Archives/edgar/data/0000716634/000071663421000029/rdi-20210930xex10_2.htm" TargetMode="External"/><Relationship Id="rId70" Type="http://schemas.openxmlformats.org/officeDocument/2006/relationships/hyperlink" Target="http://www.sec.gov/Archives/edgar/data/716634/000071663422000036/rdi-20221129xex10_1.htm" TargetMode="External"/><Relationship Id="rId71" Type="http://schemas.openxmlformats.org/officeDocument/2006/relationships/hyperlink" Target="http://www.sec.gov/Archives/edgar/data/716634/000071663423000012/rdi-20230331xex10_1.htm" TargetMode="External"/><Relationship Id="rId72" Type="http://schemas.openxmlformats.org/officeDocument/2006/relationships/hyperlink" Target="http://www.sec.gov/Archives/edgar/data/0000716634/000071663420000015/rdi-20200602x8k.htm" TargetMode="External"/><Relationship Id="rId73" Type="http://schemas.openxmlformats.org/officeDocument/2006/relationships/hyperlink" Target="http://www.sec.gov/Archives/edgar/data/716634/000071663420000015/rdi-20200602xex10_42.htm" TargetMode="External"/><Relationship Id="rId74" Type="http://schemas.openxmlformats.org/officeDocument/2006/relationships/hyperlink" Target="http://www.sec.gov/Archives/edgar/data/0000716634/000071663420000015/rdi-20200602x8k.htm" TargetMode="External"/><Relationship Id="rId75" Type="http://schemas.openxmlformats.org/officeDocument/2006/relationships/hyperlink" Target="http://www.sec.gov/Archives/edgar/data/0000716634/000071663420000015/rdi-20200602x8k.htm" TargetMode="External"/><Relationship Id="rId76" Type="http://schemas.openxmlformats.org/officeDocument/2006/relationships/hyperlink" Target="http://www.sec.gov/Archives/edgar/data/0000716634/000071663420000015/rdi-20200602x8k.htm" TargetMode="External"/><Relationship Id="rId77" Type="http://schemas.openxmlformats.org/officeDocument/2006/relationships/hyperlink" Target="http://www.sec.gov/Archives/edgar/data/0000716634/000071663420000015/rdi-20200602x8k.htm" TargetMode="External"/><Relationship Id="rId78" Type="http://schemas.openxmlformats.org/officeDocument/2006/relationships/hyperlink" Target="http://www.sec.gov/Archives/edgar/data/0000716634/000071663420000015/rdi-20200602x8k.htm" TargetMode="External"/><Relationship Id="rId79" Type="http://schemas.openxmlformats.org/officeDocument/2006/relationships/hyperlink" Target="http://www.sec.gov/Archives/edgar/data/0000716634/000071663420000015/rdi-20200602x8k.htm" TargetMode="External"/><Relationship Id="rId80" Type="http://schemas.openxmlformats.org/officeDocument/2006/relationships/hyperlink" Target="http://www.sec.gov/Archives/edgar/data/0000716634/000156276221000331/rdi-20210630xex10_1.htm" TargetMode="External"/><Relationship Id="rId81" Type="http://schemas.openxmlformats.org/officeDocument/2006/relationships/hyperlink" Target="http://www.sec.gov/Archives/edgar/data/0000716634/000071663420000024/rdi-20200331x10q.htm" TargetMode="External"/><Relationship Id="rId82" Type="http://schemas.openxmlformats.org/officeDocument/2006/relationships/hyperlink" Target="http://www.sec.gov/Archives/edgar/data/716634/000071663422000009/rdi-20211231xex10_45.htm" TargetMode="External"/><Relationship Id="rId83" Type="http://schemas.openxmlformats.org/officeDocument/2006/relationships/hyperlink" Target="http://www.sec.gov/Archives/edgar/data/716634/000071663417000007/rdi-20161231xex18.htm" TargetMode="External"/><Relationship Id="rId84" Type="http://schemas.openxmlformats.org/officeDocument/2006/relationships/image" Target="media/image20.jpeg"/><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68062</Words>
  <Characters>364091</Characters>
  <CharactersWithSpaces>425372</CharactersWithSpaces>
  <Paragraphs>8752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