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00"/>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25" w:lineRule="exact"/>
        <w:rPr>
          <w:sz w:val="24"/>
          <w:szCs w:val="24"/>
          <w:color w:val="auto"/>
        </w:rPr>
      </w:pPr>
    </w:p>
    <w:p>
      <w:pPr>
        <w:ind w:left="3240" w:right="640" w:hanging="2606"/>
        <w:spacing w:after="0" w:line="277" w:lineRule="auto"/>
        <w:tabs>
          <w:tab w:leader="none" w:pos="913"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ANNUAL REPORT PURSUANT TO SECTION 13 OR 15(d) OF THE SECURITIES EXCHANGE ACT OF 1934 For the fiscal year ended December 31, 2019 or</w:t>
      </w:r>
    </w:p>
    <w:p>
      <w:pPr>
        <w:spacing w:after="0" w:line="75" w:lineRule="exact"/>
        <w:rPr>
          <w:rFonts w:ascii="MS PGothic" w:cs="MS PGothic" w:eastAsia="MS PGothic" w:hAnsi="MS PGothic"/>
          <w:sz w:val="18"/>
          <w:szCs w:val="18"/>
          <w:color w:val="auto"/>
          <w:highlight w:val="black"/>
        </w:rPr>
      </w:pPr>
    </w:p>
    <w:p>
      <w:pPr>
        <w:ind w:left="3180" w:right="480" w:hanging="2709"/>
        <w:spacing w:after="0" w:line="277" w:lineRule="auto"/>
        <w:tabs>
          <w:tab w:leader="none" w:pos="7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 For the transition period from _______ to 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74930</wp:posOffset>
            </wp:positionV>
            <wp:extent cx="149161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READING INTERNATIONAL,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65"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4480" w:type="dxa"/>
            <w:vAlign w:val="bottom"/>
          </w:tcPr>
          <w:p>
            <w:pPr>
              <w:jc w:val="center"/>
              <w:ind w:right="977"/>
              <w:spacing w:after="0"/>
              <w:rPr>
                <w:sz w:val="20"/>
                <w:szCs w:val="20"/>
                <w:color w:val="auto"/>
              </w:rPr>
            </w:pPr>
            <w:r>
              <w:rPr>
                <w:rFonts w:ascii="Arial" w:cs="Arial" w:eastAsia="Arial" w:hAnsi="Arial"/>
                <w:sz w:val="18"/>
                <w:szCs w:val="18"/>
                <w:b w:val="1"/>
                <w:bCs w:val="1"/>
                <w:color w:val="auto"/>
                <w:w w:val="97"/>
              </w:rPr>
              <w:t>NEVADA</w:t>
            </w:r>
          </w:p>
        </w:tc>
        <w:tc>
          <w:tcPr>
            <w:tcW w:w="3380" w:type="dxa"/>
            <w:vAlign w:val="bottom"/>
          </w:tcPr>
          <w:p>
            <w:pPr>
              <w:jc w:val="right"/>
              <w:ind w:right="659"/>
              <w:spacing w:after="0"/>
              <w:rPr>
                <w:sz w:val="20"/>
                <w:szCs w:val="20"/>
                <w:color w:val="auto"/>
              </w:rPr>
            </w:pPr>
            <w:r>
              <w:rPr>
                <w:rFonts w:ascii="Arial" w:cs="Arial" w:eastAsia="Arial" w:hAnsi="Arial"/>
                <w:sz w:val="18"/>
                <w:szCs w:val="18"/>
                <w:b w:val="1"/>
                <w:bCs w:val="1"/>
                <w:color w:val="auto"/>
              </w:rPr>
              <w:t>95-3885184</w:t>
            </w:r>
          </w:p>
        </w:tc>
      </w:tr>
      <w:tr>
        <w:trPr>
          <w:trHeight w:val="149"/>
        </w:trPr>
        <w:tc>
          <w:tcPr>
            <w:tcW w:w="4480" w:type="dxa"/>
            <w:vAlign w:val="bottom"/>
          </w:tcPr>
          <w:p>
            <w:pPr>
              <w:jc w:val="center"/>
              <w:ind w:right="957"/>
              <w:spacing w:after="0" w:line="149" w:lineRule="exact"/>
              <w:rPr>
                <w:sz w:val="20"/>
                <w:szCs w:val="20"/>
                <w:color w:val="auto"/>
              </w:rPr>
            </w:pPr>
            <w:r>
              <w:rPr>
                <w:rFonts w:ascii="Arial" w:cs="Arial" w:eastAsia="Arial" w:hAnsi="Arial"/>
                <w:sz w:val="14"/>
                <w:szCs w:val="14"/>
                <w:color w:val="auto"/>
                <w:w w:val="95"/>
              </w:rPr>
              <w:t>(State or other jurisdiction of incorporation or organization)</w:t>
            </w:r>
          </w:p>
        </w:tc>
        <w:tc>
          <w:tcPr>
            <w:tcW w:w="3380" w:type="dxa"/>
            <w:vAlign w:val="bottom"/>
          </w:tcPr>
          <w:p>
            <w:pPr>
              <w:jc w:val="center"/>
              <w:ind w:left="939"/>
              <w:spacing w:after="0" w:line="149" w:lineRule="exact"/>
              <w:rPr>
                <w:sz w:val="20"/>
                <w:szCs w:val="20"/>
                <w:color w:val="auto"/>
              </w:rPr>
            </w:pPr>
            <w:r>
              <w:rPr>
                <w:rFonts w:ascii="Arial" w:cs="Arial" w:eastAsia="Arial" w:hAnsi="Arial"/>
                <w:sz w:val="14"/>
                <w:szCs w:val="14"/>
                <w:color w:val="auto"/>
                <w:w w:val="96"/>
              </w:rPr>
              <w:t>(I.R.S. Employer Identification Number)</w:t>
            </w:r>
          </w:p>
        </w:tc>
      </w:tr>
      <w:tr>
        <w:trPr>
          <w:trHeight w:val="216"/>
        </w:trPr>
        <w:tc>
          <w:tcPr>
            <w:tcW w:w="4480" w:type="dxa"/>
            <w:vAlign w:val="bottom"/>
          </w:tcPr>
          <w:p>
            <w:pPr>
              <w:jc w:val="center"/>
              <w:ind w:right="957"/>
              <w:spacing w:after="0"/>
              <w:rPr>
                <w:sz w:val="20"/>
                <w:szCs w:val="20"/>
                <w:color w:val="auto"/>
              </w:rPr>
            </w:pPr>
            <w:r>
              <w:rPr>
                <w:rFonts w:ascii="Arial" w:cs="Arial" w:eastAsia="Arial" w:hAnsi="Arial"/>
                <w:sz w:val="18"/>
                <w:szCs w:val="18"/>
                <w:b w:val="1"/>
                <w:bCs w:val="1"/>
                <w:color w:val="auto"/>
                <w:w w:val="90"/>
              </w:rPr>
              <w:t>5995 Sepulveda Boulevard, Suite 300</w:t>
            </w:r>
          </w:p>
        </w:tc>
        <w:tc>
          <w:tcPr>
            <w:tcW w:w="3380" w:type="dxa"/>
            <w:vAlign w:val="bottom"/>
          </w:tcPr>
          <w:p>
            <w:pPr>
              <w:spacing w:after="0"/>
              <w:rPr>
                <w:sz w:val="18"/>
                <w:szCs w:val="18"/>
                <w:color w:val="auto"/>
              </w:rPr>
            </w:pPr>
          </w:p>
        </w:tc>
      </w:tr>
      <w:tr>
        <w:trPr>
          <w:trHeight w:val="216"/>
        </w:trPr>
        <w:tc>
          <w:tcPr>
            <w:tcW w:w="4480" w:type="dxa"/>
            <w:vAlign w:val="bottom"/>
          </w:tcPr>
          <w:p>
            <w:pPr>
              <w:jc w:val="center"/>
              <w:ind w:right="977"/>
              <w:spacing w:after="0"/>
              <w:rPr>
                <w:sz w:val="20"/>
                <w:szCs w:val="20"/>
                <w:color w:val="auto"/>
              </w:rPr>
            </w:pPr>
            <w:r>
              <w:rPr>
                <w:rFonts w:ascii="Arial" w:cs="Arial" w:eastAsia="Arial" w:hAnsi="Arial"/>
                <w:sz w:val="18"/>
                <w:szCs w:val="18"/>
                <w:b w:val="1"/>
                <w:bCs w:val="1"/>
                <w:color w:val="auto"/>
                <w:w w:val="99"/>
              </w:rPr>
              <w:t>Culver City, CA</w:t>
            </w:r>
          </w:p>
        </w:tc>
        <w:tc>
          <w:tcPr>
            <w:tcW w:w="3380" w:type="dxa"/>
            <w:vAlign w:val="bottom"/>
          </w:tcPr>
          <w:p>
            <w:pPr>
              <w:jc w:val="right"/>
              <w:ind w:right="879"/>
              <w:spacing w:after="0"/>
              <w:rPr>
                <w:sz w:val="20"/>
                <w:szCs w:val="20"/>
                <w:color w:val="auto"/>
              </w:rPr>
            </w:pPr>
            <w:r>
              <w:rPr>
                <w:rFonts w:ascii="Arial" w:cs="Arial" w:eastAsia="Arial" w:hAnsi="Arial"/>
                <w:sz w:val="18"/>
                <w:szCs w:val="18"/>
                <w:b w:val="1"/>
                <w:bCs w:val="1"/>
                <w:color w:val="auto"/>
              </w:rPr>
              <w:t>90230</w:t>
            </w:r>
          </w:p>
        </w:tc>
      </w:tr>
      <w:tr>
        <w:trPr>
          <w:trHeight w:val="182"/>
        </w:trPr>
        <w:tc>
          <w:tcPr>
            <w:tcW w:w="4480" w:type="dxa"/>
            <w:vAlign w:val="bottom"/>
          </w:tcPr>
          <w:p>
            <w:pPr>
              <w:jc w:val="center"/>
              <w:ind w:right="957"/>
              <w:spacing w:after="0"/>
              <w:rPr>
                <w:sz w:val="20"/>
                <w:szCs w:val="20"/>
                <w:color w:val="auto"/>
              </w:rPr>
            </w:pPr>
            <w:r>
              <w:rPr>
                <w:rFonts w:ascii="Arial" w:cs="Arial" w:eastAsia="Arial" w:hAnsi="Arial"/>
                <w:sz w:val="14"/>
                <w:szCs w:val="14"/>
                <w:color w:val="auto"/>
                <w:w w:val="95"/>
              </w:rPr>
              <w:t>(Address of principal executive offices)</w:t>
            </w:r>
          </w:p>
        </w:tc>
        <w:tc>
          <w:tcPr>
            <w:tcW w:w="3380" w:type="dxa"/>
            <w:vAlign w:val="bottom"/>
          </w:tcPr>
          <w:p>
            <w:pPr>
              <w:jc w:val="center"/>
              <w:ind w:left="939"/>
              <w:spacing w:after="0"/>
              <w:rPr>
                <w:sz w:val="20"/>
                <w:szCs w:val="20"/>
                <w:color w:val="auto"/>
              </w:rPr>
            </w:pPr>
            <w:r>
              <w:rPr>
                <w:rFonts w:ascii="Arial" w:cs="Arial" w:eastAsia="Arial" w:hAnsi="Arial"/>
                <w:sz w:val="14"/>
                <w:szCs w:val="14"/>
                <w:color w:val="auto"/>
                <w:w w:val="96"/>
              </w:rPr>
              <w:t>(Zip Code)</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(213) 235-2240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0"/>
              </w:rPr>
              <w:t>Title of each class</w:t>
            </w:r>
          </w:p>
        </w:tc>
        <w:tc>
          <w:tcPr>
            <w:tcW w:w="18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95"/>
              </w:rPr>
              <w:t>Trading Symbol</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1"/>
        </w:trPr>
        <w:tc>
          <w:tcPr>
            <w:tcW w:w="4380" w:type="dxa"/>
            <w:vAlign w:val="bottom"/>
          </w:tcPr>
          <w:p>
            <w:pPr>
              <w:jc w:val="center"/>
              <w:ind w:right="76"/>
              <w:spacing w:after="0" w:line="191" w:lineRule="exact"/>
              <w:rPr>
                <w:sz w:val="20"/>
                <w:szCs w:val="20"/>
                <w:color w:val="auto"/>
              </w:rPr>
            </w:pPr>
            <w:r>
              <w:rPr>
                <w:rFonts w:ascii="Arial" w:cs="Arial" w:eastAsia="Arial" w:hAnsi="Arial"/>
                <w:sz w:val="18"/>
                <w:szCs w:val="18"/>
                <w:b w:val="1"/>
                <w:bCs w:val="1"/>
                <w:color w:val="auto"/>
                <w:w w:val="90"/>
              </w:rPr>
              <w:t>Class A Nonvoting Common Stock, $0.01 par value</w:t>
            </w:r>
          </w:p>
        </w:tc>
        <w:tc>
          <w:tcPr>
            <w:tcW w:w="1820" w:type="dxa"/>
            <w:vAlign w:val="bottom"/>
          </w:tcPr>
          <w:p>
            <w:pPr>
              <w:jc w:val="center"/>
              <w:ind w:right="156"/>
              <w:spacing w:after="0" w:line="191" w:lineRule="exact"/>
              <w:rPr>
                <w:sz w:val="20"/>
                <w:szCs w:val="20"/>
                <w:color w:val="auto"/>
              </w:rPr>
            </w:pPr>
            <w:r>
              <w:rPr>
                <w:rFonts w:ascii="Arial" w:cs="Arial" w:eastAsia="Arial" w:hAnsi="Arial"/>
                <w:sz w:val="18"/>
                <w:szCs w:val="18"/>
                <w:b w:val="1"/>
                <w:bCs w:val="1"/>
                <w:color w:val="auto"/>
              </w:rPr>
              <w:t>RDI</w:t>
            </w:r>
          </w:p>
        </w:tc>
        <w:tc>
          <w:tcPr>
            <w:tcW w:w="3740" w:type="dxa"/>
            <w:vAlign w:val="bottom"/>
          </w:tcPr>
          <w:p>
            <w:pPr>
              <w:jc w:val="center"/>
              <w:ind w:right="16"/>
              <w:spacing w:after="0" w:line="191" w:lineRule="exact"/>
              <w:rPr>
                <w:sz w:val="20"/>
                <w:szCs w:val="20"/>
                <w:color w:val="auto"/>
              </w:rPr>
            </w:pPr>
            <w:r>
              <w:rPr>
                <w:rFonts w:ascii="Arial" w:cs="Arial" w:eastAsia="Arial" w:hAnsi="Arial"/>
                <w:sz w:val="18"/>
                <w:szCs w:val="18"/>
                <w:b w:val="1"/>
                <w:bCs w:val="1"/>
                <w:color w:val="auto"/>
                <w:w w:val="97"/>
              </w:rPr>
              <w:t>NASDAQ</w:t>
            </w:r>
          </w:p>
        </w:tc>
      </w:tr>
      <w:tr>
        <w:trPr>
          <w:trHeight w:val="234"/>
        </w:trPr>
        <w:tc>
          <w:tcPr>
            <w:tcW w:w="4380" w:type="dxa"/>
            <w:vAlign w:val="bottom"/>
          </w:tcPr>
          <w:p>
            <w:pPr>
              <w:jc w:val="center"/>
              <w:ind w:right="76"/>
              <w:spacing w:after="0"/>
              <w:rPr>
                <w:sz w:val="20"/>
                <w:szCs w:val="20"/>
                <w:color w:val="auto"/>
              </w:rPr>
            </w:pPr>
            <w:r>
              <w:rPr>
                <w:rFonts w:ascii="Arial" w:cs="Arial" w:eastAsia="Arial" w:hAnsi="Arial"/>
                <w:sz w:val="18"/>
                <w:szCs w:val="18"/>
                <w:b w:val="1"/>
                <w:bCs w:val="1"/>
                <w:color w:val="auto"/>
                <w:w w:val="89"/>
              </w:rPr>
              <w:t>Class B Voting Common Stock, $0.01 par value</w:t>
            </w:r>
          </w:p>
        </w:tc>
        <w:tc>
          <w:tcPr>
            <w:tcW w:w="1820" w:type="dxa"/>
            <w:vAlign w:val="bottom"/>
          </w:tcPr>
          <w:p>
            <w:pPr>
              <w:jc w:val="center"/>
              <w:ind w:right="156"/>
              <w:spacing w:after="0"/>
              <w:rPr>
                <w:sz w:val="20"/>
                <w:szCs w:val="20"/>
                <w:color w:val="auto"/>
              </w:rPr>
            </w:pPr>
            <w:r>
              <w:rPr>
                <w:rFonts w:ascii="Arial" w:cs="Arial" w:eastAsia="Arial" w:hAnsi="Arial"/>
                <w:sz w:val="18"/>
                <w:szCs w:val="18"/>
                <w:b w:val="1"/>
                <w:bCs w:val="1"/>
                <w:color w:val="auto"/>
              </w:rPr>
              <w:t>RDIB</w:t>
            </w:r>
          </w:p>
        </w:tc>
        <w:tc>
          <w:tcPr>
            <w:tcW w:w="3740" w:type="dxa"/>
            <w:vAlign w:val="bottom"/>
          </w:tcPr>
          <w:p>
            <w:pPr>
              <w:jc w:val="center"/>
              <w:ind w:right="16"/>
              <w:spacing w:after="0"/>
              <w:rPr>
                <w:sz w:val="20"/>
                <w:szCs w:val="20"/>
                <w:color w:val="auto"/>
              </w:rPr>
            </w:pPr>
            <w:r>
              <w:rPr>
                <w:rFonts w:ascii="Arial" w:cs="Arial" w:eastAsia="Arial" w:hAnsi="Arial"/>
                <w:sz w:val="18"/>
                <w:szCs w:val="18"/>
                <w:b w:val="1"/>
                <w:bCs w:val="1"/>
                <w:color w:val="auto"/>
                <w:w w:val="97"/>
              </w:rPr>
              <w:t>NASDAQ</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9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13" w:lineRule="exact"/>
        <w:rPr>
          <w:sz w:val="24"/>
          <w:szCs w:val="24"/>
          <w:color w:val="auto"/>
        </w:rPr>
      </w:pPr>
    </w:p>
    <w:p>
      <w:pPr>
        <w:ind w:left="40" w:right="320" w:hanging="39"/>
        <w:spacing w:after="0" w:line="228"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Securities Exchange Act of 1934.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61" w:lineRule="exact"/>
        <w:rPr>
          <w:sz w:val="24"/>
          <w:szCs w:val="24"/>
          <w:color w:val="auto"/>
        </w:rPr>
      </w:pPr>
    </w:p>
    <w:p>
      <w:pPr>
        <w:ind w:right="80"/>
        <w:spacing w:after="0" w:line="210" w:lineRule="exact"/>
        <w:rPr>
          <w:sz w:val="20"/>
          <w:szCs w:val="20"/>
          <w:color w:val="auto"/>
        </w:rPr>
      </w:pPr>
      <w:r>
        <w:rPr>
          <w:rFonts w:ascii="Arial" w:cs="Arial" w:eastAsia="Arial" w:hAnsi="Arial"/>
          <w:sz w:val="16"/>
          <w:szCs w:val="16"/>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4" w:lineRule="exact"/>
        <w:rPr>
          <w:sz w:val="24"/>
          <w:szCs w:val="24"/>
          <w:color w:val="auto"/>
        </w:rPr>
      </w:pPr>
    </w:p>
    <w:p>
      <w:pPr>
        <w:ind w:right="2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post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4" w:lineRule="exact"/>
        <w:rPr>
          <w:sz w:val="24"/>
          <w:szCs w:val="24"/>
          <w:color w:val="auto"/>
        </w:rPr>
      </w:pPr>
    </w:p>
    <w:p>
      <w:pPr>
        <w:ind w:right="2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spacing w:after="0" w:line="184" w:lineRule="exact"/>
        <w:tabs>
          <w:tab w:leader="none" w:pos="1820" w:val="left"/>
          <w:tab w:leader="none" w:pos="3260" w:val="left"/>
          <w:tab w:leader="none" w:pos="5020" w:val="left"/>
          <w:tab w:leader="none" w:pos="71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p>
      <w:pPr>
        <w:spacing w:after="0" w:line="143" w:lineRule="exact"/>
        <w:rPr>
          <w:sz w:val="24"/>
          <w:szCs w:val="24"/>
          <w:color w:val="auto"/>
        </w:rPr>
      </w:pPr>
    </w:p>
    <w:p>
      <w:pPr>
        <w:ind w:right="280"/>
        <w:spacing w:after="0" w:line="224"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MS PGothic" w:cs="MS PGothic" w:eastAsia="MS PGothic" w:hAnsi="MS PGothic"/>
          <w:sz w:val="17"/>
          <w:szCs w:val="17"/>
          <w:color w:val="auto"/>
          <w:highlight w:val="black"/>
        </w:rPr>
        <w:t>☐</w:t>
      </w:r>
    </w:p>
    <w:p>
      <w:pPr>
        <w:spacing w:after="0" w:line="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30" w:lineRule="exact"/>
        <w:rPr>
          <w:sz w:val="24"/>
          <w:szCs w:val="24"/>
          <w:color w:val="auto"/>
        </w:rPr>
      </w:pPr>
    </w:p>
    <w:p>
      <w:pPr>
        <w:ind w:right="60"/>
        <w:spacing w:after="0" w:line="271"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June 28, 2019 (the last business day of the registrant’s most recently completed second fiscal quarter), the aggregate market value of the registrant's voting and non-voting common equity held by non-affiliates based on the closing price on that date as reported by the Nasdaq Stock Market was $312,559,671. As of March 13, 2020, there were 20,037,550 shares of class A non-voting common stock, par value $0.01 per share and 1,680,590 shares of class B voting common stock, par value $0.01 per share, outstanding.</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u w:val="single" w:color="auto"/>
          <w:color w:val="auto"/>
        </w:rPr>
        <w:t>Documents Incorporated by Reference</w:t>
      </w:r>
    </w:p>
    <w:p>
      <w:pPr>
        <w:spacing w:after="0" w:line="127" w:lineRule="exact"/>
        <w:rPr>
          <w:sz w:val="24"/>
          <w:szCs w:val="24"/>
          <w:color w:val="auto"/>
        </w:rPr>
      </w:pPr>
    </w:p>
    <w:p>
      <w:pPr>
        <w:ind w:right="460"/>
        <w:spacing w:after="0" w:line="278" w:lineRule="auto"/>
        <w:rPr>
          <w:sz w:val="20"/>
          <w:szCs w:val="20"/>
          <w:color w:val="auto"/>
        </w:rPr>
      </w:pPr>
      <w:r>
        <w:rPr>
          <w:rFonts w:ascii="Arial" w:cs="Arial" w:eastAsia="Arial" w:hAnsi="Arial"/>
          <w:sz w:val="16"/>
          <w:szCs w:val="16"/>
          <w:color w:val="auto"/>
        </w:rPr>
        <w:t>Certain portions of the registrant’s definitive Proxy Statement for the 2020 annual meeting of the stockholders to be filed with the Securities and Exchange Commission within 120 days after the end of the fiscal year ended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110490</wp:posOffset>
            </wp:positionV>
            <wp:extent cx="6351905"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220" w:right="9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27"/>
          <w:szCs w:val="27"/>
          <w:b w:val="1"/>
          <w:bCs w:val="1"/>
          <w:u w:val="single" w:color="auto"/>
          <w:color w:val="auto"/>
        </w:rPr>
        <w:t>READING INTERNATIONAL, INC.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 ON FORM 10-K</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ind w:left="320"/>
              <w:spacing w:after="0"/>
              <w:rPr>
                <w:sz w:val="20"/>
                <w:szCs w:val="20"/>
                <w:color w:val="auto"/>
              </w:rPr>
            </w:pPr>
            <w:r>
              <w:rPr>
                <w:rFonts w:ascii="Arial" w:cs="Arial" w:eastAsia="Arial" w:hAnsi="Arial"/>
                <w:sz w:val="16"/>
                <w:szCs w:val="16"/>
                <w:b w:val="1"/>
                <w:bCs w:val="1"/>
                <w:color w:val="auto"/>
              </w:rPr>
              <w:t>Page</w:t>
            </w:r>
          </w:p>
        </w:tc>
        <w:tc>
          <w:tcPr>
            <w:tcW w:w="20" w:type="dxa"/>
            <w:vAlign w:val="bottom"/>
          </w:tcPr>
          <w:p>
            <w:pPr>
              <w:spacing w:after="0"/>
              <w:rPr>
                <w:sz w:val="16"/>
                <w:szCs w:val="16"/>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shd w:val="clear" w:color="auto" w:fill="CCEEFF"/>
          </w:tcPr>
          <w:p>
            <w:pPr>
              <w:ind w:left="12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 Our Business</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1A – Risk Factors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17</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tcPr>
          <w:p>
            <w:pPr>
              <w:ind w:left="1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1B – Unresolved Staff Comments</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27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 – Properties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28</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tcPr>
          <w:p>
            <w:pPr>
              <w:ind w:left="1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3 – Legal Proceedings</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 – Mine Safety Disclosures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32</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tcPr>
          <w:p>
            <w:pPr>
              <w:ind w:left="120"/>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5 – Market for Registrant’s Common Equity, Related Stockholder Matters and Issuer Purchases of Equity Securities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32</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6 – Selected Financial Data</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35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7 – Management’s Discussion and Analysis of Financial Condition and Results of Operations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37</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tcPr>
          <w:p>
            <w:pPr>
              <w:ind w:left="12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7A – Quantitative and Qualitative Disclosure about Market Risk</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8 – Financial Statements and Supplementary Data</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67</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tcPr>
          <w:p>
            <w:pPr>
              <w:ind w:left="1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Management’s Report on Internal Control over Financial Reporting</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 (Consolidated Financial Statements)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69</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tcPr>
          <w:p>
            <w:pPr>
              <w:ind w:left="12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Report of Independent Registered Public Accounting Firm (Internal Control over Financial Reporting)</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Balance Sheets as of December 31, 2019 and 2018</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71</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tcPr>
          <w:p>
            <w:pPr>
              <w:ind w:left="1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Operations for the Three Years Ended December 31, 2019</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72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Comprehensive Income for the Three Years Ended December 31, 2019</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73</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tcPr>
          <w:p>
            <w:pPr>
              <w:ind w:left="12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Stockholders’ Equity for the Three Years Ended December 31, 2019</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74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 for the Three Years Ended December 31, 2019</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75</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160" w:type="dxa"/>
            <w:vAlign w:val="bottom"/>
            <w:gridSpan w:val="31"/>
          </w:tcPr>
          <w:p>
            <w:pPr>
              <w:ind w:left="12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9"/>
              </w:rPr>
              <w:t>76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Schedule II – Valuation and Qualifying Accounts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6"/>
              </w:rPr>
              <w:t>119</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tcPr>
          <w:p>
            <w:pPr>
              <w:ind w:left="12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Item 9 – Change in and Disagreements with Accountants on Accounting and Financial Disclosure</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6"/>
              </w:rPr>
              <w:t>120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shd w:val="clear" w:color="auto" w:fill="CCEEFF"/>
          </w:tcPr>
          <w:p>
            <w:pPr>
              <w:ind w:left="12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Item 9A – Controls and Procedures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6"/>
              </w:rPr>
              <w:t>120</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tcPr>
          <w:p>
            <w:pPr>
              <w:ind w:left="120"/>
              <w:spacing w:after="0" w:line="176" w:lineRule="exact"/>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III</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6"/>
              </w:rPr>
              <w:t>121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shd w:val="clear" w:color="auto" w:fill="CCEEFF"/>
          </w:tcPr>
          <w:p>
            <w:pPr>
              <w:ind w:left="120"/>
              <w:spacing w:after="0" w:line="17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PART IV</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6"/>
              </w:rPr>
              <w:t>122</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160" w:type="dxa"/>
            <w:vAlign w:val="bottom"/>
            <w:gridSpan w:val="31"/>
          </w:tcPr>
          <w:p>
            <w:pPr>
              <w:ind w:left="12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Item 15 – Exhibits, Financial Statement Schedules</w:t>
              </w:r>
            </w:hyperlink>
          </w:p>
        </w:tc>
        <w:tc>
          <w:tcPr>
            <w:tcW w:w="660" w:type="dxa"/>
            <w:vAlign w:val="bottom"/>
            <w:gridSpan w:val="2"/>
          </w:tcPr>
          <w:p>
            <w:pPr>
              <w:jc w:val="center"/>
              <w:ind w:left="230"/>
              <w:spacing w:after="0" w:line="176" w:lineRule="exact"/>
              <w:rPr>
                <w:sz w:val="20"/>
                <w:szCs w:val="20"/>
                <w:color w:val="auto"/>
              </w:rPr>
            </w:pPr>
            <w:r>
              <w:rPr>
                <w:rFonts w:ascii="Arial" w:cs="Arial" w:eastAsia="Arial" w:hAnsi="Arial"/>
                <w:sz w:val="18"/>
                <w:szCs w:val="18"/>
                <w:color w:val="auto"/>
                <w:w w:val="86"/>
              </w:rPr>
              <w:t>122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160" w:type="dxa"/>
            <w:vAlign w:val="bottom"/>
            <w:gridSpan w:val="31"/>
            <w:shd w:val="clear" w:color="auto" w:fill="CCEEFF"/>
          </w:tcPr>
          <w:p>
            <w:pPr>
              <w:ind w:left="120"/>
              <w:spacing w:after="0" w:line="17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SIGNATURES</w:t>
              </w:r>
            </w:hyperlink>
          </w:p>
        </w:tc>
        <w:tc>
          <w:tcPr>
            <w:tcW w:w="660" w:type="dxa"/>
            <w:vAlign w:val="bottom"/>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6"/>
              </w:rPr>
              <w:t>125</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648"/>
        </w:trPr>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0000EE"/>
            </w:tcBorders>
            <w:gridSpan w:val="5"/>
          </w:tcPr>
          <w:p>
            <w:pPr>
              <w:spacing w:after="0"/>
              <w:rPr>
                <w:sz w:val="24"/>
                <w:szCs w:val="24"/>
                <w:color w:val="auto"/>
              </w:rPr>
            </w:pPr>
          </w:p>
        </w:tc>
        <w:tc>
          <w:tcPr>
            <w:tcW w:w="5060" w:type="dxa"/>
            <w:vAlign w:val="bottom"/>
            <w:tcBorders>
              <w:top w:val="single" w:sz="8" w:color="CCEEFF"/>
            </w:tcBorders>
            <w:gridSpan w:val="16"/>
          </w:tcPr>
          <w:p>
            <w:pPr>
              <w:jc w:val="right"/>
              <w:ind w:right="1160"/>
              <w:spacing w:after="0"/>
              <w:rPr>
                <w:sz w:val="20"/>
                <w:szCs w:val="20"/>
                <w:color w:val="auto"/>
              </w:rPr>
            </w:pPr>
            <w:r>
              <w:rPr>
                <w:rFonts w:ascii="Arial" w:cs="Arial" w:eastAsia="Arial" w:hAnsi="Arial"/>
                <w:sz w:val="18"/>
                <w:szCs w:val="18"/>
                <w:color w:val="auto"/>
              </w:rPr>
              <w:t>- 2 -</w:t>
            </w:r>
          </w:p>
        </w:tc>
        <w:tc>
          <w:tcPr>
            <w:tcW w:w="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 w:name="page3"/>
    <w:bookmarkEnd w:id="2"/>
    <w:p>
      <w:pPr>
        <w:ind w:left="260" w:right="220"/>
        <w:spacing w:after="0" w:line="247"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619760</wp:posOffset>
            </wp:positionH>
            <wp:positionV relativeFrom="page">
              <wp:posOffset>226060</wp:posOffset>
            </wp:positionV>
            <wp:extent cx="630936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514350"/>
                    </a:xfrm>
                    <a:prstGeom prst="rect">
                      <a:avLst/>
                    </a:prstGeom>
                    <a:noFill/>
                  </pic:spPr>
                </pic:pic>
              </a:graphicData>
            </a:graphic>
          </wp:anchor>
        </w:drawing>
        <w:t>The information in this Annual Report on Form 10-K for the year ended December 31, 2019 ("2019 Form 10-K" or “2019 Annual Report”)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"Item 1 – Our Business," "Item 1A – Risk Factors," and "Item 7 – Management's Discussion and Analysis of Financial Condition and Results of Operations" as well as those discussed elsewhere in this 2019 Form 10-K.</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PART I</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 –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Reading International, Inc. (“RDI” and collectively with our consolidated subsidiaries and corporate predecessors, the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located in the “Silicon Beach” area of Los Angeles County, at 5995 Sepulveda Blvd, Suite 300, Culver City, California, United States 90230.</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corporate website address is </w:t>
      </w:r>
      <w:r>
        <w:rPr>
          <w:rFonts w:ascii="Arial" w:cs="Arial" w:eastAsia="Arial" w:hAnsi="Arial"/>
          <w:sz w:val="18"/>
          <w:szCs w:val="18"/>
          <w:b w:val="1"/>
          <w:bCs w:val="1"/>
          <w:u w:val="single" w:color="auto"/>
          <w:color w:val="auto"/>
        </w:rPr>
        <w:t>www.ReadingRDI.com</w:t>
      </w:r>
      <w:r>
        <w:rPr>
          <w:rFonts w:ascii="Arial" w:cs="Arial" w:eastAsia="Arial" w:hAnsi="Arial"/>
          <w:sz w:val="18"/>
          <w:szCs w:val="18"/>
          <w:color w:val="auto"/>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w:t>
      </w:r>
      <w:r>
        <w:rPr>
          <w:rFonts w:ascii="Arial" w:cs="Arial" w:eastAsia="Arial" w:hAnsi="Arial"/>
          <w:sz w:val="18"/>
          <w:szCs w:val="18"/>
          <w:u w:val="single" w:color="auto"/>
          <w:color w:val="auto"/>
        </w:rPr>
        <w:t>www.sec.gov</w:t>
      </w:r>
      <w:r>
        <w:rPr>
          <w:rFonts w:ascii="Arial" w:cs="Arial" w:eastAsia="Arial" w:hAnsi="Arial"/>
          <w:sz w:val="18"/>
          <w:szCs w:val="18"/>
          <w:color w:val="auto"/>
        </w:rPr>
        <w:t>). The contents of our Company website are not incorporated into this report. Our corporate governance charters for our Audit and Conflicts Committee and Compensation and Stock Options Committee are available on our website.</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2019, we repurchased 1,158,601 shares of our Class A non-voting common stock, at an average price of $12.52. On March 10, 2020, our Board of Directors authorized a $25.0 million increase to our stock repurchase program and extended it to March 2, 2022. At the present time, the repurchase program authorization is at $26.0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Synergistic Diversification and Branding</w:t>
      </w:r>
    </w:p>
    <w:p>
      <w:pPr>
        <w:spacing w:after="0" w:line="225" w:lineRule="exact"/>
        <w:rPr>
          <w:sz w:val="20"/>
          <w:szCs w:val="20"/>
          <w:color w:val="auto"/>
        </w:rPr>
      </w:pPr>
    </w:p>
    <w:p>
      <w:pPr>
        <w:ind w:right="260"/>
        <w:spacing w:after="0" w:line="340" w:lineRule="auto"/>
        <w:rPr>
          <w:sz w:val="20"/>
          <w:szCs w:val="20"/>
          <w:color w:val="auto"/>
        </w:rPr>
      </w:pPr>
      <w:r>
        <w:rPr>
          <w:rFonts w:ascii="Arial" w:cs="Arial" w:eastAsia="Arial" w:hAnsi="Arial"/>
          <w:sz w:val="16"/>
          <w:szCs w:val="16"/>
          <w:color w:val="auto"/>
        </w:rPr>
        <w:t>We are a diversified company focused on the development, ownership and operation of entertainment and real property assets in three jurisdictions: (i) United States (“U.S.”), (ii) Australia, and (iii) New Zealand. We group our businesses in two operating segments:</w:t>
      </w:r>
    </w:p>
    <w:p>
      <w:pPr>
        <w:ind w:left="640" w:hanging="320"/>
        <w:spacing w:after="0" w:line="182" w:lineRule="auto"/>
        <w:tabs>
          <w:tab w:leader="none" w:pos="640" w:val="left"/>
        </w:tabs>
        <w:numPr>
          <w:ilvl w:val="0"/>
          <w:numId w:val="2"/>
        </w:numPr>
        <w:rPr>
          <w:rFonts w:ascii="Arial" w:cs="Arial" w:eastAsia="Arial" w:hAnsi="Arial"/>
          <w:sz w:val="27"/>
          <w:szCs w:val="27"/>
          <w:color w:val="auto"/>
          <w:vertAlign w:val="superscript"/>
        </w:rPr>
      </w:pPr>
      <w:r>
        <w:rPr>
          <w:rFonts w:ascii="Arial" w:cs="Arial" w:eastAsia="Arial" w:hAnsi="Arial"/>
          <w:sz w:val="17"/>
          <w:szCs w:val="17"/>
          <w:b w:val="1"/>
          <w:bCs w:val="1"/>
          <w:i w:val="1"/>
          <w:iCs w:val="1"/>
          <w:color w:val="auto"/>
        </w:rPr>
        <w:t xml:space="preserve">Theatrical Motion Picture Exhibition </w:t>
      </w:r>
      <w:r>
        <w:rPr>
          <w:rFonts w:ascii="Arial" w:cs="Arial" w:eastAsia="Arial" w:hAnsi="Arial"/>
          <w:sz w:val="17"/>
          <w:szCs w:val="17"/>
          <w:color w:val="auto"/>
        </w:rPr>
        <w:t>(“Cinema Exhibition”), through our 60 cinemas.</w:t>
      </w:r>
    </w:p>
    <w:p>
      <w:pPr>
        <w:spacing w:after="0" w:line="96" w:lineRule="exact"/>
        <w:rPr>
          <w:rFonts w:ascii="Arial" w:cs="Arial" w:eastAsia="Arial" w:hAnsi="Arial"/>
          <w:sz w:val="27"/>
          <w:szCs w:val="27"/>
          <w:color w:val="auto"/>
          <w:vertAlign w:val="superscript"/>
        </w:rPr>
      </w:pPr>
    </w:p>
    <w:p>
      <w:pPr>
        <w:ind w:left="640" w:right="20" w:hanging="320"/>
        <w:spacing w:after="0" w:line="199" w:lineRule="auto"/>
        <w:tabs>
          <w:tab w:leader="none" w:pos="64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Real Estate</w:t>
      </w:r>
      <w:r>
        <w:rPr>
          <w:rFonts w:ascii="Arial" w:cs="Arial" w:eastAsia="Arial" w:hAnsi="Arial"/>
          <w:sz w:val="17"/>
          <w:szCs w:val="17"/>
          <w:color w:val="auto"/>
        </w:rPr>
        <w:t>, including real estate development and the rental or licensing of retail, commercial and live theatre assets comprised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approximately 22,188,000 square feet of land and approximately 844,000 square feet of net rentable area.</w:t>
      </w:r>
    </w:p>
    <w:p>
      <w:pPr>
        <w:spacing w:after="0" w:line="200" w:lineRule="exact"/>
        <w:rPr>
          <w:rFonts w:ascii="Arial" w:cs="Arial" w:eastAsia="Arial" w:hAnsi="Arial"/>
          <w:sz w:val="28"/>
          <w:szCs w:val="28"/>
          <w:color w:val="auto"/>
          <w:vertAlign w:val="superscript"/>
        </w:rPr>
      </w:pPr>
    </w:p>
    <w:p>
      <w:pPr>
        <w:spacing w:after="0" w:line="218" w:lineRule="exact"/>
        <w:rPr>
          <w:rFonts w:ascii="Arial" w:cs="Arial" w:eastAsia="Arial" w:hAnsi="Arial"/>
          <w:sz w:val="28"/>
          <w:szCs w:val="28"/>
          <w:color w:val="auto"/>
          <w:vertAlign w:val="superscript"/>
        </w:rPr>
      </w:pPr>
    </w:p>
    <w:p>
      <w:pPr>
        <w:ind w:left="4920" w:hanging="151"/>
        <w:spacing w:after="0"/>
        <w:tabs>
          <w:tab w:leader="none" w:pos="4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476" w:right="10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Set forth below is a brief description of the various brands under which we organize our business operations: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2440" w:type="dxa"/>
            <w:vAlign w:val="bottom"/>
            <w:tcBorders>
              <w:top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Our Commercial Brands</w:t>
            </w:r>
          </w:p>
        </w:tc>
        <w:tc>
          <w:tcPr>
            <w:tcW w:w="1240" w:type="dxa"/>
            <w:vAlign w:val="bottom"/>
            <w:tcBorders>
              <w:top w:val="single" w:sz="8" w:color="auto"/>
            </w:tcBorders>
            <w:vMerge w:val="restart"/>
          </w:tcPr>
          <w:p>
            <w:pPr>
              <w:jc w:val="center"/>
              <w:ind w:left="168"/>
              <w:spacing w:after="0"/>
              <w:rPr>
                <w:sz w:val="20"/>
                <w:szCs w:val="20"/>
                <w:color w:val="auto"/>
              </w:rPr>
            </w:pPr>
            <w:r>
              <w:rPr>
                <w:rFonts w:ascii="Arial" w:cs="Arial" w:eastAsia="Arial" w:hAnsi="Arial"/>
                <w:sz w:val="14"/>
                <w:szCs w:val="14"/>
                <w:b w:val="1"/>
                <w:bCs w:val="1"/>
                <w:color w:val="auto"/>
                <w:w w:val="96"/>
              </w:rPr>
              <w:t>Country</w:t>
            </w:r>
          </w:p>
        </w:tc>
        <w:tc>
          <w:tcPr>
            <w:tcW w:w="66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Description</w:t>
            </w:r>
          </w:p>
        </w:tc>
        <w:tc>
          <w:tcPr>
            <w:tcW w:w="6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4"/>
              </w:rPr>
              <w:t>Website Link</w:t>
            </w:r>
          </w:p>
        </w:tc>
        <w:tc>
          <w:tcPr>
            <w:tcW w:w="0" w:type="dxa"/>
            <w:vAlign w:val="bottom"/>
          </w:tcPr>
          <w:p>
            <w:pPr>
              <w:spacing w:after="0"/>
              <w:rPr>
                <w:sz w:val="1"/>
                <w:szCs w:val="1"/>
                <w:color w:val="auto"/>
              </w:rPr>
            </w:pPr>
          </w:p>
        </w:tc>
      </w:tr>
      <w:tr>
        <w:trPr>
          <w:trHeight w:val="105"/>
        </w:trPr>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Segment / Unit</w:t>
            </w:r>
          </w:p>
        </w:tc>
        <w:tc>
          <w:tcPr>
            <w:tcW w:w="24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080" w:type="dxa"/>
            <w:vAlign w:val="bottom"/>
            <w:vMerge w:val="continue"/>
          </w:tcPr>
          <w:p>
            <w:pPr>
              <w:spacing w:after="0"/>
              <w:rPr>
                <w:sz w:val="3"/>
                <w:szCs w:val="3"/>
                <w:color w:val="auto"/>
              </w:rPr>
            </w:pPr>
          </w:p>
        </w:tc>
        <w:tc>
          <w:tcPr>
            <w:tcW w:w="2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08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Cinema</w:t>
            </w:r>
          </w:p>
        </w:tc>
        <w:tc>
          <w:tcPr>
            <w:tcW w:w="2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08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Exhibition</w:t>
            </w:r>
          </w:p>
        </w:tc>
        <w:tc>
          <w:tcPr>
            <w:tcW w:w="2440" w:type="dxa"/>
            <w:vAlign w:val="bottom"/>
          </w:tcPr>
          <w:p>
            <w:pPr>
              <w:spacing w:after="0"/>
              <w:rPr>
                <w:sz w:val="13"/>
                <w:szCs w:val="13"/>
                <w:color w:val="auto"/>
              </w:rPr>
            </w:pPr>
          </w:p>
        </w:tc>
        <w:tc>
          <w:tcPr>
            <w:tcW w:w="1240" w:type="dxa"/>
            <w:vAlign w:val="bottom"/>
            <w:vMerge w:val="restart"/>
          </w:tcPr>
          <w:p>
            <w:pPr>
              <w:jc w:val="center"/>
              <w:ind w:left="148"/>
              <w:spacing w:after="0"/>
              <w:rPr>
                <w:sz w:val="20"/>
                <w:szCs w:val="20"/>
                <w:color w:val="auto"/>
              </w:rPr>
            </w:pPr>
            <w:r>
              <w:rPr>
                <w:rFonts w:ascii="Arial" w:cs="Arial" w:eastAsia="Arial" w:hAnsi="Arial"/>
                <w:sz w:val="14"/>
                <w:szCs w:val="14"/>
                <w:color w:val="auto"/>
                <w:w w:val="92"/>
              </w:rPr>
              <w:t>United States</w:t>
            </w:r>
          </w:p>
        </w:tc>
        <w:tc>
          <w:tcPr>
            <w:tcW w:w="3640" w:type="dxa"/>
            <w:vAlign w:val="bottom"/>
            <w:gridSpan w:val="3"/>
            <w:vMerge w:val="restart"/>
          </w:tcPr>
          <w:p>
            <w:pPr>
              <w:ind w:left="100"/>
              <w:spacing w:after="0"/>
              <w:rPr>
                <w:sz w:val="20"/>
                <w:szCs w:val="20"/>
                <w:color w:val="auto"/>
              </w:rPr>
            </w:pPr>
            <w:r>
              <w:rPr>
                <w:rFonts w:ascii="Arial" w:cs="Arial" w:eastAsia="Arial" w:hAnsi="Arial"/>
                <w:sz w:val="14"/>
                <w:szCs w:val="14"/>
                <w:color w:val="auto"/>
                <w:w w:val="96"/>
              </w:rPr>
              <w:t xml:space="preserve">Our </w:t>
            </w:r>
            <w:r>
              <w:rPr>
                <w:rFonts w:ascii="Arial" w:cs="Arial" w:eastAsia="Arial" w:hAnsi="Arial"/>
                <w:sz w:val="14"/>
                <w:szCs w:val="14"/>
                <w:b w:val="1"/>
                <w:bCs w:val="1"/>
                <w:color w:val="auto"/>
                <w:w w:val="96"/>
              </w:rPr>
              <w:t>Reading Cinemas</w:t>
            </w:r>
            <w:r>
              <w:rPr>
                <w:rFonts w:ascii="Arial" w:cs="Arial" w:eastAsia="Arial" w:hAnsi="Arial"/>
                <w:sz w:val="14"/>
                <w:szCs w:val="14"/>
                <w:color w:val="auto"/>
                <w:w w:val="96"/>
              </w:rPr>
              <w:t xml:space="preserve"> tradename is derived from our over</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2"/>
              </w:rPr>
              <w:t>Reading Cinemas US</w:t>
            </w:r>
          </w:p>
        </w:tc>
        <w:tc>
          <w:tcPr>
            <w:tcW w:w="0" w:type="dxa"/>
            <w:vAlign w:val="bottom"/>
          </w:tcPr>
          <w:p>
            <w:pPr>
              <w:spacing w:after="0"/>
              <w:rPr>
                <w:sz w:val="1"/>
                <w:szCs w:val="1"/>
                <w:color w:val="auto"/>
              </w:rPr>
            </w:pPr>
          </w:p>
        </w:tc>
      </w:tr>
      <w:tr>
        <w:trPr>
          <w:trHeight w:val="81"/>
        </w:trPr>
        <w:tc>
          <w:tcPr>
            <w:tcW w:w="1080" w:type="dxa"/>
            <w:vAlign w:val="bottom"/>
            <w:vMerge w:val="restart"/>
          </w:tcPr>
          <w:p>
            <w:pPr>
              <w:ind w:left="40"/>
              <w:spacing w:after="0"/>
              <w:rPr>
                <w:sz w:val="20"/>
                <w:szCs w:val="20"/>
                <w:color w:val="auto"/>
              </w:rPr>
            </w:pPr>
            <w:r>
              <w:rPr>
                <w:rFonts w:ascii="Arial" w:cs="Arial" w:eastAsia="Arial" w:hAnsi="Arial"/>
                <w:sz w:val="14"/>
                <w:szCs w:val="14"/>
                <w:color w:val="auto"/>
              </w:rPr>
              <w:t>/  All Countries</w:t>
            </w:r>
          </w:p>
        </w:tc>
        <w:tc>
          <w:tcPr>
            <w:tcW w:w="2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640" w:type="dxa"/>
            <w:vAlign w:val="bottom"/>
            <w:gridSpan w:val="3"/>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80" w:type="dxa"/>
            <w:vAlign w:val="bottom"/>
            <w:vMerge w:val="continue"/>
          </w:tcPr>
          <w:p>
            <w:pPr>
              <w:spacing w:after="0"/>
              <w:rPr>
                <w:sz w:val="8"/>
                <w:szCs w:val="8"/>
                <w:color w:val="auto"/>
              </w:rPr>
            </w:pPr>
          </w:p>
        </w:tc>
        <w:tc>
          <w:tcPr>
            <w:tcW w:w="2440" w:type="dxa"/>
            <w:vAlign w:val="bottom"/>
          </w:tcPr>
          <w:p>
            <w:pPr>
              <w:spacing w:after="0"/>
              <w:rPr>
                <w:sz w:val="8"/>
                <w:szCs w:val="8"/>
                <w:color w:val="auto"/>
              </w:rPr>
            </w:pPr>
          </w:p>
        </w:tc>
        <w:tc>
          <w:tcPr>
            <w:tcW w:w="1240" w:type="dxa"/>
            <w:vAlign w:val="bottom"/>
            <w:vMerge w:val="restart"/>
          </w:tcPr>
          <w:p>
            <w:pPr>
              <w:jc w:val="center"/>
              <w:ind w:left="168"/>
              <w:spacing w:after="0" w:line="149" w:lineRule="exact"/>
              <w:rPr>
                <w:sz w:val="20"/>
                <w:szCs w:val="20"/>
                <w:color w:val="auto"/>
              </w:rPr>
            </w:pPr>
            <w:r>
              <w:rPr>
                <w:rFonts w:ascii="Arial" w:cs="Arial" w:eastAsia="Arial" w:hAnsi="Arial"/>
                <w:sz w:val="14"/>
                <w:szCs w:val="14"/>
                <w:color w:val="auto"/>
                <w:w w:val="95"/>
              </w:rPr>
              <w:t>Australia</w:t>
            </w:r>
          </w:p>
        </w:tc>
        <w:tc>
          <w:tcPr>
            <w:tcW w:w="3640" w:type="dxa"/>
            <w:vAlign w:val="bottom"/>
            <w:gridSpan w:val="3"/>
            <w:vMerge w:val="restart"/>
          </w:tcPr>
          <w:p>
            <w:pPr>
              <w:ind w:left="100"/>
              <w:spacing w:after="0" w:line="149" w:lineRule="exact"/>
              <w:rPr>
                <w:sz w:val="20"/>
                <w:szCs w:val="20"/>
                <w:color w:val="auto"/>
              </w:rPr>
            </w:pPr>
            <w:r>
              <w:rPr>
                <w:rFonts w:ascii="Arial" w:cs="Arial" w:eastAsia="Arial" w:hAnsi="Arial"/>
                <w:sz w:val="14"/>
                <w:szCs w:val="14"/>
                <w:color w:val="auto"/>
                <w:w w:val="97"/>
              </w:rPr>
              <w:t>185-year history as the “Reading Railroad” featured on the</w:t>
            </w:r>
          </w:p>
        </w:tc>
        <w:tc>
          <w:tcPr>
            <w:tcW w:w="1540" w:type="dxa"/>
            <w:vAlign w:val="bottom"/>
            <w:vMerge w:val="restart"/>
          </w:tcPr>
          <w:p>
            <w:pPr>
              <w:jc w:val="center"/>
              <w:ind w:right="8"/>
              <w:spacing w:after="0" w:line="149" w:lineRule="exact"/>
              <w:rPr>
                <w:sz w:val="20"/>
                <w:szCs w:val="20"/>
                <w:color w:val="auto"/>
              </w:rPr>
            </w:pPr>
            <w:r>
              <w:rPr>
                <w:rFonts w:ascii="Arial" w:cs="Arial" w:eastAsia="Arial" w:hAnsi="Arial"/>
                <w:sz w:val="14"/>
                <w:szCs w:val="14"/>
                <w:color w:val="auto"/>
                <w:w w:val="93"/>
              </w:rPr>
              <w:t>Reading Cinemas AU</w:t>
            </w:r>
          </w:p>
        </w:tc>
        <w:tc>
          <w:tcPr>
            <w:tcW w:w="0" w:type="dxa"/>
            <w:vAlign w:val="bottom"/>
          </w:tcPr>
          <w:p>
            <w:pPr>
              <w:spacing w:after="0"/>
              <w:rPr>
                <w:sz w:val="1"/>
                <w:szCs w:val="1"/>
                <w:color w:val="auto"/>
              </w:rPr>
            </w:pPr>
          </w:p>
        </w:tc>
      </w:tr>
      <w:tr>
        <w:trPr>
          <w:trHeight w:val="47"/>
        </w:trPr>
        <w:tc>
          <w:tcPr>
            <w:tcW w:w="10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640" w:type="dxa"/>
            <w:vAlign w:val="bottom"/>
            <w:gridSpan w:val="3"/>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4"/>
              </w:rPr>
              <w:t>New Zealand</w:t>
            </w: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i w:val="1"/>
                <w:iCs w:val="1"/>
                <w:color w:val="auto"/>
              </w:rPr>
              <w:t>Monopoly</w:t>
            </w:r>
            <w:r>
              <w:rPr>
                <w:rFonts w:ascii="Arial" w:cs="Arial" w:eastAsia="Arial" w:hAnsi="Arial"/>
                <w:sz w:val="7"/>
                <w:szCs w:val="7"/>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game board. Under this brand, we deliver</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2"/>
              </w:rPr>
              <w:t>Reading Cinemas NZ</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beyond-the-home entertainment (principally mainstream</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movies and alternative content and attendant food and</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9"/>
              </w:rPr>
              <w:t>beverage) across our three operating jurisdictions. All our</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6"/>
              </w:rPr>
              <w:t>cinemas are equipped with the latest state-of-the-art digital</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9"/>
              </w:rPr>
              <w:t>equipment, and 22 Reading Cinemas feature at least one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TITAN  LUXE,  TITAN  XC  or  IMAX  premium</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auditorium. And, 19 screens in Reading Cinemas feature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luxury recliner seating.</w:t>
            </w: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3"/>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jc w:val="center"/>
              <w:ind w:left="148"/>
              <w:spacing w:after="0"/>
              <w:rPr>
                <w:sz w:val="20"/>
                <w:szCs w:val="20"/>
                <w:color w:val="auto"/>
              </w:rPr>
            </w:pPr>
            <w:r>
              <w:rPr>
                <w:rFonts w:ascii="Arial" w:cs="Arial" w:eastAsia="Arial" w:hAnsi="Arial"/>
                <w:sz w:val="14"/>
                <w:szCs w:val="14"/>
                <w:color w:val="auto"/>
                <w:w w:val="92"/>
              </w:rPr>
              <w:t>United States</w:t>
            </w:r>
          </w:p>
        </w:tc>
        <w:tc>
          <w:tcPr>
            <w:tcW w:w="3640" w:type="dxa"/>
            <w:vAlign w:val="bottom"/>
            <w:gridSpan w:val="3"/>
          </w:tcPr>
          <w:p>
            <w:pPr>
              <w:ind w:left="100"/>
              <w:spacing w:after="0"/>
              <w:rPr>
                <w:sz w:val="20"/>
                <w:szCs w:val="20"/>
                <w:color w:val="auto"/>
              </w:rPr>
            </w:pPr>
            <w:r>
              <w:rPr>
                <w:rFonts w:ascii="Arial" w:cs="Arial" w:eastAsia="Arial" w:hAnsi="Arial"/>
                <w:sz w:val="14"/>
                <w:szCs w:val="14"/>
                <w:color w:val="auto"/>
                <w:w w:val="96"/>
              </w:rPr>
              <w:t xml:space="preserve">In 2017, our </w:t>
            </w:r>
            <w:r>
              <w:rPr>
                <w:rFonts w:ascii="Arial" w:cs="Arial" w:eastAsia="Arial" w:hAnsi="Arial"/>
                <w:sz w:val="14"/>
                <w:szCs w:val="14"/>
                <w:b w:val="1"/>
                <w:bCs w:val="1"/>
                <w:color w:val="auto"/>
                <w:w w:val="96"/>
              </w:rPr>
              <w:t>Consolidated Theatres</w:t>
            </w:r>
            <w:r>
              <w:rPr>
                <w:rFonts w:ascii="Arial" w:cs="Arial" w:eastAsia="Arial" w:hAnsi="Arial"/>
                <w:sz w:val="14"/>
                <w:szCs w:val="14"/>
                <w:color w:val="auto"/>
                <w:w w:val="96"/>
              </w:rPr>
              <w:t xml:space="preserve"> celebrated 100 years</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Consolidated Theatres</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of  providing  cinematic  entertainment  in  the  state  of</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Hawaii.  We are the oldest and largest circuit in Hawaii</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with nine cinemas on the islands of Oahu and Maui. In</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2019, we completed the “Top-To-Bottom” renovation of</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our  Consolidated  Theatre  in  Mililani  on  Oahu,  now</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featuring 14-screens with recliner seating and a TITAN</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LUXE screen, a full F&amp;B upgrade, including the sale of</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beer, wine &amp; spirits, and a lobby re-design.</w:t>
            </w: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4"/>
                <w:szCs w:val="14"/>
                <w:color w:val="auto"/>
                <w:w w:val="97"/>
              </w:rPr>
              <w:t>In the last four years, we have added luxury recliners to all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Consolidated  Theatres  in  Pearlridge  and</w:t>
            </w:r>
          </w:p>
        </w:tc>
        <w:tc>
          <w:tcPr>
            <w:tcW w:w="6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Victoria</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Ward. And, our Consolidated Theatre at the Kahala Mall is</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40" w:type="dxa"/>
            <w:vAlign w:val="bottom"/>
            <w:gridSpan w:val="3"/>
          </w:tcPr>
          <w:p>
            <w:pPr>
              <w:ind w:left="100"/>
              <w:spacing w:after="0"/>
              <w:rPr>
                <w:sz w:val="20"/>
                <w:szCs w:val="20"/>
                <w:color w:val="auto"/>
              </w:rPr>
            </w:pPr>
            <w:r>
              <w:rPr>
                <w:rFonts w:ascii="Arial" w:cs="Arial" w:eastAsia="Arial" w:hAnsi="Arial"/>
                <w:sz w:val="14"/>
                <w:szCs w:val="14"/>
                <w:color w:val="auto"/>
              </w:rPr>
              <w:t>currently undergoing a “Top-to-Bottom” renovation.</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4"/>
                <w:szCs w:val="14"/>
                <w:color w:val="auto"/>
              </w:rPr>
              <w:t>And, in 2016, we opened an 8-screen state-of-the-art, all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recliner cinema, featuring a TITAN LUXE and a full F&amp;B</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offer.  The cinema, located at Ka’Makana Ali’i, is known</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Arial" w:cs="Arial" w:eastAsia="Arial" w:hAnsi="Arial"/>
                <w:sz w:val="14"/>
                <w:szCs w:val="14"/>
                <w:color w:val="auto"/>
                <w:w w:val="97"/>
              </w:rPr>
              <w:t>as Olino.</w:t>
            </w:r>
          </w:p>
        </w:tc>
        <w:tc>
          <w:tcPr>
            <w:tcW w:w="2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3"/>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40" w:type="dxa"/>
            <w:vAlign w:val="bottom"/>
          </w:tcPr>
          <w:p>
            <w:pPr>
              <w:jc w:val="center"/>
              <w:ind w:left="148"/>
              <w:spacing w:after="0"/>
              <w:rPr>
                <w:sz w:val="20"/>
                <w:szCs w:val="20"/>
                <w:color w:val="auto"/>
              </w:rPr>
            </w:pPr>
            <w:r>
              <w:rPr>
                <w:rFonts w:ascii="Arial" w:cs="Arial" w:eastAsia="Arial" w:hAnsi="Arial"/>
                <w:sz w:val="14"/>
                <w:szCs w:val="14"/>
                <w:color w:val="auto"/>
                <w:w w:val="92"/>
              </w:rPr>
              <w:t>United States</w:t>
            </w:r>
          </w:p>
        </w:tc>
        <w:tc>
          <w:tcPr>
            <w:tcW w:w="3640" w:type="dxa"/>
            <w:vAlign w:val="bottom"/>
            <w:gridSpan w:val="3"/>
          </w:tcPr>
          <w:p>
            <w:pPr>
              <w:ind w:left="100"/>
              <w:spacing w:after="0"/>
              <w:rPr>
                <w:sz w:val="20"/>
                <w:szCs w:val="20"/>
                <w:color w:val="auto"/>
              </w:rPr>
            </w:pPr>
            <w:r>
              <w:rPr>
                <w:rFonts w:ascii="Arial" w:cs="Arial" w:eastAsia="Arial" w:hAnsi="Arial"/>
                <w:sz w:val="14"/>
                <w:szCs w:val="14"/>
                <w:color w:val="auto"/>
              </w:rPr>
              <w:t>Several  of  the  Company’s  cinemas  are  considered</w:t>
            </w:r>
          </w:p>
        </w:tc>
        <w:tc>
          <w:tcPr>
            <w:tcW w:w="1540" w:type="dxa"/>
            <w:vAlign w:val="bottom"/>
          </w:tcPr>
          <w:p>
            <w:pPr>
              <w:jc w:val="center"/>
              <w:ind w:right="8"/>
              <w:spacing w:after="0"/>
              <w:rPr>
                <w:sz w:val="20"/>
                <w:szCs w:val="20"/>
                <w:color w:val="auto"/>
              </w:rPr>
            </w:pPr>
            <w:r>
              <w:rPr>
                <w:rFonts w:ascii="Arial" w:cs="Arial" w:eastAsia="Arial" w:hAnsi="Arial"/>
                <w:sz w:val="14"/>
                <w:szCs w:val="14"/>
                <w:color w:val="auto"/>
                <w:w w:val="96"/>
              </w:rPr>
              <w:t>Angelika Film Center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5"/>
              </w:rPr>
              <w:t>Australia</w:t>
            </w: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arthouses or specialty theaters since their programming</w:t>
            </w:r>
          </w:p>
        </w:tc>
        <w:tc>
          <w:tcPr>
            <w:tcW w:w="15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3"/>
              </w:rPr>
              <w:t>City Cinemas</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9"/>
              </w:rPr>
              <w:t>features specialty film: independent film, international film</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9"/>
              </w:rPr>
              <w:t>State Cinema</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20" w:type="dxa"/>
            <w:vAlign w:val="bottom"/>
            <w:gridSpan w:val="2"/>
          </w:tcPr>
          <w:p>
            <w:pPr>
              <w:ind w:left="100"/>
              <w:spacing w:after="0"/>
              <w:rPr>
                <w:sz w:val="20"/>
                <w:szCs w:val="20"/>
                <w:color w:val="auto"/>
              </w:rPr>
            </w:pPr>
            <w:r>
              <w:rPr>
                <w:rFonts w:ascii="Arial" w:cs="Arial" w:eastAsia="Arial" w:hAnsi="Arial"/>
                <w:sz w:val="14"/>
                <w:szCs w:val="14"/>
                <w:color w:val="auto"/>
              </w:rPr>
              <w:t>and documentaries.</w:t>
            </w: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4"/>
                <w:szCs w:val="14"/>
                <w:color w:val="auto"/>
              </w:rPr>
              <w:t xml:space="preserve">Since its opening in 1989, our New York City </w:t>
            </w:r>
            <w:r>
              <w:rPr>
                <w:rFonts w:ascii="Arial" w:cs="Arial" w:eastAsia="Arial" w:hAnsi="Arial"/>
                <w:sz w:val="14"/>
                <w:szCs w:val="14"/>
                <w:b w:val="1"/>
                <w:bCs w:val="1"/>
                <w:color w:val="auto"/>
              </w:rPr>
              <w:t>Angelika</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 xml:space="preserve">Film Center </w:t>
            </w:r>
            <w:r>
              <w:rPr>
                <w:rFonts w:ascii="Arial" w:cs="Arial" w:eastAsia="Arial" w:hAnsi="Arial"/>
                <w:sz w:val="14"/>
                <w:szCs w:val="14"/>
                <w:color w:val="auto"/>
              </w:rPr>
              <w:t>has and consistently continues to be one of</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the most popular and influential arthouse cinemas in the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U.S.,  featuring  principally  independent  and</w:t>
            </w:r>
          </w:p>
        </w:tc>
        <w:tc>
          <w:tcPr>
            <w:tcW w:w="6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foreign</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auto"/>
              </w:rPr>
              <w:t>films.</w:t>
            </w:r>
          </w:p>
        </w:tc>
        <w:tc>
          <w:tcPr>
            <w:tcW w:w="2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To date, we have expanded our Angelika Film</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Center Group to include five other Angelikas: two in the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40" w:type="dxa"/>
            <w:vAlign w:val="bottom"/>
            <w:gridSpan w:val="3"/>
          </w:tcPr>
          <w:p>
            <w:pPr>
              <w:ind w:left="100"/>
              <w:spacing w:after="0"/>
              <w:rPr>
                <w:sz w:val="20"/>
                <w:szCs w:val="20"/>
                <w:color w:val="auto"/>
              </w:rPr>
            </w:pPr>
            <w:r>
              <w:rPr>
                <w:rFonts w:ascii="Arial" w:cs="Arial" w:eastAsia="Arial" w:hAnsi="Arial"/>
                <w:sz w:val="14"/>
                <w:szCs w:val="14"/>
                <w:color w:val="auto"/>
                <w:w w:val="95"/>
              </w:rPr>
              <w:t>Dallas area, two in the Washington DC area and one in San</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-4692650</wp:posOffset>
            </wp:positionV>
            <wp:extent cx="822960" cy="994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99441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-2961005</wp:posOffset>
            </wp:positionV>
            <wp:extent cx="149161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36004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-2052320</wp:posOffset>
            </wp:positionV>
            <wp:extent cx="925830" cy="334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33401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-1032510</wp:posOffset>
            </wp:positionV>
            <wp:extent cx="1268730"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8730" cy="754380"/>
                    </a:xfrm>
                    <a:prstGeom prst="rect">
                      <a:avLst/>
                    </a:prstGeom>
                    <a:noFill/>
                  </pic:spPr>
                </pic:pic>
              </a:graphicData>
            </a:graphic>
          </wp:anchor>
        </w:drawing>
      </w:r>
    </w:p>
    <w:p>
      <w:pPr>
        <w:ind w:left="4860"/>
        <w:spacing w:after="0" w:line="221" w:lineRule="auto"/>
        <w:rPr>
          <w:sz w:val="20"/>
          <w:szCs w:val="20"/>
          <w:color w:val="auto"/>
        </w:rPr>
      </w:pPr>
      <w:r>
        <w:rPr>
          <w:rFonts w:ascii="Arial" w:cs="Arial" w:eastAsia="Arial" w:hAnsi="Arial"/>
          <w:sz w:val="14"/>
          <w:szCs w:val="14"/>
          <w:color w:val="auto"/>
        </w:rPr>
        <w:t>Diego, CA. Each of the Angelikas also offers a curated</w:t>
      </w:r>
    </w:p>
    <w:p>
      <w:pPr>
        <w:ind w:left="4860"/>
        <w:spacing w:after="0"/>
        <w:rPr>
          <w:sz w:val="20"/>
          <w:szCs w:val="20"/>
          <w:color w:val="auto"/>
        </w:rPr>
      </w:pPr>
      <w:r>
        <w:rPr>
          <w:rFonts w:ascii="Arial" w:cs="Arial" w:eastAsia="Arial" w:hAnsi="Arial"/>
          <w:sz w:val="14"/>
          <w:szCs w:val="14"/>
          <w:color w:val="auto"/>
        </w:rPr>
        <w:t>food and beverage experience.</w:t>
      </w:r>
    </w:p>
    <w:p>
      <w:pPr>
        <w:spacing w:after="0" w:line="191"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In New York City, under the City Cinemas brand, we also</w:t>
      </w:r>
    </w:p>
    <w:p>
      <w:pPr>
        <w:ind w:left="4860"/>
        <w:spacing w:after="0" w:line="221" w:lineRule="auto"/>
        <w:rPr>
          <w:sz w:val="20"/>
          <w:szCs w:val="20"/>
          <w:color w:val="auto"/>
        </w:rPr>
      </w:pPr>
      <w:r>
        <w:rPr>
          <w:rFonts w:ascii="Arial" w:cs="Arial" w:eastAsia="Arial" w:hAnsi="Arial"/>
          <w:sz w:val="14"/>
          <w:szCs w:val="14"/>
          <w:color w:val="auto"/>
        </w:rPr>
        <w:t>operate the Village East Cinema in the East Village and the</w:t>
      </w:r>
    </w:p>
    <w:p>
      <w:pPr>
        <w:ind w:left="4860"/>
        <w:spacing w:after="0" w:line="221" w:lineRule="auto"/>
        <w:tabs>
          <w:tab w:leader="none" w:pos="6820" w:val="left"/>
        </w:tabs>
        <w:rPr>
          <w:sz w:val="20"/>
          <w:szCs w:val="20"/>
          <w:color w:val="auto"/>
        </w:rPr>
      </w:pPr>
      <w:r>
        <w:rPr>
          <w:rFonts w:ascii="Arial" w:cs="Arial" w:eastAsia="Arial" w:hAnsi="Arial"/>
          <w:sz w:val="14"/>
          <w:szCs w:val="14"/>
          <w:color w:val="auto"/>
        </w:rPr>
        <w:t>Cinemas 1,2,3 in Manhattan.</w:t>
        <w:tab/>
        <w:t>Each of these cinemas</w:t>
      </w:r>
    </w:p>
    <w:p>
      <w:pPr>
        <w:ind w:left="4860"/>
        <w:spacing w:after="0" w:line="222" w:lineRule="auto"/>
        <w:rPr>
          <w:sz w:val="20"/>
          <w:szCs w:val="20"/>
          <w:color w:val="auto"/>
        </w:rPr>
      </w:pPr>
      <w:r>
        <w:rPr>
          <w:rFonts w:ascii="Arial" w:cs="Arial" w:eastAsia="Arial" w:hAnsi="Arial"/>
          <w:sz w:val="14"/>
          <w:szCs w:val="14"/>
          <w:color w:val="auto"/>
        </w:rPr>
        <w:t>feature a variety of programming, but place a particular</w:t>
      </w:r>
    </w:p>
    <w:p>
      <w:pPr>
        <w:ind w:left="4860"/>
        <w:spacing w:after="0" w:line="221" w:lineRule="auto"/>
        <w:rPr>
          <w:sz w:val="20"/>
          <w:szCs w:val="20"/>
          <w:color w:val="auto"/>
        </w:rPr>
      </w:pPr>
      <w:r>
        <w:rPr>
          <w:rFonts w:ascii="Arial" w:cs="Arial" w:eastAsia="Arial" w:hAnsi="Arial"/>
          <w:sz w:val="14"/>
          <w:szCs w:val="14"/>
          <w:color w:val="auto"/>
        </w:rPr>
        <w:t>emphasis  on  independent  film,  international  film  and</w:t>
      </w:r>
    </w:p>
    <w:p>
      <w:pPr>
        <w:ind w:left="4860"/>
        <w:spacing w:after="0"/>
        <w:rPr>
          <w:sz w:val="20"/>
          <w:szCs w:val="20"/>
          <w:color w:val="auto"/>
        </w:rPr>
      </w:pPr>
      <w:r>
        <w:rPr>
          <w:rFonts w:ascii="Arial" w:cs="Arial" w:eastAsia="Arial" w:hAnsi="Arial"/>
          <w:sz w:val="14"/>
          <w:szCs w:val="14"/>
          <w:color w:val="auto"/>
        </w:rPr>
        <w:t>documentaries.</w:t>
      </w:r>
    </w:p>
    <w:p>
      <w:pPr>
        <w:spacing w:after="0" w:line="192" w:lineRule="exact"/>
        <w:rPr>
          <w:sz w:val="20"/>
          <w:szCs w:val="20"/>
          <w:color w:val="auto"/>
        </w:rPr>
      </w:pPr>
    </w:p>
    <w:p>
      <w:pPr>
        <w:jc w:val="both"/>
        <w:ind w:left="4860" w:right="1640"/>
        <w:spacing w:after="0" w:line="228" w:lineRule="auto"/>
        <w:rPr>
          <w:sz w:val="20"/>
          <w:szCs w:val="20"/>
          <w:color w:val="auto"/>
        </w:rPr>
      </w:pPr>
      <w:r>
        <w:rPr>
          <w:rFonts w:ascii="Arial" w:cs="Arial" w:eastAsia="Arial" w:hAnsi="Arial"/>
          <w:sz w:val="14"/>
          <w:szCs w:val="14"/>
          <w:color w:val="auto"/>
        </w:rPr>
        <w:t>In December 2019, we acquired the iconic 100-year-old State Cinema in Hobart, Tasmania, Australia, which has been ranked the fifth highest grossing arthouse in Australia for the last decade. The cinema, featuring 10 screens, a rooftop cinema and bar, a large café and an independent bookstore, is and has been a major cultural destination in North Hobart for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-469900</wp:posOffset>
            </wp:positionV>
            <wp:extent cx="925830"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5830" cy="737235"/>
                    </a:xfrm>
                    <a:prstGeom prst="rect">
                      <a:avLst/>
                    </a:prstGeom>
                    <a:noFill/>
                  </pic:spPr>
                </pic:pic>
              </a:graphicData>
            </a:graphic>
          </wp:anchor>
        </w:drawing>
      </w:r>
    </w:p>
    <w:p>
      <w:pPr>
        <w:spacing w:after="0" w:line="165" w:lineRule="exact"/>
        <w:rPr>
          <w:sz w:val="20"/>
          <w:szCs w:val="20"/>
          <w:color w:val="auto"/>
        </w:rPr>
      </w:pPr>
    </w:p>
    <w:p>
      <w:pPr>
        <w:jc w:val="both"/>
        <w:ind w:left="4860" w:right="1640"/>
        <w:spacing w:after="0" w:line="238" w:lineRule="auto"/>
        <w:rPr>
          <w:sz w:val="20"/>
          <w:szCs w:val="20"/>
          <w:color w:val="auto"/>
        </w:rPr>
      </w:pPr>
      <w:r>
        <w:rPr>
          <w:rFonts w:ascii="Arial" w:cs="Arial" w:eastAsia="Arial" w:hAnsi="Arial"/>
          <w:sz w:val="14"/>
          <w:szCs w:val="14"/>
          <w:color w:val="auto"/>
        </w:rPr>
        <w:t>We are actively looking to expand our specialty theater portfolio by looking for more specialty theater sites in the U.S., Australia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1645285</wp:posOffset>
            </wp:positionV>
            <wp:extent cx="5623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393700</wp:posOffset>
            </wp:positionV>
            <wp:extent cx="94297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29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14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6"/>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2440" w:type="dxa"/>
            <w:vAlign w:val="bottom"/>
            <w:tcBorders>
              <w:top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Our Commercial Brands</w:t>
            </w:r>
          </w:p>
        </w:tc>
        <w:tc>
          <w:tcPr>
            <w:tcW w:w="1240" w:type="dxa"/>
            <w:vAlign w:val="bottom"/>
            <w:tcBorders>
              <w:top w:val="single" w:sz="8" w:color="auto"/>
            </w:tcBorders>
            <w:vMerge w:val="restart"/>
          </w:tcPr>
          <w:p>
            <w:pPr>
              <w:jc w:val="center"/>
              <w:ind w:left="170"/>
              <w:spacing w:after="0"/>
              <w:rPr>
                <w:sz w:val="20"/>
                <w:szCs w:val="20"/>
                <w:color w:val="auto"/>
              </w:rPr>
            </w:pPr>
            <w:r>
              <w:rPr>
                <w:rFonts w:ascii="Arial" w:cs="Arial" w:eastAsia="Arial" w:hAnsi="Arial"/>
                <w:sz w:val="14"/>
                <w:szCs w:val="14"/>
                <w:b w:val="1"/>
                <w:bCs w:val="1"/>
                <w:color w:val="auto"/>
                <w:w w:val="96"/>
              </w:rPr>
              <w:t>Country</w:t>
            </w:r>
          </w:p>
        </w:tc>
        <w:tc>
          <w:tcPr>
            <w:tcW w:w="2540" w:type="dxa"/>
            <w:vAlign w:val="bottom"/>
            <w:tcBorders>
              <w:top w:val="single" w:sz="8" w:color="auto"/>
            </w:tcBorders>
            <w:vMerge w:val="restart"/>
          </w:tcPr>
          <w:p>
            <w:pPr>
              <w:ind w:left="1460"/>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Website Link</w:t>
            </w:r>
          </w:p>
        </w:tc>
        <w:tc>
          <w:tcPr>
            <w:tcW w:w="0" w:type="dxa"/>
            <w:vAlign w:val="bottom"/>
          </w:tcPr>
          <w:p>
            <w:pPr>
              <w:spacing w:after="0"/>
              <w:rPr>
                <w:sz w:val="1"/>
                <w:szCs w:val="1"/>
                <w:color w:val="auto"/>
              </w:rPr>
            </w:pPr>
          </w:p>
        </w:tc>
      </w:tr>
      <w:tr>
        <w:trPr>
          <w:trHeight w:val="105"/>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Segment / Unit</w:t>
            </w:r>
          </w:p>
        </w:tc>
        <w:tc>
          <w:tcPr>
            <w:tcW w:w="24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80" w:type="dxa"/>
            <w:vAlign w:val="bottom"/>
            <w:tcBorders>
              <w:bottom w:val="single" w:sz="8" w:color="auto"/>
            </w:tcBorders>
            <w:vMerge w:val="continue"/>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080" w:type="dxa"/>
            <w:vAlign w:val="bottom"/>
          </w:tcPr>
          <w:p>
            <w:pPr>
              <w:ind w:left="40"/>
              <w:spacing w:after="0" w:line="123" w:lineRule="exact"/>
              <w:rPr>
                <w:sz w:val="20"/>
                <w:szCs w:val="20"/>
                <w:color w:val="auto"/>
              </w:rPr>
            </w:pPr>
            <w:r>
              <w:rPr>
                <w:rFonts w:ascii="Arial" w:cs="Arial" w:eastAsia="Arial" w:hAnsi="Arial"/>
                <w:sz w:val="14"/>
                <w:szCs w:val="14"/>
                <w:b w:val="1"/>
                <w:bCs w:val="1"/>
                <w:color w:val="auto"/>
              </w:rPr>
              <w:t xml:space="preserve">Real Estate </w:t>
            </w:r>
            <w:r>
              <w:rPr>
                <w:rFonts w:ascii="Arial" w:cs="Arial" w:eastAsia="Arial" w:hAnsi="Arial"/>
                <w:sz w:val="14"/>
                <w:szCs w:val="14"/>
                <w:color w:val="auto"/>
              </w:rPr>
              <w:t>/</w:t>
            </w:r>
          </w:p>
        </w:tc>
        <w:tc>
          <w:tcPr>
            <w:tcW w:w="2440" w:type="dxa"/>
            <w:vAlign w:val="bottom"/>
          </w:tcPr>
          <w:p>
            <w:pPr>
              <w:spacing w:after="0"/>
              <w:rPr>
                <w:sz w:val="10"/>
                <w:szCs w:val="10"/>
                <w:color w:val="auto"/>
              </w:rPr>
            </w:pPr>
          </w:p>
        </w:tc>
        <w:tc>
          <w:tcPr>
            <w:tcW w:w="1240" w:type="dxa"/>
            <w:vAlign w:val="bottom"/>
          </w:tcPr>
          <w:p>
            <w:pPr>
              <w:jc w:val="center"/>
              <w:ind w:left="150"/>
              <w:spacing w:after="0" w:line="123" w:lineRule="exact"/>
              <w:rPr>
                <w:sz w:val="20"/>
                <w:szCs w:val="20"/>
                <w:color w:val="auto"/>
              </w:rPr>
            </w:pPr>
            <w:r>
              <w:rPr>
                <w:rFonts w:ascii="Arial" w:cs="Arial" w:eastAsia="Arial" w:hAnsi="Arial"/>
                <w:sz w:val="14"/>
                <w:szCs w:val="14"/>
                <w:color w:val="auto"/>
                <w:w w:val="92"/>
              </w:rPr>
              <w:t>United States</w:t>
            </w:r>
          </w:p>
        </w:tc>
        <w:tc>
          <w:tcPr>
            <w:tcW w:w="3600" w:type="dxa"/>
            <w:vAlign w:val="bottom"/>
            <w:gridSpan w:val="3"/>
          </w:tcPr>
          <w:p>
            <w:pPr>
              <w:ind w:left="100"/>
              <w:spacing w:after="0" w:line="123" w:lineRule="exact"/>
              <w:rPr>
                <w:sz w:val="20"/>
                <w:szCs w:val="20"/>
                <w:color w:val="auto"/>
              </w:rPr>
            </w:pPr>
            <w:r>
              <w:rPr>
                <w:rFonts w:ascii="Arial" w:cs="Arial" w:eastAsia="Arial" w:hAnsi="Arial"/>
                <w:sz w:val="14"/>
                <w:szCs w:val="14"/>
                <w:color w:val="auto"/>
              </w:rPr>
              <w:t>Historically known as Tammany Hall, this building with</w:t>
            </w:r>
          </w:p>
        </w:tc>
        <w:tc>
          <w:tcPr>
            <w:tcW w:w="1580" w:type="dxa"/>
            <w:vAlign w:val="bottom"/>
          </w:tcPr>
          <w:p>
            <w:pPr>
              <w:jc w:val="center"/>
              <w:spacing w:after="0" w:line="123" w:lineRule="exact"/>
              <w:rPr>
                <w:sz w:val="20"/>
                <w:szCs w:val="20"/>
                <w:color w:val="auto"/>
              </w:rPr>
            </w:pPr>
            <w:r>
              <w:rPr>
                <w:rFonts w:ascii="Arial" w:cs="Arial" w:eastAsia="Arial" w:hAnsi="Arial"/>
                <w:sz w:val="14"/>
                <w:szCs w:val="14"/>
                <w:color w:val="auto"/>
                <w:w w:val="93"/>
              </w:rPr>
              <w:t>44 Union Square</w:t>
            </w:r>
          </w:p>
        </w:tc>
        <w:tc>
          <w:tcPr>
            <w:tcW w:w="0" w:type="dxa"/>
            <w:vAlign w:val="bottom"/>
          </w:tcPr>
          <w:p>
            <w:pPr>
              <w:spacing w:after="0"/>
              <w:rPr>
                <w:sz w:val="1"/>
                <w:szCs w:val="1"/>
                <w:color w:val="auto"/>
              </w:rPr>
            </w:pPr>
          </w:p>
        </w:tc>
      </w:tr>
      <w:tr>
        <w:trPr>
          <w:trHeight w:val="148"/>
        </w:trPr>
        <w:tc>
          <w:tcPr>
            <w:tcW w:w="1080" w:type="dxa"/>
            <w:vAlign w:val="bottom"/>
          </w:tcPr>
          <w:p>
            <w:pPr>
              <w:ind w:left="40"/>
              <w:spacing w:after="0" w:line="149" w:lineRule="exact"/>
              <w:rPr>
                <w:sz w:val="20"/>
                <w:szCs w:val="20"/>
                <w:color w:val="auto"/>
              </w:rPr>
            </w:pPr>
            <w:r>
              <w:rPr>
                <w:rFonts w:ascii="Arial" w:cs="Arial" w:eastAsia="Arial" w:hAnsi="Arial"/>
                <w:sz w:val="14"/>
                <w:szCs w:val="14"/>
                <w:color w:val="auto"/>
              </w:rPr>
              <w:t>Leasing</w:t>
            </w: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approximately 73,113 square feet of net rentable area</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overlooking   Manhattan’s   Union   Square,   is   now</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substantially complete and in the lease-up phase of its</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redevelopment.  This building, with its first in the city</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dome, brings the future to New York’s fabled past, was</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awarded in 2017 the AIA QUAD Design Honor Award,</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and  the  Architizer  A+  Awards,  Typology  Winner,</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Commercial Award.  It is one of a very limited number of</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5"/>
              </w:rPr>
              <w:t>locations in Manhattan that provides a major tenant(s) with</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 “brandable” site, and the only such location on Union</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Square.</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tcPr>
          <w:p>
            <w:pPr>
              <w:jc w:val="center"/>
              <w:ind w:left="170"/>
              <w:spacing w:after="0" w:line="119" w:lineRule="exact"/>
              <w:rPr>
                <w:sz w:val="20"/>
                <w:szCs w:val="20"/>
                <w:color w:val="auto"/>
              </w:rPr>
            </w:pPr>
            <w:r>
              <w:rPr>
                <w:rFonts w:ascii="Arial" w:cs="Arial" w:eastAsia="Arial" w:hAnsi="Arial"/>
                <w:sz w:val="13"/>
                <w:szCs w:val="13"/>
                <w:color w:val="auto"/>
              </w:rPr>
              <w:t>Australia</w:t>
            </w:r>
          </w:p>
        </w:tc>
        <w:tc>
          <w:tcPr>
            <w:tcW w:w="3600" w:type="dxa"/>
            <w:vAlign w:val="bottom"/>
            <w:gridSpan w:val="3"/>
          </w:tcPr>
          <w:p>
            <w:pPr>
              <w:ind w:left="100"/>
              <w:spacing w:after="0" w:line="119" w:lineRule="exact"/>
              <w:rPr>
                <w:sz w:val="20"/>
                <w:szCs w:val="20"/>
                <w:color w:val="auto"/>
              </w:rPr>
            </w:pPr>
            <w:r>
              <w:rPr>
                <w:rFonts w:ascii="Arial" w:cs="Arial" w:eastAsia="Arial" w:hAnsi="Arial"/>
                <w:sz w:val="13"/>
                <w:szCs w:val="13"/>
                <w:color w:val="auto"/>
              </w:rPr>
              <w:t>Located on 204,148  square  feet  of  land  in  suburban</w:t>
            </w:r>
          </w:p>
        </w:tc>
        <w:tc>
          <w:tcPr>
            <w:tcW w:w="1580" w:type="dxa"/>
            <w:vAlign w:val="bottom"/>
          </w:tcPr>
          <w:p>
            <w:pPr>
              <w:jc w:val="center"/>
              <w:spacing w:after="0" w:line="119" w:lineRule="exact"/>
              <w:rPr>
                <w:sz w:val="20"/>
                <w:szCs w:val="20"/>
                <w:color w:val="auto"/>
              </w:rPr>
            </w:pPr>
            <w:r>
              <w:rPr>
                <w:rFonts w:ascii="Arial" w:cs="Arial" w:eastAsia="Arial" w:hAnsi="Arial"/>
                <w:sz w:val="13"/>
                <w:szCs w:val="13"/>
                <w:color w:val="auto"/>
              </w:rPr>
              <w:t>Newmarket Village</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 xml:space="preserve">Brisbane, </w:t>
            </w:r>
            <w:r>
              <w:rPr>
                <w:rFonts w:ascii="Arial" w:cs="Arial" w:eastAsia="Arial" w:hAnsi="Arial"/>
                <w:sz w:val="14"/>
                <w:szCs w:val="14"/>
                <w:b w:val="1"/>
                <w:bCs w:val="1"/>
                <w:color w:val="auto"/>
              </w:rPr>
              <w:t>Newmarket Village</w:t>
            </w:r>
            <w:r>
              <w:rPr>
                <w:rFonts w:ascii="Arial" w:cs="Arial" w:eastAsia="Arial" w:hAnsi="Arial"/>
                <w:sz w:val="14"/>
                <w:szCs w:val="14"/>
                <w:color w:val="auto"/>
              </w:rPr>
              <w:t xml:space="preserve"> is currently comprised of</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0" w:type="dxa"/>
            <w:vAlign w:val="bottom"/>
            <w:gridSpan w:val="3"/>
          </w:tcPr>
          <w:p>
            <w:pPr>
              <w:ind w:left="100"/>
              <w:spacing w:after="0"/>
              <w:rPr>
                <w:sz w:val="20"/>
                <w:szCs w:val="20"/>
                <w:color w:val="auto"/>
              </w:rPr>
            </w:pPr>
            <w:r>
              <w:rPr>
                <w:rFonts w:ascii="Arial" w:cs="Arial" w:eastAsia="Arial" w:hAnsi="Arial"/>
                <w:sz w:val="14"/>
                <w:szCs w:val="14"/>
                <w:color w:val="auto"/>
                <w:w w:val="94"/>
              </w:rPr>
              <w:t>approximately 102,031 square feet of net rentable area and</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0" w:type="dxa"/>
            <w:vAlign w:val="bottom"/>
            <w:gridSpan w:val="3"/>
          </w:tcPr>
          <w:p>
            <w:pPr>
              <w:ind w:left="100"/>
              <w:spacing w:after="0"/>
              <w:rPr>
                <w:sz w:val="20"/>
                <w:szCs w:val="20"/>
                <w:color w:val="auto"/>
              </w:rPr>
            </w:pPr>
            <w:r>
              <w:rPr>
                <w:rFonts w:ascii="Arial" w:cs="Arial" w:eastAsia="Arial" w:hAnsi="Arial"/>
                <w:sz w:val="14"/>
                <w:szCs w:val="14"/>
                <w:color w:val="auto"/>
                <w:w w:val="94"/>
              </w:rPr>
              <w:t>is 98% leased, including a Coles Supermarket and 44 other</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retailers.</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4"/>
                <w:szCs w:val="14"/>
                <w:color w:val="auto"/>
                <w:w w:val="98"/>
              </w:rPr>
              <w:t>At the end of 2017, we completed a major expansion that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added a new 8-screen Reading Cinemas with TITAN</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LUXE, an additional 10,064 square feet of restaurant</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tenant space and 124 parking spaces.</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4"/>
                <w:szCs w:val="14"/>
                <w:color w:val="auto"/>
                <w:w w:val="98"/>
              </w:rPr>
              <w:t>Adjacent to our Newmarket Village, we also own a three-</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level office building (22,000 square feet) that is fully</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leased.</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tcPr>
          <w:p>
            <w:pPr>
              <w:jc w:val="center"/>
              <w:ind w:left="170"/>
              <w:spacing w:after="0" w:line="119" w:lineRule="exact"/>
              <w:rPr>
                <w:sz w:val="20"/>
                <w:szCs w:val="20"/>
                <w:color w:val="auto"/>
              </w:rPr>
            </w:pPr>
            <w:r>
              <w:rPr>
                <w:rFonts w:ascii="Arial" w:cs="Arial" w:eastAsia="Arial" w:hAnsi="Arial"/>
                <w:sz w:val="13"/>
                <w:szCs w:val="13"/>
                <w:color w:val="auto"/>
              </w:rPr>
              <w:t>Australia</w:t>
            </w:r>
          </w:p>
        </w:tc>
        <w:tc>
          <w:tcPr>
            <w:tcW w:w="3600" w:type="dxa"/>
            <w:vAlign w:val="bottom"/>
            <w:gridSpan w:val="3"/>
          </w:tcPr>
          <w:p>
            <w:pPr>
              <w:ind w:left="100"/>
              <w:spacing w:after="0" w:line="119" w:lineRule="exact"/>
              <w:rPr>
                <w:sz w:val="20"/>
                <w:szCs w:val="20"/>
                <w:color w:val="auto"/>
              </w:rPr>
            </w:pPr>
            <w:r>
              <w:rPr>
                <w:rFonts w:ascii="Arial" w:cs="Arial" w:eastAsia="Arial" w:hAnsi="Arial"/>
                <w:sz w:val="13"/>
                <w:szCs w:val="13"/>
                <w:color w:val="auto"/>
              </w:rPr>
              <w:t xml:space="preserve">Anchored  by  a  10-screen  Reading  Cinemas,  </w:t>
            </w:r>
            <w:r>
              <w:rPr>
                <w:rFonts w:ascii="Arial" w:cs="Arial" w:eastAsia="Arial" w:hAnsi="Arial"/>
                <w:sz w:val="13"/>
                <w:szCs w:val="13"/>
                <w:b w:val="1"/>
                <w:bCs w:val="1"/>
                <w:color w:val="auto"/>
              </w:rPr>
              <w:t>Auburn</w:t>
            </w:r>
          </w:p>
        </w:tc>
        <w:tc>
          <w:tcPr>
            <w:tcW w:w="1580" w:type="dxa"/>
            <w:vAlign w:val="bottom"/>
          </w:tcPr>
          <w:p>
            <w:pPr>
              <w:jc w:val="center"/>
              <w:spacing w:after="0" w:line="119" w:lineRule="exact"/>
              <w:rPr>
                <w:sz w:val="20"/>
                <w:szCs w:val="20"/>
                <w:color w:val="auto"/>
              </w:rPr>
            </w:pPr>
            <w:r>
              <w:rPr>
                <w:rFonts w:ascii="Arial" w:cs="Arial" w:eastAsia="Arial" w:hAnsi="Arial"/>
                <w:sz w:val="13"/>
                <w:szCs w:val="13"/>
                <w:color w:val="auto"/>
              </w:rPr>
              <w:t>Auburn Redyard</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w w:val="97"/>
              </w:rPr>
              <w:t xml:space="preserve">Redyard </w:t>
            </w:r>
            <w:r>
              <w:rPr>
                <w:rFonts w:ascii="Arial" w:cs="Arial" w:eastAsia="Arial" w:hAnsi="Arial"/>
                <w:sz w:val="14"/>
                <w:szCs w:val="14"/>
                <w:color w:val="auto"/>
                <w:w w:val="97"/>
              </w:rPr>
              <w:t>is an outdoor retail center located in a suburb of</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tcPr>
          <w:p>
            <w:pPr>
              <w:ind w:left="100"/>
              <w:spacing w:after="0" w:line="149" w:lineRule="exact"/>
              <w:rPr>
                <w:sz w:val="20"/>
                <w:szCs w:val="20"/>
                <w:color w:val="auto"/>
              </w:rPr>
            </w:pPr>
            <w:r>
              <w:rPr>
                <w:rFonts w:ascii="Arial" w:cs="Arial" w:eastAsia="Arial" w:hAnsi="Arial"/>
                <w:sz w:val="14"/>
                <w:szCs w:val="14"/>
                <w:color w:val="auto"/>
              </w:rPr>
              <w:t>Sydney.   The   center   is   currently</w:t>
            </w:r>
          </w:p>
        </w:tc>
        <w:tc>
          <w:tcPr>
            <w:tcW w:w="740" w:type="dxa"/>
            <w:vAlign w:val="bottom"/>
          </w:tcPr>
          <w:p>
            <w:pPr>
              <w:ind w:left="80"/>
              <w:spacing w:after="0" w:line="149" w:lineRule="exact"/>
              <w:rPr>
                <w:sz w:val="20"/>
                <w:szCs w:val="20"/>
                <w:color w:val="auto"/>
              </w:rPr>
            </w:pPr>
            <w:r>
              <w:rPr>
                <w:rFonts w:ascii="Arial" w:cs="Arial" w:eastAsia="Arial" w:hAnsi="Arial"/>
                <w:sz w:val="14"/>
                <w:szCs w:val="14"/>
                <w:color w:val="auto"/>
                <w:w w:val="99"/>
              </w:rPr>
              <w:t>comprised</w:t>
            </w:r>
          </w:p>
        </w:tc>
        <w:tc>
          <w:tcPr>
            <w:tcW w:w="320" w:type="dxa"/>
            <w:vAlign w:val="bottom"/>
          </w:tcPr>
          <w:p>
            <w:pPr>
              <w:jc w:val="right"/>
              <w:ind w:right="8"/>
              <w:spacing w:after="0" w:line="149" w:lineRule="exact"/>
              <w:rPr>
                <w:sz w:val="20"/>
                <w:szCs w:val="20"/>
                <w:color w:val="auto"/>
              </w:rPr>
            </w:pPr>
            <w:r>
              <w:rPr>
                <w:rFonts w:ascii="Arial" w:cs="Arial" w:eastAsia="Arial" w:hAnsi="Arial"/>
                <w:sz w:val="14"/>
                <w:szCs w:val="14"/>
                <w:color w:val="auto"/>
              </w:rPr>
              <w:t>of</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tcPr>
          <w:p>
            <w:pPr>
              <w:ind w:left="100"/>
              <w:spacing w:after="0" w:line="149" w:lineRule="exact"/>
              <w:rPr>
                <w:sz w:val="20"/>
                <w:szCs w:val="20"/>
                <w:color w:val="auto"/>
              </w:rPr>
            </w:pPr>
            <w:r>
              <w:rPr>
                <w:rFonts w:ascii="Arial" w:cs="Arial" w:eastAsia="Arial" w:hAnsi="Arial"/>
                <w:sz w:val="14"/>
                <w:szCs w:val="14"/>
                <w:color w:val="auto"/>
              </w:rPr>
              <w:t>approximately  519,358  square  feet</w:t>
            </w:r>
          </w:p>
        </w:tc>
        <w:tc>
          <w:tcPr>
            <w:tcW w:w="740" w:type="dxa"/>
            <w:vAlign w:val="bottom"/>
          </w:tcPr>
          <w:p>
            <w:pPr>
              <w:ind w:left="80"/>
              <w:spacing w:after="0" w:line="149" w:lineRule="exact"/>
              <w:rPr>
                <w:sz w:val="20"/>
                <w:szCs w:val="20"/>
                <w:color w:val="auto"/>
              </w:rPr>
            </w:pPr>
            <w:r>
              <w:rPr>
                <w:rFonts w:ascii="Arial" w:cs="Arial" w:eastAsia="Arial" w:hAnsi="Arial"/>
                <w:sz w:val="14"/>
                <w:szCs w:val="14"/>
                <w:color w:val="auto"/>
              </w:rPr>
              <w:t>of  land</w:t>
            </w:r>
          </w:p>
        </w:tc>
        <w:tc>
          <w:tcPr>
            <w:tcW w:w="320" w:type="dxa"/>
            <w:vAlign w:val="bottom"/>
          </w:tcPr>
          <w:p>
            <w:pPr>
              <w:jc w:val="right"/>
              <w:ind w:right="8"/>
              <w:spacing w:after="0" w:line="149" w:lineRule="exact"/>
              <w:rPr>
                <w:sz w:val="20"/>
                <w:szCs w:val="20"/>
                <w:color w:val="auto"/>
              </w:rPr>
            </w:pPr>
            <w:r>
              <w:rPr>
                <w:rFonts w:ascii="Arial" w:cs="Arial" w:eastAsia="Arial" w:hAnsi="Arial"/>
                <w:sz w:val="14"/>
                <w:szCs w:val="14"/>
                <w:color w:val="auto"/>
                <w:w w:val="94"/>
              </w:rPr>
              <w:t>and</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5"/>
              </w:rPr>
              <w:t>91,580 square feet of net rentable area, serviced by a 721-</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4"/>
              </w:rPr>
              <w:t>space subterranean parking garage, and is 86% leased.  In</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5"/>
              </w:rPr>
              <w:t>2018, we added to the center approximately 20,882 square</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9"/>
              </w:rPr>
              <w:t>feet of land currently improved with a 16,830 square feet</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office building, rented to Telstra through July 2022, and</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over the past two years have added an additional 15,000</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rentable square feet of fully leased restaurant and retail</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space.</w:t>
            </w: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tcPr>
          <w:p>
            <w:pPr>
              <w:jc w:val="center"/>
              <w:ind w:left="170"/>
              <w:spacing w:after="0" w:line="123" w:lineRule="exact"/>
              <w:rPr>
                <w:sz w:val="20"/>
                <w:szCs w:val="20"/>
                <w:color w:val="auto"/>
              </w:rPr>
            </w:pPr>
            <w:r>
              <w:rPr>
                <w:rFonts w:ascii="Arial" w:cs="Arial" w:eastAsia="Arial" w:hAnsi="Arial"/>
                <w:sz w:val="14"/>
                <w:szCs w:val="14"/>
                <w:color w:val="auto"/>
                <w:w w:val="95"/>
              </w:rPr>
              <w:t>Australia</w:t>
            </w:r>
          </w:p>
        </w:tc>
        <w:tc>
          <w:tcPr>
            <w:tcW w:w="3600" w:type="dxa"/>
            <w:vAlign w:val="bottom"/>
            <w:gridSpan w:val="3"/>
          </w:tcPr>
          <w:p>
            <w:pPr>
              <w:ind w:left="100"/>
              <w:spacing w:after="0" w:line="123" w:lineRule="exact"/>
              <w:rPr>
                <w:sz w:val="20"/>
                <w:szCs w:val="20"/>
                <w:color w:val="auto"/>
              </w:rPr>
            </w:pPr>
            <w:r>
              <w:rPr>
                <w:rFonts w:ascii="Arial" w:cs="Arial" w:eastAsia="Arial" w:hAnsi="Arial"/>
                <w:sz w:val="14"/>
                <w:szCs w:val="14"/>
                <w:color w:val="auto"/>
                <w:w w:val="94"/>
              </w:rPr>
              <w:t xml:space="preserve">Anchored by a six-screen Reading Cinemas, </w:t>
            </w:r>
            <w:r>
              <w:rPr>
                <w:rFonts w:ascii="Arial" w:cs="Arial" w:eastAsia="Arial" w:hAnsi="Arial"/>
                <w:sz w:val="14"/>
                <w:szCs w:val="14"/>
                <w:b w:val="1"/>
                <w:bCs w:val="1"/>
                <w:color w:val="auto"/>
                <w:w w:val="94"/>
              </w:rPr>
              <w:t>Cannon Park</w:t>
            </w:r>
          </w:p>
        </w:tc>
        <w:tc>
          <w:tcPr>
            <w:tcW w:w="1580" w:type="dxa"/>
            <w:vAlign w:val="bottom"/>
          </w:tcPr>
          <w:p>
            <w:pPr>
              <w:jc w:val="center"/>
              <w:spacing w:after="0" w:line="123" w:lineRule="exact"/>
              <w:rPr>
                <w:sz w:val="20"/>
                <w:szCs w:val="20"/>
                <w:color w:val="auto"/>
              </w:rPr>
            </w:pPr>
            <w:r>
              <w:rPr>
                <w:rFonts w:ascii="Arial" w:cs="Arial" w:eastAsia="Arial" w:hAnsi="Arial"/>
                <w:sz w:val="14"/>
                <w:szCs w:val="14"/>
                <w:color w:val="auto"/>
                <w:w w:val="94"/>
              </w:rPr>
              <w:t>Cannon Park Townsville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is  located  in  Townsville,  Australia,  and  is  currently</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comprised of 408,372 square feet of land and 104,528</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square feet of net rentable area, which is currently 86%</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leased.</w:t>
            </w: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tcPr>
          <w:p>
            <w:pPr>
              <w:jc w:val="center"/>
              <w:ind w:left="170"/>
              <w:spacing w:after="0" w:line="119" w:lineRule="exact"/>
              <w:rPr>
                <w:sz w:val="20"/>
                <w:szCs w:val="20"/>
                <w:color w:val="auto"/>
              </w:rPr>
            </w:pPr>
            <w:r>
              <w:rPr>
                <w:rFonts w:ascii="Arial" w:cs="Arial" w:eastAsia="Arial" w:hAnsi="Arial"/>
                <w:sz w:val="13"/>
                <w:szCs w:val="13"/>
                <w:color w:val="auto"/>
              </w:rPr>
              <w:t>Australia</w:t>
            </w:r>
          </w:p>
        </w:tc>
        <w:tc>
          <w:tcPr>
            <w:tcW w:w="3600" w:type="dxa"/>
            <w:vAlign w:val="bottom"/>
            <w:gridSpan w:val="3"/>
          </w:tcPr>
          <w:p>
            <w:pPr>
              <w:ind w:left="100"/>
              <w:spacing w:after="0" w:line="119" w:lineRule="exact"/>
              <w:rPr>
                <w:sz w:val="20"/>
                <w:szCs w:val="20"/>
                <w:color w:val="auto"/>
              </w:rPr>
            </w:pPr>
            <w:r>
              <w:rPr>
                <w:rFonts w:ascii="Arial" w:cs="Arial" w:eastAsia="Arial" w:hAnsi="Arial"/>
                <w:sz w:val="13"/>
                <w:szCs w:val="13"/>
                <w:color w:val="auto"/>
              </w:rPr>
              <w:t>Anchored by a 10-screen Reading Cinemas and four F&amp;B</w:t>
            </w:r>
          </w:p>
        </w:tc>
        <w:tc>
          <w:tcPr>
            <w:tcW w:w="1580" w:type="dxa"/>
            <w:vAlign w:val="bottom"/>
          </w:tcPr>
          <w:p>
            <w:pPr>
              <w:jc w:val="center"/>
              <w:spacing w:after="0" w:line="119" w:lineRule="exact"/>
              <w:rPr>
                <w:sz w:val="20"/>
                <w:szCs w:val="20"/>
                <w:color w:val="auto"/>
              </w:rPr>
            </w:pPr>
            <w:r>
              <w:rPr>
                <w:rFonts w:ascii="Arial" w:cs="Arial" w:eastAsia="Arial" w:hAnsi="Arial"/>
                <w:sz w:val="13"/>
                <w:szCs w:val="13"/>
                <w:color w:val="auto"/>
              </w:rPr>
              <w:t>The Belmont Common</w:t>
            </w: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 xml:space="preserve">or retail tenancies, </w:t>
            </w:r>
            <w:r>
              <w:rPr>
                <w:rFonts w:ascii="Arial" w:cs="Arial" w:eastAsia="Arial" w:hAnsi="Arial"/>
                <w:sz w:val="14"/>
                <w:szCs w:val="14"/>
                <w:b w:val="1"/>
                <w:bCs w:val="1"/>
                <w:color w:val="auto"/>
              </w:rPr>
              <w:t>The Belmont Common</w:t>
            </w:r>
            <w:r>
              <w:rPr>
                <w:rFonts w:ascii="Arial" w:cs="Arial" w:eastAsia="Arial" w:hAnsi="Arial"/>
                <w:sz w:val="14"/>
                <w:szCs w:val="14"/>
                <w:color w:val="auto"/>
              </w:rPr>
              <w:t xml:space="preserve"> is located in</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Perth, Australia, and is currently comprised of 103,204</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square feet of land and 15,016 square feet of net rentable</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area, which is currently 93% leased.</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1"/>
        </w:trPr>
        <w:tc>
          <w:tcPr>
            <w:tcW w:w="108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tcPr>
          <w:p>
            <w:pPr>
              <w:jc w:val="center"/>
              <w:ind w:left="150"/>
              <w:spacing w:after="0" w:line="123" w:lineRule="exact"/>
              <w:rPr>
                <w:sz w:val="20"/>
                <w:szCs w:val="20"/>
                <w:color w:val="auto"/>
              </w:rPr>
            </w:pPr>
            <w:r>
              <w:rPr>
                <w:rFonts w:ascii="Arial" w:cs="Arial" w:eastAsia="Arial" w:hAnsi="Arial"/>
                <w:sz w:val="14"/>
                <w:szCs w:val="14"/>
                <w:color w:val="auto"/>
                <w:w w:val="94"/>
              </w:rPr>
              <w:t>New Zealand</w:t>
            </w:r>
          </w:p>
        </w:tc>
        <w:tc>
          <w:tcPr>
            <w:tcW w:w="3600" w:type="dxa"/>
            <w:vAlign w:val="bottom"/>
            <w:gridSpan w:val="3"/>
          </w:tcPr>
          <w:p>
            <w:pPr>
              <w:ind w:left="100"/>
              <w:spacing w:after="0" w:line="123" w:lineRule="exact"/>
              <w:rPr>
                <w:sz w:val="20"/>
                <w:szCs w:val="20"/>
                <w:color w:val="auto"/>
              </w:rPr>
            </w:pPr>
            <w:r>
              <w:rPr>
                <w:rFonts w:ascii="Arial" w:cs="Arial" w:eastAsia="Arial" w:hAnsi="Arial"/>
                <w:sz w:val="14"/>
                <w:szCs w:val="14"/>
                <w:color w:val="auto"/>
                <w:w w:val="96"/>
              </w:rPr>
              <w:t>Located in the heart of Wellington – New Zealand’s capital</w:t>
            </w:r>
          </w:p>
        </w:tc>
        <w:tc>
          <w:tcPr>
            <w:tcW w:w="1580" w:type="dxa"/>
            <w:vAlign w:val="bottom"/>
          </w:tcPr>
          <w:p>
            <w:pPr>
              <w:jc w:val="center"/>
              <w:spacing w:after="0" w:line="123" w:lineRule="exact"/>
              <w:rPr>
                <w:sz w:val="20"/>
                <w:szCs w:val="20"/>
                <w:color w:val="auto"/>
              </w:rPr>
            </w:pPr>
            <w:r>
              <w:rPr>
                <w:rFonts w:ascii="Arial" w:cs="Arial" w:eastAsia="Arial" w:hAnsi="Arial"/>
                <w:sz w:val="14"/>
                <w:szCs w:val="14"/>
                <w:color w:val="auto"/>
                <w:w w:val="93"/>
              </w:rPr>
              <w:t>Courtenay Central</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city – this center is comprised of 161,071 square feet of</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3"/>
              </w:rPr>
              <w:t>land situated proximate to the Te Papa Tongarewa Museum</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0" w:type="dxa"/>
            <w:vAlign w:val="bottom"/>
            <w:gridSpan w:val="3"/>
          </w:tcPr>
          <w:p>
            <w:pPr>
              <w:ind w:left="100"/>
              <w:spacing w:after="0"/>
              <w:rPr>
                <w:sz w:val="20"/>
                <w:szCs w:val="20"/>
                <w:color w:val="auto"/>
              </w:rPr>
            </w:pPr>
            <w:r>
              <w:rPr>
                <w:rFonts w:ascii="Arial" w:cs="Arial" w:eastAsia="Arial" w:hAnsi="Arial"/>
                <w:sz w:val="14"/>
                <w:szCs w:val="14"/>
                <w:color w:val="auto"/>
              </w:rPr>
              <w:t>(attracting over 1.5 million visitors annually), across the</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-5429885</wp:posOffset>
            </wp:positionV>
            <wp:extent cx="925830" cy="883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5830" cy="88328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-3852545</wp:posOffset>
            </wp:positionV>
            <wp:extent cx="147447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-2404110</wp:posOffset>
            </wp:positionV>
            <wp:extent cx="156019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3257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-1615440</wp:posOffset>
            </wp:positionV>
            <wp:extent cx="1423035"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035" cy="36830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-1049655</wp:posOffset>
            </wp:positionV>
            <wp:extent cx="109728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531495"/>
                    </a:xfrm>
                    <a:prstGeom prst="rect">
                      <a:avLst/>
                    </a:prstGeom>
                    <a:noFill/>
                  </pic:spPr>
                </pic:pic>
              </a:graphicData>
            </a:graphic>
          </wp:anchor>
        </w:drawing>
      </w:r>
    </w:p>
    <w:p>
      <w:pPr>
        <w:jc w:val="both"/>
        <w:ind w:left="4860" w:right="1640"/>
        <w:spacing w:after="0" w:line="224" w:lineRule="auto"/>
        <w:rPr>
          <w:sz w:val="20"/>
          <w:szCs w:val="20"/>
          <w:color w:val="auto"/>
        </w:rPr>
      </w:pPr>
      <w:r>
        <w:rPr>
          <w:rFonts w:ascii="Arial" w:cs="Arial" w:eastAsia="Arial" w:hAnsi="Arial"/>
          <w:sz w:val="14"/>
          <w:szCs w:val="14"/>
          <w:color w:val="auto"/>
        </w:rPr>
        <w:t>street from the site of the new convention center being constructed to handle the demand for such space in Wellington (estimated to open its doors in 2022) and at a major public transit hub. Damage from the 2016 earthquake necessitated demolition of our nine-story parking garage at the site, and unrelated seismic issues have caused us to close major portions of the existing cinema and retail structure, in January 2019, while we reevaluate the center for redevelopment as an entertainment themed urban center with a major food and grocery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-624840</wp:posOffset>
            </wp:positionV>
            <wp:extent cx="1354455" cy="52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97"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Wellington continues to be rated as one of the top cities in</w:t>
      </w:r>
    </w:p>
    <w:p>
      <w:pPr>
        <w:ind w:left="4860"/>
        <w:spacing w:after="0" w:line="221" w:lineRule="auto"/>
        <w:rPr>
          <w:sz w:val="20"/>
          <w:szCs w:val="20"/>
          <w:color w:val="auto"/>
        </w:rPr>
      </w:pPr>
      <w:r>
        <w:rPr>
          <w:rFonts w:ascii="Arial" w:cs="Arial" w:eastAsia="Arial" w:hAnsi="Arial"/>
          <w:sz w:val="14"/>
          <w:szCs w:val="14"/>
          <w:color w:val="auto"/>
        </w:rPr>
        <w:t>the world in which to live, and we continue to believe that</w:t>
      </w:r>
    </w:p>
    <w:p>
      <w:pPr>
        <w:ind w:left="4860"/>
        <w:spacing w:after="0" w:line="221" w:lineRule="auto"/>
        <w:rPr>
          <w:sz w:val="20"/>
          <w:szCs w:val="20"/>
          <w:color w:val="auto"/>
        </w:rPr>
      </w:pPr>
      <w:r>
        <w:rPr>
          <w:rFonts w:ascii="Arial" w:cs="Arial" w:eastAsia="Arial" w:hAnsi="Arial"/>
          <w:sz w:val="14"/>
          <w:szCs w:val="14"/>
          <w:color w:val="auto"/>
        </w:rPr>
        <w:t>the Courtenay Central site is located in one of the most</w:t>
      </w:r>
    </w:p>
    <w:p>
      <w:pPr>
        <w:ind w:left="4860"/>
        <w:spacing w:after="0"/>
        <w:tabs>
          <w:tab w:leader="none" w:pos="5380" w:val="left"/>
          <w:tab w:leader="none" w:pos="5720" w:val="left"/>
          <w:tab w:leader="none" w:pos="6320" w:val="left"/>
          <w:tab w:leader="none" w:pos="7140" w:val="left"/>
          <w:tab w:leader="none" w:pos="7480" w:val="left"/>
        </w:tabs>
        <w:rPr>
          <w:sz w:val="20"/>
          <w:szCs w:val="20"/>
          <w:color w:val="auto"/>
        </w:rPr>
      </w:pPr>
      <w:r>
        <w:rPr>
          <w:rFonts w:ascii="Arial" w:cs="Arial" w:eastAsia="Arial" w:hAnsi="Arial"/>
          <w:sz w:val="14"/>
          <w:szCs w:val="14"/>
          <w:color w:val="auto"/>
        </w:rPr>
        <w:t>vibrant</w:t>
        <w:tab/>
        <w:t>and</w:t>
        <w:tab/>
        <w:t>growing</w:t>
        <w:tab/>
        <w:t>commercial</w:t>
        <w:tab/>
        <w:t>and</w:t>
      </w:r>
      <w:r>
        <w:rPr>
          <w:sz w:val="20"/>
          <w:szCs w:val="20"/>
          <w:color w:val="auto"/>
        </w:rPr>
        <w:tab/>
      </w:r>
      <w:r>
        <w:rPr>
          <w:rFonts w:ascii="Arial" w:cs="Arial" w:eastAsia="Arial" w:hAnsi="Arial"/>
          <w:sz w:val="12"/>
          <w:szCs w:val="12"/>
          <w:color w:val="auto"/>
        </w:rPr>
        <w:t>entertainment</w:t>
      </w:r>
    </w:p>
    <w:p>
      <w:pPr>
        <w:ind w:left="4860"/>
        <w:spacing w:after="0"/>
        <w:rPr>
          <w:sz w:val="20"/>
          <w:szCs w:val="20"/>
          <w:color w:val="auto"/>
        </w:rPr>
      </w:pPr>
      <w:r>
        <w:rPr>
          <w:rFonts w:ascii="Arial" w:cs="Arial" w:eastAsia="Arial" w:hAnsi="Arial"/>
          <w:sz w:val="14"/>
          <w:szCs w:val="14"/>
          <w:color w:val="auto"/>
        </w:rPr>
        <w:t>sections of Wellington.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133350</wp:posOffset>
            </wp:positionV>
            <wp:extent cx="5623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552" w:right="9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6"/>
        </w:trPr>
        <w:tc>
          <w:tcPr>
            <w:tcW w:w="1340" w:type="dxa"/>
            <w:vAlign w:val="bottom"/>
            <w:tcBorders>
              <w:top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6"/>
              </w:rPr>
              <w:t>Business</w:t>
            </w:r>
          </w:p>
        </w:tc>
        <w:tc>
          <w:tcPr>
            <w:tcW w:w="2180" w:type="dxa"/>
            <w:vAlign w:val="bottom"/>
            <w:tcBorders>
              <w:top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Our Commercial Brands</w:t>
            </w:r>
          </w:p>
        </w:tc>
        <w:tc>
          <w:tcPr>
            <w:tcW w:w="1200" w:type="dxa"/>
            <w:vAlign w:val="bottom"/>
            <w:tcBorders>
              <w:top w:val="single" w:sz="8" w:color="auto"/>
            </w:tcBorders>
            <w:vMerge w:val="restart"/>
          </w:tcPr>
          <w:p>
            <w:pPr>
              <w:jc w:val="center"/>
              <w:ind w:left="171"/>
              <w:spacing w:after="0"/>
              <w:rPr>
                <w:sz w:val="20"/>
                <w:szCs w:val="20"/>
                <w:color w:val="auto"/>
              </w:rPr>
            </w:pPr>
            <w:r>
              <w:rPr>
                <w:rFonts w:ascii="Arial" w:cs="Arial" w:eastAsia="Arial" w:hAnsi="Arial"/>
                <w:sz w:val="14"/>
                <w:szCs w:val="14"/>
                <w:b w:val="1"/>
                <w:bCs w:val="1"/>
                <w:color w:val="auto"/>
                <w:w w:val="96"/>
              </w:rPr>
              <w:t>Country</w:t>
            </w:r>
          </w:p>
        </w:tc>
        <w:tc>
          <w:tcPr>
            <w:tcW w:w="3700" w:type="dxa"/>
            <w:vAlign w:val="bottom"/>
            <w:tcBorders>
              <w:top w:val="single" w:sz="8" w:color="auto"/>
            </w:tcBorders>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tcBorders>
            <w:vMerge w:val="restart"/>
          </w:tcPr>
          <w:p>
            <w:pPr>
              <w:jc w:val="center"/>
              <w:ind w:right="71"/>
              <w:spacing w:after="0"/>
              <w:rPr>
                <w:sz w:val="20"/>
                <w:szCs w:val="20"/>
                <w:color w:val="auto"/>
              </w:rPr>
            </w:pPr>
            <w:r>
              <w:rPr>
                <w:rFonts w:ascii="Arial" w:cs="Arial" w:eastAsia="Arial" w:hAnsi="Arial"/>
                <w:sz w:val="14"/>
                <w:szCs w:val="14"/>
                <w:b w:val="1"/>
                <w:bCs w:val="1"/>
                <w:color w:val="auto"/>
                <w:w w:val="94"/>
              </w:rPr>
              <w:t>Website Link</w:t>
            </w:r>
          </w:p>
        </w:tc>
        <w:tc>
          <w:tcPr>
            <w:tcW w:w="0" w:type="dxa"/>
            <w:vAlign w:val="bottom"/>
          </w:tcPr>
          <w:p>
            <w:pPr>
              <w:spacing w:after="0"/>
              <w:rPr>
                <w:sz w:val="1"/>
                <w:szCs w:val="1"/>
                <w:color w:val="auto"/>
              </w:rPr>
            </w:pPr>
          </w:p>
        </w:tc>
      </w:tr>
      <w:tr>
        <w:trPr>
          <w:trHeight w:val="105"/>
        </w:trPr>
        <w:tc>
          <w:tcPr>
            <w:tcW w:w="1340" w:type="dxa"/>
            <w:vAlign w:val="bottom"/>
            <w:vMerge w:val="restart"/>
          </w:tcPr>
          <w:p>
            <w:pPr>
              <w:jc w:val="center"/>
              <w:ind w:right="129"/>
              <w:spacing w:after="0"/>
              <w:rPr>
                <w:sz w:val="20"/>
                <w:szCs w:val="20"/>
                <w:color w:val="auto"/>
              </w:rPr>
            </w:pPr>
            <w:r>
              <w:rPr>
                <w:rFonts w:ascii="Arial" w:cs="Arial" w:eastAsia="Arial" w:hAnsi="Arial"/>
                <w:sz w:val="14"/>
                <w:szCs w:val="14"/>
                <w:b w:val="1"/>
                <w:bCs w:val="1"/>
                <w:color w:val="auto"/>
                <w:w w:val="91"/>
              </w:rPr>
              <w:t>Segment / Unit</w:t>
            </w:r>
          </w:p>
        </w:tc>
        <w:tc>
          <w:tcPr>
            <w:tcW w:w="2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370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340" w:type="dxa"/>
            <w:vAlign w:val="bottom"/>
            <w:tcBorders>
              <w:bottom w:val="single" w:sz="8" w:color="auto"/>
            </w:tcBorders>
            <w:vMerge w:val="continue"/>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 xml:space="preserve">Real Estate </w:t>
            </w:r>
            <w:r>
              <w:rPr>
                <w:rFonts w:ascii="Arial" w:cs="Arial" w:eastAsia="Arial" w:hAnsi="Arial"/>
                <w:sz w:val="13"/>
                <w:szCs w:val="13"/>
                <w:color w:val="auto"/>
              </w:rPr>
              <w:t>/</w:t>
            </w:r>
          </w:p>
        </w:tc>
        <w:tc>
          <w:tcPr>
            <w:tcW w:w="2180" w:type="dxa"/>
            <w:vAlign w:val="bottom"/>
          </w:tcPr>
          <w:p>
            <w:pPr>
              <w:spacing w:after="0"/>
              <w:rPr>
                <w:sz w:val="10"/>
                <w:szCs w:val="10"/>
                <w:color w:val="auto"/>
              </w:rPr>
            </w:pPr>
          </w:p>
        </w:tc>
        <w:tc>
          <w:tcPr>
            <w:tcW w:w="1200" w:type="dxa"/>
            <w:vAlign w:val="bottom"/>
          </w:tcPr>
          <w:p>
            <w:pPr>
              <w:jc w:val="center"/>
              <w:ind w:left="171"/>
              <w:spacing w:after="0" w:line="119" w:lineRule="exact"/>
              <w:rPr>
                <w:sz w:val="20"/>
                <w:szCs w:val="20"/>
                <w:color w:val="auto"/>
              </w:rPr>
            </w:pPr>
            <w:r>
              <w:rPr>
                <w:rFonts w:ascii="Arial" w:cs="Arial" w:eastAsia="Arial" w:hAnsi="Arial"/>
                <w:sz w:val="13"/>
                <w:szCs w:val="13"/>
                <w:color w:val="auto"/>
                <w:w w:val="97"/>
              </w:rPr>
              <w:t>United States</w:t>
            </w:r>
          </w:p>
        </w:tc>
        <w:tc>
          <w:tcPr>
            <w:tcW w:w="3700" w:type="dxa"/>
            <w:vAlign w:val="bottom"/>
          </w:tcPr>
          <w:p>
            <w:pPr>
              <w:ind w:left="100"/>
              <w:spacing w:after="0" w:line="119" w:lineRule="exact"/>
              <w:rPr>
                <w:sz w:val="20"/>
                <w:szCs w:val="20"/>
                <w:color w:val="auto"/>
              </w:rPr>
            </w:pPr>
            <w:r>
              <w:rPr>
                <w:rFonts w:ascii="Arial" w:cs="Arial" w:eastAsia="Arial" w:hAnsi="Arial"/>
                <w:sz w:val="13"/>
                <w:szCs w:val="13"/>
                <w:color w:val="auto"/>
              </w:rPr>
              <w:t>We continue to operate three off-Broadway live theatres,</w:t>
            </w:r>
          </w:p>
        </w:tc>
        <w:tc>
          <w:tcPr>
            <w:tcW w:w="1520" w:type="dxa"/>
            <w:vAlign w:val="bottom"/>
          </w:tcPr>
          <w:p>
            <w:pPr>
              <w:jc w:val="center"/>
              <w:ind w:right="91"/>
              <w:spacing w:after="0" w:line="119" w:lineRule="exact"/>
              <w:rPr>
                <w:sz w:val="20"/>
                <w:szCs w:val="20"/>
                <w:color w:val="auto"/>
              </w:rPr>
            </w:pPr>
            <w:r>
              <w:rPr>
                <w:rFonts w:ascii="Arial" w:cs="Arial" w:eastAsia="Arial" w:hAnsi="Arial"/>
                <w:sz w:val="13"/>
                <w:szCs w:val="13"/>
                <w:color w:val="auto"/>
              </w:rPr>
              <w:t>Liberty Theatres</w:t>
            </w:r>
          </w:p>
        </w:tc>
        <w:tc>
          <w:tcPr>
            <w:tcW w:w="0" w:type="dxa"/>
            <w:vAlign w:val="bottom"/>
          </w:tcPr>
          <w:p>
            <w:pPr>
              <w:spacing w:after="0"/>
              <w:rPr>
                <w:sz w:val="1"/>
                <w:szCs w:val="1"/>
                <w:color w:val="auto"/>
              </w:rPr>
            </w:pPr>
          </w:p>
        </w:tc>
      </w:tr>
      <w:tr>
        <w:trPr>
          <w:trHeight w:val="148"/>
        </w:trPr>
        <w:tc>
          <w:tcPr>
            <w:tcW w:w="1340" w:type="dxa"/>
            <w:vAlign w:val="bottom"/>
          </w:tcPr>
          <w:p>
            <w:pPr>
              <w:ind w:left="40"/>
              <w:spacing w:after="0" w:line="149" w:lineRule="exact"/>
              <w:rPr>
                <w:sz w:val="20"/>
                <w:szCs w:val="20"/>
                <w:color w:val="auto"/>
              </w:rPr>
            </w:pPr>
            <w:r>
              <w:rPr>
                <w:rFonts w:ascii="Arial" w:cs="Arial" w:eastAsia="Arial" w:hAnsi="Arial"/>
                <w:sz w:val="14"/>
                <w:szCs w:val="14"/>
                <w:color w:val="auto"/>
              </w:rPr>
              <w:t>Live Theatre</w:t>
            </w:r>
          </w:p>
        </w:tc>
        <w:tc>
          <w:tcPr>
            <w:tcW w:w="2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00" w:type="dxa"/>
            <w:vAlign w:val="bottom"/>
          </w:tcPr>
          <w:p>
            <w:pPr>
              <w:ind w:left="100"/>
              <w:spacing w:after="0" w:line="149" w:lineRule="exact"/>
              <w:rPr>
                <w:sz w:val="20"/>
                <w:szCs w:val="20"/>
                <w:color w:val="auto"/>
              </w:rPr>
            </w:pPr>
            <w:r>
              <w:rPr>
                <w:rFonts w:ascii="Arial" w:cs="Arial" w:eastAsia="Arial" w:hAnsi="Arial"/>
                <w:sz w:val="14"/>
                <w:szCs w:val="14"/>
                <w:color w:val="auto"/>
              </w:rPr>
              <w:t xml:space="preserve">one in Chicago and two in Manhattan, under the </w:t>
            </w:r>
            <w:r>
              <w:rPr>
                <w:rFonts w:ascii="Arial" w:cs="Arial" w:eastAsia="Arial" w:hAnsi="Arial"/>
                <w:sz w:val="14"/>
                <w:szCs w:val="14"/>
                <w:b w:val="1"/>
                <w:bCs w:val="1"/>
                <w:color w:val="auto"/>
              </w:rPr>
              <w:t>Liberty</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70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 xml:space="preserve">Theatres </w:t>
            </w:r>
            <w:r>
              <w:rPr>
                <w:rFonts w:ascii="Arial" w:cs="Arial" w:eastAsia="Arial" w:hAnsi="Arial"/>
                <w:sz w:val="14"/>
                <w:szCs w:val="14"/>
                <w:color w:val="auto"/>
              </w:rPr>
              <w:t>tradename.  In 2018, we entered a license with</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00" w:type="dxa"/>
            <w:vAlign w:val="bottom"/>
          </w:tcPr>
          <w:p>
            <w:pPr>
              <w:ind w:left="100"/>
              <w:spacing w:after="0" w:line="149" w:lineRule="exact"/>
              <w:rPr>
                <w:sz w:val="20"/>
                <w:szCs w:val="20"/>
                <w:color w:val="auto"/>
              </w:rPr>
            </w:pPr>
            <w:r>
              <w:rPr>
                <w:rFonts w:ascii="Arial" w:cs="Arial" w:eastAsia="Arial" w:hAnsi="Arial"/>
                <w:sz w:val="14"/>
                <w:szCs w:val="14"/>
                <w:color w:val="auto"/>
              </w:rPr>
              <w:t>Audible, a subsidiary of Amazon, pursuant to which our</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00" w:type="dxa"/>
            <w:vAlign w:val="bottom"/>
          </w:tcPr>
          <w:p>
            <w:pPr>
              <w:ind w:left="100"/>
              <w:spacing w:after="0" w:line="149" w:lineRule="exact"/>
              <w:rPr>
                <w:sz w:val="20"/>
                <w:szCs w:val="20"/>
                <w:color w:val="auto"/>
              </w:rPr>
            </w:pPr>
            <w:r>
              <w:rPr>
                <w:rFonts w:ascii="Arial" w:cs="Arial" w:eastAsia="Arial" w:hAnsi="Arial"/>
                <w:sz w:val="14"/>
                <w:szCs w:val="14"/>
                <w:color w:val="auto"/>
              </w:rPr>
              <w:t>Minetta Lane Theatre serves as Audible’s live theatre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home in New York City.</w:t>
            </w: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synergistically bring together cinema-based entertainment and real estate and believe that these two business segments complement one another, as our cinemas have historically provided the steady cash flows that allow us to be opportunistic in acquiring and holding long-term real estate assets (including non-income producing land) and support our real estate development activities. Our real estate allows us to develop an asset base that we believe will stand the test of time and one that can provide financial leverage. More specifically, the combination of these two segments provides a variety of business advantages including the following:</w:t>
      </w:r>
    </w:p>
    <w:p>
      <w:pPr>
        <w:spacing w:after="0" w:line="40" w:lineRule="exact"/>
        <w:rPr>
          <w:sz w:val="20"/>
          <w:szCs w:val="20"/>
          <w:color w:val="auto"/>
        </w:rPr>
      </w:pPr>
    </w:p>
    <w:p>
      <w:pPr>
        <w:ind w:left="640" w:right="60" w:hanging="320"/>
        <w:spacing w:after="0" w:line="220" w:lineRule="auto"/>
        <w:tabs>
          <w:tab w:leader="none" w:pos="6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Certainty of Cinema Anchor Tenancies</w:t>
      </w:r>
      <w:r>
        <w:rPr>
          <w:rFonts w:ascii="Arial" w:cs="Arial" w:eastAsia="Arial" w:hAnsi="Arial"/>
          <w:sz w:val="18"/>
          <w:szCs w:val="18"/>
          <w:color w:val="auto"/>
        </w:rPr>
        <w:t>. Cinemas can be used as anchors for larger retail developments (referred to as</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entertainment-themed centers, or “ETCs”), and our involvement in the cinema business can give us an advantage over other real estate developers or redevelopers who must identify and negotiate with third-party anchor tenants. We have used cinemas to create our own anchors at our five ETCs.</w:t>
      </w:r>
    </w:p>
    <w:p>
      <w:pPr>
        <w:spacing w:after="0" w:line="83" w:lineRule="exact"/>
        <w:rPr>
          <w:rFonts w:ascii="Arial" w:cs="Arial" w:eastAsia="Arial" w:hAnsi="Arial"/>
          <w:sz w:val="29"/>
          <w:szCs w:val="29"/>
          <w:color w:val="auto"/>
          <w:vertAlign w:val="superscript"/>
        </w:rPr>
      </w:pPr>
    </w:p>
    <w:p>
      <w:pPr>
        <w:ind w:left="640" w:right="20" w:hanging="320"/>
        <w:spacing w:after="0" w:line="253" w:lineRule="auto"/>
        <w:tabs>
          <w:tab w:leader="none" w:pos="6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i w:val="1"/>
          <w:iCs w:val="1"/>
          <w:color w:val="auto"/>
        </w:rPr>
        <w:t>Reduced Pressure to Deliver Cinema Business Growth; to Grow for Growth’s Sake</w:t>
      </w:r>
      <w:r>
        <w:rPr>
          <w:rFonts w:ascii="Arial" w:cs="Arial" w:eastAsia="Arial" w:hAnsi="Arial"/>
          <w:sz w:val="17"/>
          <w:szCs w:val="17"/>
          <w:color w:val="auto"/>
        </w:rPr>
        <w:t>. Pure cinema operators can encounter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difficulty as demands upon them to produce cinema-based earnings growth tempt them into reinvesting their cash flow into increasingly marginal cinema sites, overpaying for existing cinemas or entering into high-rent leases. While we believe that there will continue to be attractive opportunities to acquire cinema assets and/or to develop upper-end specialty type theaters in the future, we do not feel pressure to build or acquire cinemas for the sake of adding units or building gross cinema revenues. This strategy has, over the years, allowed us to acquire cinemas at multiples of trailing theater cash flow below those paid by third parties. We intend to focus our use of cash flow on our real estate development and operating activities, to the extent that attractive cinema opportunities are not available to us or that such funds are not needed for reinvestment to maintain our cinemas in a competitive position. In 2019, we invested approximately $22.9 million in the upgrading and repositioning of our historic cinema assets or adding new cinemas, and approximately $22.7 million in the acquisition or development of our non-cinema real estate assets.</w:t>
      </w:r>
    </w:p>
    <w:p>
      <w:pPr>
        <w:spacing w:after="0" w:line="70" w:lineRule="exact"/>
        <w:rPr>
          <w:rFonts w:ascii="Arial" w:cs="Arial" w:eastAsia="Arial" w:hAnsi="Arial"/>
          <w:sz w:val="28"/>
          <w:szCs w:val="28"/>
          <w:color w:val="auto"/>
          <w:vertAlign w:val="superscript"/>
        </w:rPr>
      </w:pPr>
    </w:p>
    <w:p>
      <w:pPr>
        <w:ind w:left="640" w:right="80" w:hanging="320"/>
        <w:spacing w:after="0" w:line="229" w:lineRule="auto"/>
        <w:tabs>
          <w:tab w:leader="none" w:pos="6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Enhanced Control over our own Destiny</w:t>
      </w:r>
      <w:r>
        <w:rPr>
          <w:rFonts w:ascii="Arial" w:cs="Arial" w:eastAsia="Arial" w:hAnsi="Arial"/>
          <w:sz w:val="18"/>
          <w:szCs w:val="18"/>
          <w:color w:val="auto"/>
        </w:rPr>
        <w:t>. Some exhibiters are finding their cinemas stranded in dead or dying centers.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ETCs, we are better able as exhibitors to control this risk and, as landlords, to realize the benefits of the synergies between entertainment and retail. In our five ETCs, we have focused on creating and developing a mix of lifestyle tenancies that, we believe, are less vulnerable to the Amazon Effect being felt by traditional centers and that benefit from the foot traffic generated by our cinemas. We are focusing on creating a collaborative marketing environment – a community that benefits both our cinema operations and our other tenants.</w:t>
      </w:r>
    </w:p>
    <w:p>
      <w:pPr>
        <w:spacing w:after="0" w:line="84" w:lineRule="exact"/>
        <w:rPr>
          <w:rFonts w:ascii="Arial" w:cs="Arial" w:eastAsia="Arial" w:hAnsi="Arial"/>
          <w:sz w:val="29"/>
          <w:szCs w:val="29"/>
          <w:color w:val="auto"/>
          <w:vertAlign w:val="superscript"/>
        </w:rPr>
      </w:pPr>
    </w:p>
    <w:p>
      <w:pPr>
        <w:ind w:left="640" w:right="20" w:hanging="320"/>
        <w:spacing w:after="0" w:line="238" w:lineRule="auto"/>
        <w:tabs>
          <w:tab w:leader="none" w:pos="64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i w:val="1"/>
          <w:iCs w:val="1"/>
          <w:color w:val="auto"/>
        </w:rPr>
        <w:t>Flexibility in Property Use</w:t>
      </w:r>
      <w:r>
        <w:rPr>
          <w:rFonts w:ascii="Arial" w:cs="Arial" w:eastAsia="Arial" w:hAnsi="Arial"/>
          <w:sz w:val="16"/>
          <w:szCs w:val="16"/>
          <w:color w:val="auto"/>
        </w:rPr>
        <w:t>. We are always open to the idea of converting an entertainment property to another use, if there is a</w:t>
      </w:r>
      <w:r>
        <w:rPr>
          <w:rFonts w:ascii="Arial" w:cs="Arial" w:eastAsia="Arial" w:hAnsi="Arial"/>
          <w:sz w:val="16"/>
          <w:szCs w:val="16"/>
          <w:i w:val="1"/>
          <w:iCs w:val="1"/>
          <w:color w:val="auto"/>
        </w:rPr>
        <w:t xml:space="preserve"> </w:t>
      </w:r>
      <w:r>
        <w:rPr>
          <w:rFonts w:ascii="Arial" w:cs="Arial" w:eastAsia="Arial" w:hAnsi="Arial"/>
          <w:sz w:val="16"/>
          <w:szCs w:val="16"/>
          <w:color w:val="auto"/>
        </w:rPr>
        <w:t>higher and better use for the property, or to sell individual assets if an attractive opportunity presents itself. Our 44 Union Square property, which is in the lease-up phase of its redevelopment was initially acquired as an entertainment property.</w:t>
      </w:r>
    </w:p>
    <w:p>
      <w:pPr>
        <w:spacing w:after="0" w:line="81" w:lineRule="exact"/>
        <w:rPr>
          <w:rFonts w:ascii="Arial" w:cs="Arial" w:eastAsia="Arial" w:hAnsi="Arial"/>
          <w:sz w:val="26"/>
          <w:szCs w:val="26"/>
          <w:color w:val="auto"/>
          <w:vertAlign w:val="superscript"/>
        </w:rPr>
      </w:pPr>
    </w:p>
    <w:p>
      <w:pPr>
        <w:ind w:left="640" w:right="20" w:hanging="320"/>
        <w:spacing w:after="0" w:line="232" w:lineRule="auto"/>
        <w:tabs>
          <w:tab w:leader="none" w:pos="6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i w:val="1"/>
          <w:iCs w:val="1"/>
          <w:color w:val="auto"/>
        </w:rPr>
        <w:t>Diversification of our Risk Profile and Enhanced Flexibility in meeting our Cash Needs</w:t>
      </w:r>
      <w:r>
        <w:rPr>
          <w:rFonts w:ascii="Arial" w:cs="Arial" w:eastAsia="Arial" w:hAnsi="Arial"/>
          <w:sz w:val="18"/>
          <w:szCs w:val="18"/>
          <w:color w:val="auto"/>
        </w:rPr>
        <w:t>. We currently meet our financing needs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combination of secured real estate loans and commercial credit facilities. Historically, we have limited real estate loans to short term obligations. However, we believe that our real estate base provides us with the ability to obtain longer term real estate-based financing, should the need arise. These loans typically allow higher leverage of cash flows than operating loans secured by cinema assets. Also, should the need arise, our real estate assets provide us as more ready source of liquidity through sale than traditional cinema assets. The time of sale, particularly in Australia, of strong real estate assets is much shorter than the sale of an operating business.</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Insofar as we are aware, we are the only publicly traded company in the world to apply this two-track, synergistic approach to the cinema and real estate development businesses on an international basis. None of the major cinema exhibition companies (other than Marcus Theatres) have any material landholdings as they operate predominantly on a leased-facility model.</w:t>
      </w:r>
    </w:p>
    <w:p>
      <w:pPr>
        <w:spacing w:after="0" w:line="16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the downside, we are told that our hybrid multi-country strategy makes it more challenging for the market to compare us to pure cinema operators and/or pure real estate companies. While we are required to gross up our balance sheet for our cinema leases, we are not able to similarly reflect the fair market value of our real estate assets. Much of our value enhancement comes in the appreciation associated with our real estate development activities, which is not reflected on our consolidated statements of operations or our consolidated balance sheets. An example of this is the increase in value of our approximately 70.4-acre Manukau/Wiri property adjacent to the Auckland Airport, of which 64.0-acres was successfully rezoned from agricultural to light industrial uses in 2016. The only financial statement result has been the capitalization of the consulting costs associated with that activity. We believe that the increase in value was much more profound. Also, as we engage in both cinema operations and real estate development, and are active in three international markets, our G&amp;A is higher than either a stand-alone cinema or a stand-alone real estate company and is not offset, on a financial statement basis, by the increases in real estate value achieved by those endeavors. Another challenge to 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255" w:right="979" w:bottom="1440" w:gutter="0" w:footer="0" w:header="0"/>
        </w:sectPr>
      </w:pPr>
    </w:p>
    <w:bookmarkStart w:id="6" w:name="page7"/>
    <w:bookmarkEnd w:id="6"/>
    <w:p>
      <w:pPr>
        <w:ind w:right="600"/>
        <w:spacing w:after="0" w:line="277" w:lineRule="auto"/>
        <w:rPr>
          <w:sz w:val="20"/>
          <w:szCs w:val="20"/>
          <w:color w:val="auto"/>
        </w:rPr>
      </w:pPr>
      <w:r>
        <w:rPr>
          <w:rFonts w:ascii="Arial" w:cs="Arial" w:eastAsia="Arial" w:hAnsi="Arial"/>
          <w:sz w:val="18"/>
          <w:szCs w:val="18"/>
          <w:color w:val="auto"/>
        </w:rPr>
        <w:t>evaluation of our company is that stable or even positive results in Australia and/or New Zealand can appear on our statements of operations as year to year declines, based solely on currency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Mix and Impact of Foreign Currency Fluctuations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worked to maintain a balance both between our cinema and real estate assets and between our U.S. and our Australian and New Zealand assets. In 2019, we invested approximately $28.5 million in our U.S. assets: $20.4 million for the development of our real estate assets (principally $20.2 million for the construction of our 44 Union Square property) and $8.1 million for the improvements of our cinema assets (principally upgrading our offerings at our existing cinemas). We invested approximately $14.6 million in our Australian assets: $1.3 million for the development of our real estate assets (principally at Newmarket Village (Brisbane)) and $13.3 million for the development of our cinema assets (principally the purchase of our first two cinemas in Tasmania, the CMax cinema in Devonport and the State Cinema in Hobart, the fit-out and launch of our Burwood (Melbourne) cinema, and the renovations of our cinemas at Harbour Town, Rhodes, and West Lakes, and the upgrade of certain other cinemas). We invested approximately $2.5 million in our New Zealand assets: $0.9 million for the development of real estate assets (principally on the predevelopment of our Courtenay Central assets), and approximately $1.5 million for the development of cinema assets (principally the renovations of our cinema at The Palms, and the upgrade of certain other cinemas).</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As shown in the chart set forth in the </w:t>
      </w:r>
      <w:r>
        <w:rPr>
          <w:rFonts w:ascii="Arial" w:cs="Arial" w:eastAsia="Arial" w:hAnsi="Arial"/>
          <w:sz w:val="16"/>
          <w:szCs w:val="16"/>
          <w:i w:val="1"/>
          <w:iCs w:val="1"/>
          <w:color w:val="auto"/>
        </w:rPr>
        <w:t>International Business Risks</w:t>
      </w:r>
      <w:r>
        <w:rPr>
          <w:rFonts w:ascii="Arial" w:cs="Arial" w:eastAsia="Arial" w:hAnsi="Arial"/>
          <w:sz w:val="16"/>
          <w:szCs w:val="16"/>
          <w:color w:val="auto"/>
        </w:rPr>
        <w:t xml:space="preserve"> section, exchange rates for the currencies of these jurisdictions have varied, sometimes materially. These ratios naturally have an impact on our revenues and asset values, which are reported in USD. Notwithstanding these fluctuations, we continue to believe that, over the long term, operating in Australia and New Zealand is a prudent diversification of risk. Australia has been identified by the United Nations to be among the Top 10 countries in the World in terms of natural resources per person. Deutsche Bank has twice named Wellington the best place in the world to live. The Organization for Economic Cooperation and Development has twice rated Australia as the best place to live and work in the world. In our view, the economies of Australia and New Zealand are stable economies and their lifestyles support our entertainment/lifestyle focus.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book value of our assets was $675.0 million, and our consolidated stockholders’ book equity was</w:t>
      </w:r>
    </w:p>
    <w:p>
      <w:pPr>
        <w:spacing w:after="0" w:line="23"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$139.6 million. Calculated based on book value, $364.9 million, or 54% of our assets, relate to our cinema exhibition activities and $295.2 million, or 44%, of our assets, relate to our real estate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127000</wp:posOffset>
            </wp:positionV>
            <wp:extent cx="3540125" cy="1731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401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For additional segment financial information, please see </w:t>
      </w:r>
      <w:r>
        <w:rPr>
          <w:rFonts w:ascii="Arial" w:cs="Arial" w:eastAsia="Arial" w:hAnsi="Arial"/>
          <w:sz w:val="18"/>
          <w:szCs w:val="18"/>
          <w:i w:val="1"/>
          <w:iCs w:val="1"/>
          <w:color w:val="auto"/>
        </w:rPr>
        <w:t>Note 1 – Description of Business and Segment Reporting</w:t>
      </w:r>
      <w:r>
        <w:rPr>
          <w:rFonts w:ascii="Arial" w:cs="Arial" w:eastAsia="Arial" w:hAnsi="Arial"/>
          <w:sz w:val="18"/>
          <w:szCs w:val="18"/>
          <w:color w:val="auto"/>
        </w:rPr>
        <w:t xml:space="preserve"> to our 2019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diversified our assets among three countries: the United States, Australia, and New Zealand. Based on book value, at December 31, 2019, we had approximately 53% of our assets in the United States, 37% in Australia and 10% in New Zealand compared to 50%, 36%, and 14% respectively, at the end of 2018. This increase in U.S. assets is principally due to our investments in the redevelopment of 44 Union Square and the upgrades to our domestic cinema assets, as well as the continued strengthening of the U.S. dollar compared to the Australian and the New Zealand dollar.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2019, we had cash and cash equivalents of $12.1 million, which are treated as corporate assets. Our cash included</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$7.8 million denominated in U.S. dollars, $2.3 million (AU$3.3 million) in Australian dollars, and $2.0 million (NZ$3.0 million) in New Zealand dollars. We had total worldwide non-current assets of $648.0 million, distributed as follows: $341.0 million in the United States, $239.7 million (AU$409.1 million) in Australia and $67.3 million (NZ$99.8 million) in New Zealand. We had $60.0 unused capacity of available and unrestricted corporate credit facilities at December 31, 2019.</w:t>
      </w:r>
    </w:p>
    <w:p>
      <w:pPr>
        <w:spacing w:after="0" w:line="19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2019, our gross revenues in the United States, Australia, and New Zealand were $151.5 million, $103.0 million, and $22.3 million, respectively, compared to $165.4 million, $111.7 million, and $31.9 million for 2018. All three countries posted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revenue decreases in 2019 as a result of a decline in cinema attendance offset to some extent by increases in food and beverage per caps.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166370</wp:posOffset>
            </wp:positionV>
            <wp:extent cx="3669030" cy="1517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6903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CINEMA EXHIBITION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Overall</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are dedicated to creating engaging cinema experiences for our guests through hospitality-styled comfort and service, state-of-the-art cinematic presentation, uniquely designed venues, curated film and event programming, and crafted food and beverage options. As discussed previously, we manage our worldwide cinema exhibition business under various brands.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Shown in the following table are the number of locations and screens in our theater circuit in each country, by state/territory/region, our cinema brands, and our interest in the underlying asset as of December 31, 2019:</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ind w:left="420"/>
              <w:spacing w:after="0" w:line="153" w:lineRule="exact"/>
              <w:rPr>
                <w:sz w:val="20"/>
                <w:szCs w:val="20"/>
                <w:color w:val="auto"/>
              </w:rPr>
            </w:pPr>
            <w:r>
              <w:rPr>
                <w:rFonts w:ascii="Arial" w:cs="Arial" w:eastAsia="Arial" w:hAnsi="Arial"/>
                <w:sz w:val="14"/>
                <w:szCs w:val="14"/>
                <w:b w:val="1"/>
                <w:bCs w:val="1"/>
                <w:color w:val="auto"/>
              </w:rPr>
              <w:t>Interest in Asset</w:t>
            </w:r>
          </w:p>
        </w:tc>
        <w:tc>
          <w:tcPr>
            <w:tcW w:w="16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tcPr>
          <w:p>
            <w:pPr>
              <w:spacing w:after="0"/>
              <w:rPr>
                <w:sz w:val="13"/>
                <w:szCs w:val="13"/>
                <w:color w:val="auto"/>
              </w:rPr>
            </w:pPr>
          </w:p>
        </w:tc>
      </w:tr>
      <w:tr>
        <w:trPr>
          <w:trHeight w:val="178"/>
        </w:trPr>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State / Territory /</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Screen</w:t>
            </w:r>
          </w:p>
        </w:tc>
        <w:tc>
          <w:tcPr>
            <w:tcW w:w="18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Underlying the Cinema</w:t>
            </w: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160" w:type="dxa"/>
            <w:vAlign w:val="bottom"/>
          </w:tcPr>
          <w:p>
            <w:pPr>
              <w:spacing w:after="0"/>
              <w:rPr>
                <w:sz w:val="17"/>
                <w:szCs w:val="17"/>
                <w:color w:val="auto"/>
              </w:rPr>
            </w:pPr>
          </w:p>
        </w:tc>
        <w:tc>
          <w:tcPr>
            <w:tcW w:w="1560" w:type="dxa"/>
            <w:vAlign w:val="bottom"/>
          </w:tcPr>
          <w:p>
            <w:pPr>
              <w:ind w:left="580"/>
              <w:spacing w:after="0"/>
              <w:rPr>
                <w:sz w:val="20"/>
                <w:szCs w:val="20"/>
                <w:color w:val="auto"/>
              </w:rPr>
            </w:pPr>
            <w:r>
              <w:rPr>
                <w:rFonts w:ascii="Arial" w:cs="Arial" w:eastAsia="Arial" w:hAnsi="Arial"/>
                <w:sz w:val="14"/>
                <w:szCs w:val="14"/>
                <w:b w:val="1"/>
                <w:bCs w:val="1"/>
                <w:color w:val="auto"/>
              </w:rPr>
              <w:t>Region</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Count</w:t>
            </w:r>
          </w:p>
        </w:tc>
        <w:tc>
          <w:tcPr>
            <w:tcW w:w="14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Count</w:t>
            </w:r>
          </w:p>
        </w:tc>
        <w:tc>
          <w:tcPr>
            <w:tcW w:w="140" w:type="dxa"/>
            <w:vAlign w:val="bottom"/>
          </w:tcPr>
          <w:p>
            <w:pPr>
              <w:spacing w:after="0"/>
              <w:rPr>
                <w:sz w:val="17"/>
                <w:szCs w:val="17"/>
                <w:color w:val="auto"/>
              </w:rPr>
            </w:pP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Leased</w:t>
            </w:r>
          </w:p>
        </w:tc>
        <w:tc>
          <w:tcPr>
            <w:tcW w:w="140" w:type="dxa"/>
            <w:vAlign w:val="bottom"/>
          </w:tcPr>
          <w:p>
            <w:pPr>
              <w:spacing w:after="0"/>
              <w:rPr>
                <w:sz w:val="17"/>
                <w:szCs w:val="17"/>
                <w:color w:val="auto"/>
              </w:rPr>
            </w:pPr>
          </w:p>
        </w:tc>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Owned</w:t>
            </w:r>
          </w:p>
        </w:tc>
        <w:tc>
          <w:tcPr>
            <w:tcW w:w="28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Brands</w:t>
            </w:r>
          </w:p>
        </w:tc>
      </w:tr>
      <w:tr>
        <w:trPr>
          <w:trHeight w:val="27"/>
        </w:trPr>
        <w:tc>
          <w:tcPr>
            <w:tcW w:w="1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720" w:type="dxa"/>
            <w:vAlign w:val="bottom"/>
            <w:shd w:val="clear" w:color="auto" w:fill="000000"/>
          </w:tcPr>
          <w:p>
            <w:pPr>
              <w:spacing w:after="0"/>
              <w:rPr>
                <w:sz w:val="2"/>
                <w:szCs w:val="2"/>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Hawaii</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Consolidated Theatres</w:t>
            </w:r>
          </w:p>
        </w:tc>
      </w:tr>
      <w:tr>
        <w:trPr>
          <w:trHeight w:val="216"/>
        </w:trPr>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California</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88</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4"/>
                <w:szCs w:val="14"/>
                <w:color w:val="auto"/>
              </w:rPr>
              <w:t>Reading Cinemas, Angelika Film Center</w:t>
            </w:r>
          </w:p>
        </w:tc>
      </w:tr>
      <w:tr>
        <w:trPr>
          <w:trHeight w:val="216"/>
        </w:trPr>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Angelika Film Center, City Cinemas</w:t>
            </w:r>
          </w:p>
        </w:tc>
      </w:tr>
      <w:tr>
        <w:trPr>
          <w:trHeight w:val="216"/>
        </w:trPr>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Texas</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4"/>
                <w:szCs w:val="14"/>
                <w:color w:val="auto"/>
              </w:rPr>
              <w:t>Angelika Film Center</w:t>
            </w:r>
          </w:p>
        </w:tc>
      </w:tr>
      <w:tr>
        <w:trPr>
          <w:trHeight w:val="216"/>
        </w:trPr>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Jersey</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Virginia</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4"/>
                <w:szCs w:val="14"/>
                <w:color w:val="auto"/>
              </w:rPr>
              <w:t>Angelika Film Center</w:t>
            </w:r>
          </w:p>
        </w:tc>
      </w:tr>
      <w:tr>
        <w:trPr>
          <w:trHeight w:val="216"/>
        </w:trPr>
        <w:tc>
          <w:tcPr>
            <w:tcW w:w="1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Washington DC</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Angelika Film Center</w:t>
            </w:r>
          </w:p>
        </w:tc>
      </w:tr>
      <w:tr>
        <w:trPr>
          <w:trHeight w:val="210"/>
        </w:trPr>
        <w:tc>
          <w:tcPr>
            <w:tcW w:w="1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i w:val="1"/>
                <w:iCs w:val="1"/>
                <w:color w:val="auto"/>
              </w:rPr>
              <w:t>U.S. Total</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24</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238</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23</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r>
        <w:trPr>
          <w:trHeight w:val="209"/>
        </w:trPr>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Australia</w:t>
            </w: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Victoria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New South Wales</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2</w:t>
            </w:r>
          </w:p>
        </w:tc>
        <w:tc>
          <w:tcPr>
            <w:tcW w:w="288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Queensland</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 Event Cinemas</w:t>
            </w:r>
            <w:r>
              <w:rPr>
                <w:rFonts w:ascii="Arial" w:cs="Arial" w:eastAsia="Arial" w:hAnsi="Arial"/>
                <w:sz w:val="7"/>
                <w:szCs w:val="7"/>
                <w:color w:val="auto"/>
              </w:rPr>
              <w:t>(1)</w:t>
            </w:r>
          </w:p>
        </w:tc>
      </w:tr>
      <w:tr>
        <w:trPr>
          <w:trHeight w:val="216"/>
        </w:trPr>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Western Australia</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w:t>
            </w:r>
          </w:p>
        </w:tc>
        <w:tc>
          <w:tcPr>
            <w:tcW w:w="288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South Australia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Tasmania</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2</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14</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Reading Cinemas, State Cinema</w:t>
            </w:r>
          </w:p>
        </w:tc>
      </w:tr>
      <w:tr>
        <w:trPr>
          <w:trHeight w:val="210"/>
        </w:trPr>
        <w:tc>
          <w:tcPr>
            <w:tcW w:w="1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b w:val="1"/>
                <w:bCs w:val="1"/>
                <w:i w:val="1"/>
                <w:iCs w:val="1"/>
                <w:color w:val="auto"/>
              </w:rPr>
              <w:t>Australia Total</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24</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190</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18</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6</w:t>
            </w:r>
          </w:p>
        </w:tc>
        <w:tc>
          <w:tcPr>
            <w:tcW w:w="16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shd w:val="clear" w:color="auto" w:fill="CCEEFF"/>
          </w:tcPr>
          <w:p>
            <w:pPr>
              <w:spacing w:after="0"/>
              <w:rPr>
                <w:sz w:val="18"/>
                <w:szCs w:val="18"/>
                <w:color w:val="auto"/>
              </w:rPr>
            </w:pPr>
          </w:p>
        </w:tc>
      </w:tr>
      <w:tr>
        <w:trPr>
          <w:trHeight w:val="210"/>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New Zealand</w:t>
            </w:r>
          </w:p>
        </w:tc>
        <w:tc>
          <w:tcPr>
            <w:tcW w:w="1740" w:type="dxa"/>
            <w:vAlign w:val="bottom"/>
            <w:gridSpan w:val="2"/>
          </w:tcPr>
          <w:p>
            <w:pPr>
              <w:spacing w:after="0"/>
              <w:rPr>
                <w:sz w:val="20"/>
                <w:szCs w:val="20"/>
                <w:color w:val="auto"/>
              </w:rPr>
            </w:pPr>
            <w:r>
              <w:rPr>
                <w:rFonts w:ascii="Arial" w:cs="Arial" w:eastAsia="Arial" w:hAnsi="Arial"/>
                <w:sz w:val="14"/>
                <w:szCs w:val="14"/>
                <w:color w:val="auto"/>
              </w:rPr>
              <w:t>Wellington</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w:t>
            </w:r>
          </w:p>
        </w:tc>
        <w:tc>
          <w:tcPr>
            <w:tcW w:w="288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Otago</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 Rialto Cinemas</w:t>
            </w:r>
            <w:r>
              <w:rPr>
                <w:rFonts w:ascii="Arial" w:cs="Arial" w:eastAsia="Arial" w:hAnsi="Arial"/>
                <w:sz w:val="7"/>
                <w:szCs w:val="7"/>
                <w:color w:val="auto"/>
              </w:rPr>
              <w:t>(2)</w:t>
            </w:r>
          </w:p>
        </w:tc>
      </w:tr>
      <w:tr>
        <w:trPr>
          <w:trHeight w:val="216"/>
        </w:trPr>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Auckland</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4"/>
                <w:szCs w:val="14"/>
                <w:color w:val="auto"/>
              </w:rPr>
              <w:t>Reading Cinemas, Rialto Cinemas</w:t>
            </w:r>
            <w:r>
              <w:rPr>
                <w:rFonts w:ascii="Arial" w:cs="Arial" w:eastAsia="Arial" w:hAnsi="Arial"/>
                <w:sz w:val="7"/>
                <w:szCs w:val="7"/>
                <w:color w:val="auto"/>
              </w:rPr>
              <w:t>(2)</w:t>
            </w:r>
          </w:p>
        </w:tc>
      </w:tr>
      <w:tr>
        <w:trPr>
          <w:trHeight w:val="216"/>
        </w:trPr>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Canterbury</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Southland</w:t>
            </w: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w:t>
            </w:r>
          </w:p>
        </w:tc>
        <w:tc>
          <w:tcPr>
            <w:tcW w:w="2880" w:type="dxa"/>
            <w:vAlign w:val="bottom"/>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Bay of Plenty</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Reading Cinemas</w:t>
            </w:r>
          </w:p>
        </w:tc>
      </w:tr>
      <w:tr>
        <w:trPr>
          <w:trHeight w:val="216"/>
        </w:trPr>
        <w:tc>
          <w:tcPr>
            <w:tcW w:w="1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Hawke's Bay</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4</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2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Reading Cinemas</w:t>
            </w:r>
          </w:p>
        </w:tc>
      </w:tr>
      <w:tr>
        <w:trPr>
          <w:trHeight w:val="210"/>
        </w:trPr>
        <w:tc>
          <w:tcPr>
            <w:tcW w:w="1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b w:val="1"/>
                <w:bCs w:val="1"/>
                <w:i w:val="1"/>
                <w:iCs w:val="1"/>
                <w:color w:val="auto"/>
              </w:rPr>
              <w:t>New Zealand Total</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12</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70</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7</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5</w:t>
            </w:r>
          </w:p>
        </w:tc>
        <w:tc>
          <w:tcPr>
            <w:tcW w:w="16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shd w:val="clear" w:color="auto" w:fill="CCEEFF"/>
          </w:tcPr>
          <w:p>
            <w:pPr>
              <w:spacing w:after="0"/>
              <w:rPr>
                <w:sz w:val="18"/>
                <w:szCs w:val="18"/>
                <w:color w:val="auto"/>
              </w:rPr>
            </w:pPr>
          </w:p>
        </w:tc>
      </w:tr>
      <w:tr>
        <w:trPr>
          <w:trHeight w:val="216"/>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GRAND TOTAL</w:t>
            </w:r>
          </w:p>
        </w:tc>
        <w:tc>
          <w:tcPr>
            <w:tcW w:w="1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60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498</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48</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12</w:t>
            </w: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bl>
    <w:p>
      <w:pPr>
        <w:spacing w:after="0" w:line="103"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Company has a 33.3% unincorporated joint venture interest in a 16-screen cinema located in Mt. Gravatt, Queensland managed by Event Cinemas.</w:t>
      </w:r>
    </w:p>
    <w:p>
      <w:pPr>
        <w:spacing w:after="0" w:line="11" w:lineRule="exact"/>
        <w:rPr>
          <w:rFonts w:ascii="Arial" w:cs="Arial" w:eastAsia="Arial" w:hAnsi="Arial"/>
          <w:sz w:val="13"/>
          <w:szCs w:val="13"/>
          <w:color w:val="auto"/>
        </w:rPr>
      </w:pPr>
    </w:p>
    <w:p>
      <w:pPr>
        <w:ind w:left="640" w:right="200" w:hanging="320"/>
        <w:spacing w:after="0" w:line="237"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is a 50% joint venture partner in two New Zealand Rialto cinemas totaling 13 screens. We are responsible for the booking of these cinemas and our joint venture partner, Event Cinemas, manages their day-to-day operations.</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January 2019, we acquired our first cinema in Tasmania, a well-established four-screen cinema with a liquor license in Devonport, Australia. In order to mitigate the loss from the ongoing temporary closure of our Reading Cinemas at Courtenay Central, at the end of June 2019, we opened a three-screen pop-up in Lower Hutt located in the greater region of Wellington, New Zealand. In December 2019, we acquired our second cinema in Tasmania, the iconic ten-screen State Cinema in Hobart, and we launched our six-screen Reading Cinemas in Burwood, a suburb of Melbourne, Australia, bringing our current worldwide cinema count to 60. In addition, as of today, we have entered into four lease agreements, providing for the development of an additional 25 state-of-the-art screens. This includes the recently announced state-of-the art cinema at Miller’s Junction in Melbourne, Australia. While no assurances can be given, the completion of these four new complexes is anticipated to increase our cinema count to 64 before the end of 2022.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8" w:name="page9"/>
    <w:bookmarkEnd w:id="8"/>
    <w:p>
      <w:pPr>
        <w:ind w:left="4" w:right="80"/>
        <w:spacing w:after="0" w:line="272" w:lineRule="auto"/>
        <w:rPr>
          <w:sz w:val="20"/>
          <w:szCs w:val="20"/>
          <w:color w:val="auto"/>
        </w:rPr>
      </w:pPr>
      <w:r>
        <w:rPr>
          <w:rFonts w:ascii="Arial" w:cs="Arial" w:eastAsia="Arial" w:hAnsi="Arial"/>
          <w:sz w:val="17"/>
          <w:szCs w:val="17"/>
          <w:color w:val="auto"/>
        </w:rPr>
        <w:t>We continue to focus on upgrading our existing cinemas and developing new cinema opportunities to provide our customers with premium offerings, including luxury recliner seating, state-of-the-art presentation including sound, lounges, cafés and bar service, and other amenities. Since 2016, and continuing through 2019, we increased the number of auditoriums featuring recliner seating from 58 to 158 (excluding our joint ventures). In addition, 30 of our auditoriums now feature large format TITAN XC, TITAN LUXE, or IMAX screens. Our circuit has been completely converted to digital projection and sound systems. In 2019, we upgraded three auditoriums at three of our locations to feature Dolby ATMOS sound which we consider to be the best in the industry at this time. The newly opened Reading Cinemas in Burwood also features Dolby ATMOS sound.</w:t>
      </w:r>
    </w:p>
    <w:p>
      <w:pPr>
        <w:spacing w:after="0" w:line="177"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While attendance and gross box office declined for the exhibition industry in the U.S., Australia and New Zealand in 2019 compared to 2018, we believe that the cinema exhibition business will continue to generate fairly consistent cash flows in the years ahead, even in recessionary or inflationary environments, because people will continue to spend a reasonable portion of their entertainment dollars on entertainment outside of the home. Because of the uncertainty of the duration of the impact from the COVID-19 virus on leisure and entertainment activities, our short-term results will likely be adversely impacted. For example, New York has ordered theaters closed indefinitely starting March 17, 2020. When compared to other forms of outside-the-home entertainment, movies continue to be a popular and competitively priced option. We believe that the advent of an array of streaming and mobile video services is more of a threat to the delivery of traditional in-home forms of entertainment (such as traditional cable and satellite providers) than it is to the exhibition industry. We believe that historically, our industry has benefited as the amount of quality product available for exhibition has increased. In the current situation, the amount of product coming to consumers is in some ways overwhelming. We believe that this means that cinema exhibition is going to be an increasingly important way for content providers to establish an identity for their product that will carry over into the streaming and mobile video market and aid consumers in their programming choices. We believe that our cinemas will be critical to provide the “Grand Opening” needed for product providers attempting to compete in the streaming market. This being the case, we likewise believe that the entire cinema-going experience needs to be engaging to provide this “Grand Opening” feel. Acting on that belief, we have focused in recent periods on the upgrading of our cinemas to feature luxury recliner seating, state-of-the-art sound, large format screens, and enhanced food and beverage. We have invested in technology to make our reservation system more user friendly and to encourage customer loyalty.</w:t>
      </w:r>
    </w:p>
    <w:p>
      <w:pPr>
        <w:spacing w:after="0" w:line="191" w:lineRule="exact"/>
        <w:rPr>
          <w:sz w:val="20"/>
          <w:szCs w:val="20"/>
          <w:color w:val="auto"/>
        </w:rPr>
      </w:pPr>
    </w:p>
    <w:p>
      <w:pPr>
        <w:ind w:left="4" w:right="280"/>
        <w:spacing w:after="0" w:line="287" w:lineRule="auto"/>
        <w:rPr>
          <w:sz w:val="20"/>
          <w:szCs w:val="20"/>
          <w:color w:val="auto"/>
        </w:rPr>
      </w:pPr>
      <w:r>
        <w:rPr>
          <w:rFonts w:ascii="Arial" w:cs="Arial" w:eastAsia="Arial" w:hAnsi="Arial"/>
          <w:sz w:val="16"/>
          <w:szCs w:val="16"/>
          <w:color w:val="auto"/>
        </w:rPr>
        <w:t>Recognizing that the cinema exhibition business is a well-established business, we continue to see growth opportunities in our cinema exhibition business principally from (i) the enhancement of our existing cinemas, (ii) the development in select markets of art and specialty cinemas, (iii) the development of new state-of-the-art cinemas on land that we already own or may in the future acquire, and</w:t>
      </w:r>
    </w:p>
    <w:p>
      <w:pPr>
        <w:spacing w:after="0" w:line="2" w:lineRule="exact"/>
        <w:rPr>
          <w:sz w:val="20"/>
          <w:szCs w:val="20"/>
          <w:color w:val="auto"/>
        </w:rPr>
      </w:pPr>
    </w:p>
    <w:p>
      <w:pPr>
        <w:jc w:val="both"/>
        <w:ind w:left="4" w:right="20" w:hanging="4"/>
        <w:spacing w:after="0" w:line="302" w:lineRule="auto"/>
        <w:tabs>
          <w:tab w:leader="none" w:pos="30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development of new mainstream cinemas in selected markets. While we continue to consider possible opportunities in third-party developments, we prefer, where possible, to put our capital to work in properties that we own rather than take on potentially burdensome lease obligations with their built-in rent increases and pass-throughs and their dependence on third-party shopping center operators.</w:t>
      </w:r>
    </w:p>
    <w:p>
      <w:pPr>
        <w:spacing w:after="0" w:line="155"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color w:val="auto"/>
        </w:rPr>
        <w:t>We continue to expand and upgrade our circuits on an opportunistic basis. Our philosophy is not one of growth at any cost and our goal is not to have more screens than anyone else. Rather, our goal is to have high quality, consistently grossing cinemas, and to grow on a steady and sustainable basis. During 2019, we continued working on the refurbishment of several of our cinema locations including Mililani, Kahala, and Rohnert Park in the U.S., Chirnside Park, Dandenong, Maitland, Harbour Town, Waurn Ponds, West Lakes, and Rhodes in Australia, and The Palms in New Zealand. We also upgraded nine screens at five of our locations to luxury recliner seating, in addition to the recently launched Reading Cinemas at Burwood which features luxury recliner seating in all six auditoriums and extended our enhanced food and beverage offerings to 29 of our cinemas. In 2018, our refurbishments included Manville and Mililani in the U.S., and Charlestown, Elizabeth, and Auburn in the Australia and New Zealand circuits. We also completed the conversion at our Reading Cinemas in Murrieta, California (Cal Oaks) which now features our “Spotlight” level of service in six out of the 17</w:t>
      </w:r>
    </w:p>
    <w:p>
      <w:pPr>
        <w:spacing w:after="0" w:line="6" w:lineRule="exact"/>
        <w:rPr>
          <w:sz w:val="20"/>
          <w:szCs w:val="20"/>
          <w:color w:val="auto"/>
        </w:rPr>
      </w:pPr>
    </w:p>
    <w:p>
      <w:pPr>
        <w:ind w:left="4" w:right="40"/>
        <w:spacing w:after="0" w:line="323" w:lineRule="auto"/>
        <w:rPr>
          <w:sz w:val="20"/>
          <w:szCs w:val="20"/>
          <w:color w:val="auto"/>
        </w:rPr>
      </w:pPr>
      <w:r>
        <w:rPr>
          <w:rFonts w:ascii="Arial" w:cs="Arial" w:eastAsia="Arial" w:hAnsi="Arial"/>
          <w:sz w:val="16"/>
          <w:szCs w:val="16"/>
          <w:color w:val="auto"/>
        </w:rPr>
        <w:t>auditoriums. “Spotlight” puts focus directly on our customers by providing an in-auditorium, waiter-serviced, enhanced F&amp;B experience for their enjoyment. At the end of 2017, we opened a new cinema at our Newmarket Village Shopping Center in Brisbane, Australia.</w:t>
      </w:r>
    </w:p>
    <w:p>
      <w:pPr>
        <w:spacing w:after="0" w:line="138"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Since 2015, we have consistently executed our strategic priority of upgrading the food and beverage menu at a number of our U.S. cinemas. We are focused on the renovation and upgrading of our existing U.S. cinemas, along the lines of our Carmel Mountain cinema. Working with former Food Network chef Santos Loo, we are continuing to curate and upgrade our food and beverage offerings. During 2017, we created our “Spotlight” service concept, which we implemented at our Reading Cinemas at Cal Oaks cinema during 2018. We saw success in 2019, as each of our cinema divisions achieved record results in food and beverage spend per patron (“SPP”), on a functional currency basis, for the fourth quarter and year ended December 31, 2019. Our U.S. cinema division outperformed some of our major U.S. publicly reporting exhibitors. At year-end 2019, we currently have beer and wine, and in some cases liquor, licenses for 16 of our venues in the U.S. and are in the application process of obtaining licenses for an additional seven venues. As a result, we are currently offering alcoholic beverages at 14 of our U.S. cinemas and two of our live theatres. In our international cinema operations, we offer alcoholic beverages at 14 of our cinemas in Australia and five of our cinemas in New Zealand (which includes the joint ventures).</w:t>
      </w:r>
    </w:p>
    <w:p>
      <w:pPr>
        <w:spacing w:after="0" w:line="18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35190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4"/>
          </w:cols>
          <w:pgMar w:left="976" w:top="12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auto"/>
        </w:rPr>
        <w:t>Operating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our principal tangible assets included:</w:t>
      </w:r>
    </w:p>
    <w:p>
      <w:pPr>
        <w:ind w:left="640" w:hanging="320"/>
        <w:spacing w:after="0"/>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interests in 60 cinemas comprising some 498 screens;</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fee interests in three live theatres (the Orpheum and Minetta Lane in Manhattan and the Royal George in Chicago);</w:t>
      </w:r>
    </w:p>
    <w:p>
      <w:pPr>
        <w:spacing w:after="0" w:line="96" w:lineRule="exact"/>
        <w:rPr>
          <w:rFonts w:ascii="Arial" w:cs="Arial" w:eastAsia="Arial" w:hAnsi="Arial"/>
          <w:sz w:val="24"/>
          <w:szCs w:val="24"/>
          <w:color w:val="auto"/>
          <w:vertAlign w:val="superscript"/>
        </w:rPr>
      </w:pPr>
    </w:p>
    <w:p>
      <w:pPr>
        <w:ind w:left="640" w:right="40" w:hanging="320"/>
        <w:spacing w:after="0" w:line="191"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fee interest in our 44 Union Square property, previously used by us as a live theatre venue and for rental to third parties and now in the lease-up phase of its redevelopment for retail and office uses;</w:t>
      </w:r>
    </w:p>
    <w:p>
      <w:pPr>
        <w:ind w:left="640" w:hanging="320"/>
        <w:spacing w:after="0" w:line="223"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fee interest in one cinema (the Cinemas 1,2,3), in Manhattan;</w:t>
      </w:r>
    </w:p>
    <w:p>
      <w:pPr>
        <w:spacing w:after="0" w:line="96" w:lineRule="exact"/>
        <w:rPr>
          <w:rFonts w:ascii="Arial" w:cs="Arial" w:eastAsia="Arial" w:hAnsi="Arial"/>
          <w:sz w:val="29"/>
          <w:szCs w:val="29"/>
          <w:color w:val="auto"/>
          <w:vertAlign w:val="superscript"/>
        </w:rPr>
      </w:pPr>
    </w:p>
    <w:p>
      <w:pPr>
        <w:ind w:left="640" w:right="260" w:hanging="320"/>
        <w:spacing w:after="0" w:line="191"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fee interests in two cinemas in Australia (Bundaberg and Maitland) and four cinemas in New Zealand (Dunedin, Invercargill, Napier and Rotorua);</w:t>
      </w:r>
    </w:p>
    <w:p>
      <w:pPr>
        <w:spacing w:after="0" w:line="80" w:lineRule="exact"/>
        <w:rPr>
          <w:rFonts w:ascii="Arial" w:cs="Arial" w:eastAsia="Arial" w:hAnsi="Arial"/>
          <w:sz w:val="29"/>
          <w:szCs w:val="29"/>
          <w:color w:val="auto"/>
          <w:vertAlign w:val="superscript"/>
        </w:rPr>
      </w:pPr>
    </w:p>
    <w:p>
      <w:pPr>
        <w:ind w:left="640" w:right="280" w:hanging="320"/>
        <w:spacing w:after="0" w:line="198"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fee interest in our ETCs in Sydney (Auburn Redyard), Brisbane (Newmarket Village), Townsville (Cannon Park), Perth (The Belmont Common) and Wellington (Courtenay Central), each of which includes a Reading Cinemas;</w:t>
      </w:r>
    </w:p>
    <w:p>
      <w:pPr>
        <w:spacing w:after="0" w:line="80" w:lineRule="exact"/>
        <w:rPr>
          <w:rFonts w:ascii="Arial" w:cs="Arial" w:eastAsia="Arial" w:hAnsi="Arial"/>
          <w:sz w:val="29"/>
          <w:szCs w:val="29"/>
          <w:color w:val="auto"/>
          <w:vertAlign w:val="superscript"/>
        </w:rPr>
      </w:pPr>
    </w:p>
    <w:p>
      <w:pPr>
        <w:ind w:left="640" w:right="660" w:hanging="320"/>
        <w:spacing w:after="0" w:line="198"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fee interest in 70.4-acres of developable land, zoned for light industrial and heavy industrial purposes and located in the Manukau/Wiri region of Auckland adjacent to the Auckland International Airport;</w:t>
      </w:r>
    </w:p>
    <w:p>
      <w:pPr>
        <w:spacing w:after="0" w:line="80" w:lineRule="exact"/>
        <w:rPr>
          <w:rFonts w:ascii="Arial" w:cs="Arial" w:eastAsia="Arial" w:hAnsi="Arial"/>
          <w:sz w:val="29"/>
          <w:szCs w:val="29"/>
          <w:color w:val="auto"/>
          <w:vertAlign w:val="superscript"/>
        </w:rPr>
      </w:pPr>
    </w:p>
    <w:p>
      <w:pPr>
        <w:ind w:left="640" w:right="680" w:hanging="320"/>
        <w:spacing w:after="0" w:line="198"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a 50% interest in a special purpose entity holding the fee interest in 202-acres of developable land located in Coachella, California zoned for residential and mixed-use purposes;</w:t>
      </w:r>
    </w:p>
    <w:p>
      <w:pPr>
        <w:spacing w:after="0" w:line="80" w:lineRule="exact"/>
        <w:rPr>
          <w:rFonts w:ascii="Arial" w:cs="Arial" w:eastAsia="Arial" w:hAnsi="Arial"/>
          <w:sz w:val="29"/>
          <w:szCs w:val="29"/>
          <w:color w:val="auto"/>
          <w:vertAlign w:val="superscript"/>
        </w:rPr>
      </w:pPr>
    </w:p>
    <w:p>
      <w:pPr>
        <w:ind w:left="640" w:right="40" w:hanging="320"/>
        <w:spacing w:after="0" w:line="207" w:lineRule="auto"/>
        <w:tabs>
          <w:tab w:leader="none" w:pos="6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fee interest in 2 office buildings, our corporate offices in Culver City, Los Angeles and Melbourne, Australia. Both buildings are mixed-use assets, housing our corporate staff with any surplus space rented, or available to rent to third parties;</w:t>
      </w:r>
    </w:p>
    <w:p>
      <w:pPr>
        <w:spacing w:after="0" w:line="80" w:lineRule="exact"/>
        <w:rPr>
          <w:rFonts w:ascii="Arial" w:cs="Arial" w:eastAsia="Arial" w:hAnsi="Arial"/>
          <w:sz w:val="28"/>
          <w:szCs w:val="28"/>
          <w:color w:val="auto"/>
          <w:vertAlign w:val="superscript"/>
        </w:rPr>
      </w:pPr>
    </w:p>
    <w:p>
      <w:pPr>
        <w:ind w:left="640" w:right="620" w:hanging="320"/>
        <w:spacing w:after="0" w:line="198"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in addition to the fee interests described immediately above, fee ownership of approximately 20.8 million square feet of developed and undeveloped real estate in the United States, Australia and New Zealand; and</w:t>
      </w:r>
    </w:p>
    <w:p>
      <w:pPr>
        <w:ind w:left="640" w:hanging="320"/>
        <w:spacing w:after="0" w:line="223"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cash and cash equivalents, aggregating $12.1 million.</w:t>
      </w:r>
    </w:p>
    <w:p>
      <w:pPr>
        <w:spacing w:after="0" w:line="20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Although we operate cinemas in three nations, the general nature of our operations and operating strategies does not vary materially from jurisdiction-to-jurisdiction. In each jurisdiction, our gross receipts are primarily from box office receipts, food and beverage sales, online ticketing fees, and screen advertising. Our ancillary revenue is created principally from theater rentals (for example, for film festivals and special events), and ancillary programming (such as concerts and sporting events).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cinemas generated approximately 63% of their 2019 revenue from box office receipts. Ticket prices vary by location, and in selected locations we offer reduced rates for senior citizens, children and, in certain markets, military and students.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Showtimes and features are placed in advertisements on our various websites, on internet sites and, in some markets, in limited instances, local newspapers. We are increasing our presence in social media, thereby, reducing our dependency on print advertising. Film distributors may also advertise certain feature films in various print, radio and television media, as well as on the internet, and distributors generally pay those costs.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F&amp;B sales accounted for approximately 30% of our total 2019 cinema revenue. Although certain cinemas have licenses for the sale and on-premises consumption of alcoholic beverages, historically F&amp;B products have been primarily popcorn, candy, and soda. This is changing, as more of our theaters are offering expanded food and beverage offerings. One of our strategic focuses is to upgrade our existing cinemas with expanded F&amp;B offerings consistent with what we believe to be the new position of cinemas in the pathway from content provider to consumer.</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Screen advertising and other revenue contribute approximately 7% of our total 2019 cinema revenue. With the exception of certain rights that we have retained to sell to local advertisers, generally speaking, we are not in the screen advertising business and nationally recognized screen-advertising companies’ contract with us for the right to show such advertising on our screens.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of Cinemas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With the exception of our three unconsolidated cinemas, we manage our cinemas with executives located in Los Angeles and Manhattan in the U.S., Melbourne, Australia, and Wellington, New Zealand. Our two New Zealand Rialto cinemas are owned by a joint venture in which Reading New Zealand is a 50% joint venture partner. While we assist in the booking of these two cinemas, our joint venture partner, Event Cinemas, manages their day-to-day operations. For our unconsolidated cinema in Australia, we have a passive one-third interest in a 16-screen Brisbane cinema managed by Event Cinemas.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and Pricing</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Film product is available from a variety of sources, ranging from the major film distributors, such as Paramount Pictures, Twentieth Century Studios, Warner Bros, Disney, Sony Pictures, Universal Pictures and Lionsgate, to a variety of smaller independent film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8"/>
          <w:szCs w:val="18"/>
          <w:color w:val="auto"/>
        </w:rPr>
        <w:t>distributors. In Australia and New Zealand, some of those major distributors distribute through local unaffiliated distributors. Worldwide, the major film distributors dominate the market for mainstream conventional films. In the U.S., art and specialty film is distributed through the art and specialty divisions of these major distributors, such as Searchlight Pictures and Sony Pictures Classics, and through independent distributors such as A24 and Neon. Film payment terms are generally based on an agreed-upon percentage of box office receipts that will vary from film-to-film.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Film is allocated by the applicable distributor among competitive cinemas. Accordingly, from time to time, we may be unable to license every film that we desire to play. In the Australian and New Zealand markets, we generally have access to all film product in the market.</w:t>
      </w:r>
    </w:p>
    <w:p>
      <w:pPr>
        <w:spacing w:after="0" w:line="12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Competition for films may be intense, depending upon the number of cinemas in a particular competitive market. Our ability to obtain top grossing, first run feature films may be adversely impacted by our comparatively small size, and the limited number of screens and markets that we can supply to distributors. Moreover, because of the dramatic consolidation of screens into the hands of a few very large and powerful exhibitors such as AMC (including the acquisition of Carmike), Cineworld (the new owners of Regal), Cinemark, and Cineplex, who between them control 64% of the North American market, these mega-exhibition companies are in a position to offer distributors access to many more screens in major markets than we can. Also, the majors have a significant number of markets where they operate without material competition, meaning that the distributors have no alternative exhibitor for their films in these</w:t>
      </w:r>
    </w:p>
    <w:p>
      <w:pPr>
        <w:spacing w:after="0" w:line="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markets. Accordingly, distributors may decide to give preference to these mega-exhibitors when it comes to licensing top-grossing films, rather than deal with independents such as ourselves. The situation is different in Australia and New Zealand, where typically every major multiplex cinema has access to all of the film currently in distribution, regardless of the ownership of that multiplex</w:t>
      </w:r>
    </w:p>
    <w:p>
      <w:pPr>
        <w:ind w:right="20"/>
        <w:spacing w:after="0" w:line="273" w:lineRule="auto"/>
        <w:rPr>
          <w:sz w:val="20"/>
          <w:szCs w:val="20"/>
          <w:color w:val="auto"/>
        </w:rPr>
      </w:pPr>
      <w:r>
        <w:rPr>
          <w:rFonts w:ascii="Arial" w:cs="Arial" w:eastAsia="Arial" w:hAnsi="Arial"/>
          <w:sz w:val="17"/>
          <w:szCs w:val="17"/>
          <w:color w:val="auto"/>
        </w:rPr>
        <w:t xml:space="preserve">cinema. However, on the reverse side, we have suffered somewhat in these markets from competition from boutique operators, who are able to book top grossing commercial films for limited runs, thus increasing competition for customers wishing to view such top grossing films. It may be that the power of these major circuits may increase with the determination by the Department of Justice to terminate the so called “Paramount Decree” discussed in greater detail in Item 1A –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availability of state-of-the-art technology and/or luxury recliner seating can also be a factor in the preference of one cinema over another. In recent periods, a number of cinemas have opened or re-opened featuring luxury recliner seating and/or expanded food and beverage service, including the sale of alcoholic beverages and food served to the seat. We have, for a number of years, offered alcoholic beverages in certain of our Australia and New Zealand cinemas and at certain of our Angelika Film Centers in the U.S. We are currently working to upgrade the seating and food and beverage offerings (including the offering of alcoholic beverages) at a number of our existing cinemas. We now offer alcoholic beverages at slightly over half (33) of our worldwide cinemas.</w:t>
      </w:r>
    </w:p>
    <w:p>
      <w:pPr>
        <w:spacing w:after="0" w:line="16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film exhibition markets in the United States, Australia, and New Zealand are to a certain extent dominated by a limited number of major exhibition companies. The principal exhibitors in the United States are AMC (with 10,945 screens in 1,000 cinemas, which includes the acquisition of Carmike), Regal (with 9,518 screens in 790 cinemas), recently acquired by Cineworld Group, the U.K.’s largest cinema operator, and Cinemark (with 4,630 screens in 344 cinemas). As of December 31, 2019, we were the 11th largest exhibitor with 1% of the box office in the United States with 238 screens in 24 cinemas under management.</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principal exhibitors in Australia are Greater Union, which does business under the Event Cinemas name (a subsidiary of Amalgamated Holdings Limited) (“Event”), Hoyts Cinemas (“Hoyts”), and Village Cinemas (“Village”). The major exhibitors control approximately 72% of the total cinema box office: Event 32%, Hoyts 25%, and Village 15%. Event has 565 screens nationally, Hoyts 366 screens, and Village 219 screens. By comparison, our 174 screens (excluding any partnership theaters) represent approximately 9% of the total box office making Reading the fourth largest exhibitor in Australia.</w:t>
      </w:r>
    </w:p>
    <w:p>
      <w:pPr>
        <w:spacing w:after="0" w:line="17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principal exhibitors in New Zealand are Event Cinemas with 122 screens and Hoyts with 72 screens, nationally. The major exhibitors in New Zealand control approximately 56% of the total box office: Event 35% and Hoyts 21%. Reading has 57 screens (excluding its interest in unconsolidated joint ventures). Reading has 12% of the market (Event and Reading market share figures exclude any partnership theaters) and we are the third largest exhibitor in New Zealand.</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Australia and New Zealand, the industry is somewhat vertically integrated in that Roadshow Film Distributors, a subsidiary of Village, serves as a distributor of film in Australia and New Zealand for Warner Bros.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Many of our competitors have substantial financial resources which could allow them to operate in a more competitive manner than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In-Home, Streaming and Mobile Device Competition</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in-home streaming and mobile device entertainment industry has experienced significant leaps in recent periods in both the quality and affordability of in-home and mobile device entertainment systems and in the accessibility to, and quality of, entertainment programming through cable, satellite, and internet distribution channels. The success of these alternative distribution channels and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 w:name="page12"/>
    <w:bookmarkEnd w:id="11"/>
    <w:p>
      <w:pPr>
        <w:ind w:right="40"/>
        <w:spacing w:after="0" w:line="259" w:lineRule="auto"/>
        <w:rPr>
          <w:sz w:val="20"/>
          <w:szCs w:val="20"/>
          <w:color w:val="auto"/>
        </w:rPr>
      </w:pPr>
      <w:r>
        <w:rPr>
          <w:rFonts w:ascii="Arial" w:cs="Arial" w:eastAsia="Arial" w:hAnsi="Arial"/>
          <w:sz w:val="18"/>
          <w:szCs w:val="18"/>
          <w:color w:val="auto"/>
        </w:rPr>
        <w:t>entrance of new sources of product (like Netflix, Hulu, and Amazon) who are producing product competitive with films produced for theatrical release puts additional pressure on film distributors to reduce and/or eliminate the time period between theatrical and secondary release dates. In November 2019, two new streaming services debuted, Apple TV+ and Disney+, and a few more are in the works with HBO Max and NBCUniversal’s Peacock set to launch in 2020.</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responding to these challenges generally by increasing the comfort and service levels available at our cinemas, by offering convenient online ticket reservation services with guaranteed seating, by investing in larger screens and enhanced audio, by offering more specialized and alternative product to our audiences and by providing value for the moviegoer’s dollar. We are focusing on the fact that going to the movies is a social experience, and we are working to make that experience the best that it can be. We must differentiate ourselves from other forms of video entertainment by emphasizing the special nature of seeing film and alternative content in a cinema environment and by developing ways to position ourselves to take advantage in the increased output of film and feature product. These are issues common to both our U.S. and international cinema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Competitive issues are discussed in detail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However, the deferral of releases is becoming increasingly less common, given the need to address internet and other channels of distribution that operate on a worldwide basis and are less tied to holiday schedules.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Overall</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engage in the real estate business through development and our ownership and rental or licensing to third parties of retail, commercial and live theatre assets. We own the fee interests in all of our live theatres, and in 12 of our cinemas (as presented in the preceding table within the “</w:t>
      </w:r>
      <w:r>
        <w:rPr>
          <w:rFonts w:ascii="Arial" w:cs="Arial" w:eastAsia="Arial" w:hAnsi="Arial"/>
          <w:sz w:val="17"/>
          <w:szCs w:val="17"/>
          <w:i w:val="1"/>
          <w:iCs w:val="1"/>
          <w:color w:val="auto"/>
        </w:rPr>
        <w:t>Cinema Exhibition</w:t>
      </w:r>
      <w:r>
        <w:rPr>
          <w:rFonts w:ascii="Arial" w:cs="Arial" w:eastAsia="Arial" w:hAnsi="Arial"/>
          <w:sz w:val="17"/>
          <w:szCs w:val="17"/>
          <w:color w:val="auto"/>
        </w:rPr>
        <w:t>” section). Our real estate business creates long-term value for our stockholders through the continuous improvement and development of our investment and operating properties, including our ETCs.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activities have historically consisted principally of:</w:t>
      </w:r>
    </w:p>
    <w:p>
      <w:pPr>
        <w:spacing w:after="0" w:line="104" w:lineRule="exact"/>
        <w:rPr>
          <w:sz w:val="20"/>
          <w:szCs w:val="20"/>
          <w:color w:val="auto"/>
        </w:rPr>
      </w:pPr>
    </w:p>
    <w:p>
      <w:pPr>
        <w:ind w:left="640" w:right="600" w:hanging="320"/>
        <w:spacing w:after="0" w:line="198"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ownership of fee or long-term leasehold interests in properties used in our cinema exhibition activities or which were acquired for the development of cinemas or cinema-based real estate development projects;</w:t>
      </w:r>
    </w:p>
    <w:p>
      <w:pPr>
        <w:ind w:left="640" w:hanging="320"/>
        <w:spacing w:after="0" w:line="223"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acquisition of fee interests in land for general real estate development;</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the licensing to production companies of our live theatres; and</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the redevelopment of our existing fee-owned cinema or live theatre sites to their highest and best use.</w:t>
      </w:r>
    </w:p>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light of the geographic reach of our business, and the highly localized nature of the real estate business, we have historically made use of third-party contractors to provide on-site management of our real estate development and management activities. We have begun, however, in recent periods to selectively build our internal resources in this regard, concentrating on Australia and New Zealand where we have increased our overall real estate team from 3 to 10 full time employees over the last 3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Real Estate Holdings and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At the end of 2019, we substantially completed the construction phase of our 44 Union Square redevelopment project, achieving approximately 73,113 square feet of net rentable area (calculated inclusive of anticipated BOMA adjustments) comprised of retail and office space. We have now entered the lease-up phase of that project. A short video on this project can be seen at </w:t>
      </w:r>
      <w:r>
        <w:rPr>
          <w:rFonts w:ascii="Arial" w:cs="Arial" w:eastAsia="Arial" w:hAnsi="Arial"/>
          <w:sz w:val="18"/>
          <w:szCs w:val="18"/>
          <w:u w:val="single" w:color="auto"/>
          <w:color w:val="auto"/>
        </w:rPr>
        <w:t>www.44unionsquare.com</w:t>
      </w:r>
      <w:r>
        <w:rPr>
          <w:rFonts w:ascii="Arial" w:cs="Arial" w:eastAsia="Arial" w:hAnsi="Arial"/>
          <w:sz w:val="18"/>
          <w:szCs w:val="18"/>
          <w:color w:val="auto"/>
        </w:rPr>
        <w:t>.</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Regarding our Cinemas 1,2,3 property in Manhattan, we have received the consent of the 25% minority member of the ownership entity for the redevelopment of the property. We continue to evaluate the potential to redevelop the property as a mixed-use property. As our negotiations with our neighbor for a joint development did not bear fruit, we have shifted our strategic plan with respect to that property viewing it now as a go-it-alone development. The Cinemas 1,2,3, is currently a cash flowing contributor to our domestic cinema operations. We are in the process of filing for the rezoning of that property, to protect our ability to include a cinema use in any future redevelopment. It is our current plan not to spend material financial resources on this project, until lease-up of our 44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12" w:name="page13"/>
    <w:bookmarkEnd w:id="12"/>
    <w:p>
      <w:pPr>
        <w:ind w:right="200"/>
        <w:spacing w:after="0" w:line="263" w:lineRule="auto"/>
        <w:rPr>
          <w:sz w:val="20"/>
          <w:szCs w:val="20"/>
          <w:color w:val="auto"/>
        </w:rPr>
      </w:pPr>
      <w:r>
        <w:rPr>
          <w:rFonts w:ascii="Arial" w:cs="Arial" w:eastAsia="Arial" w:hAnsi="Arial"/>
          <w:sz w:val="18"/>
          <w:szCs w:val="18"/>
          <w:color w:val="auto"/>
        </w:rPr>
        <w:t>Union Square property. On August 31, 2016, we secured a three-year, $20.0 million mortgage loan with Valley National Bank. On March 13, 2020, we refinanced the loan to $25.0 million which matures on April 1, 2022 with two six-month options to extend through April 1, 2023.</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April 11, 2016, we purchased for $11.2 million an approximately 24,000 square foot office building with 72 parking spaces located at 5995 Sepulveda Boulevard in Culver City, California. We currently use approximately 50% of the leasable area for our headquarters’ offices and endeavor to lease the remainder to unaffiliated third parties. Culver City has in recent years developed as a center of entertainment and high-tech activity in Los Angeles County. We moved into the building in February 2017, and have obtained</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$8.4 million in financing on the property pursuant to a 10-year, fixed rate mortgage loan at an interest rate of 4.64% per annum and in June 2017 we obtained an additional $1.5 million in financing due to a reappraisal of the property, at an interest rate of 4.44%. Currently, we occupy the third floor from which we conduct our executive and administrative operations.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of our leasehold interests are cinema operating properties, excluding our temporary administrative offices in Wellington, New Zealand.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continue to work on the expansion and upgrading of our Auburn Redyard ETC in Sydney and Newmarket Village ETC in Brisbane through the expansion or improvement of our Reading Cinemas at each of these centers and enhancing food and beverage focused space.</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At Auburn Redyard, since the beginning of 2016, we have constructed and entered into leases representing approximately 15,000 square feet of additional retail space, which increased the square footage of that center from approximately 117,000 to approximately 132,000 square feet. In 2018, we acquired a 20,882 square foot in-fill property, currently improved with a 16,830 square foot office building, leased to Telstra through July 2022. This increased our frontage on Parramatta Road to 1,641 uninterrupted square feet. The center is now comprised of 519,358 square feet of land, 91,580 square feet of net rentable area, surface parking for 361 vehicles and subterranean parking for 360 vehicles and is 86% leased. The center also has approximately 10,586 square feet of additional land available for development. This expansion was funded with a mixture of cash flow and our current debt facility.</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Newmarket Village in December of 2017, we added a state-of-the art eight-screen Reading Cinemas, 10,064 square feet of additional retail space and 124 additional parking spaces. On November 30, 2015, we acquired an approximately 23,000 square foot parcel adjacent to our tenant Coles supermarket. This property is currently improved with an office building, which is now fully leased. The office building leases have early development provisions allowing us to terminate these arrangements in connection with a redevelopment of the property. We intend to ultimately demolish this office building and to integrate this parcel into Newmarket Village. This will increase our Newmarket Village footprint from approximately 204,000 square feet to approximately 227,000 square feet. Our Newmarket Village project was funded with a mixture of cash flow and our current debt facility and is currently approximately 98% leased.</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23, 2015, we acquired two adjoining properties in Townsville, Queensland, Australia for a total of $24.1 million (AU$33.4 million) comprised of approximately 9.4-acres. The total gross leasable area of the two properties, the Cannon Park City Centre and the Cannon Park Discount Centre, is 104,528 square feet. Our multiplex cinema at the Cannon Park City Centre is the anchor tenant of that center. This acquisition is consistent with our business plan to own, where practical, the land underlying our entertainment assets. We operate these two properties as a single ETC. This acquisition was funded with a mixture of cash flow and our current debt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Located in the heart of Wellington – New Zealand’s capital city – Courtenay Central is comprised of 161,071 square feet of land situated proximate to the Te Papa Tongarewa Museum (attracting over 1.5 million visitors annually), across the street from the site of Wellington’s newly announced convention center (estimated to open its doors in 2022) and at a major public transit hub. Damage from the 2016 earthquake necessitated demolition of our nine-story parking garage at the site, and unrelated seismic issues have caused us to close major portions of the existing cinema and retail structure while we reevaluate the center for redevelopment as an entertainment themed urban center with a major food and grocery component. Wellington continues to be rated as one of the top cities in the world in which to live, and we continue to believe that the Courtenay Central site is located in one of the most vibrant and growing commercial and entertainment precincts of Wellington. In 2019, UNESCO named Wellington as a UNESCO Creative City of Film. We are currently working on a comprehensive plan for the redevelopment of this property featuring a variety of uses to compliment and build upon the “destination quality” of this location.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Landholdings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addition to certain historic railroad properties (such as our 8.2-acre North Viaduct and adjacent commercial properties in Philadelphia) and certain expansion spaces associated with our existing ETCs, we have two unimproved properties: (i) our 50%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interest in a 202-acre parcel in Coachella, California (near the grounds where the Coachella Music Festival is held), currently zoned for residential and mixed-use purposes, and (ii) our 70.4-acre parcel in Manukau/Wiri, a suburb of Auckland, New Zealand (located adjacent to the Auckland International Airport) currently zoned for a mixture of light and heavy industrial uses and a limited amount of supporting mixed-use, such as restaurants and convenience stores.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Coachella property was acquired as a long-term land hold in a foreclosure auction by the Resolution Trust Corporation as the liquidator of the lender with the first mortgage on the property. The zoning has been established and the property freed of a burdensome development agreement. We are monitoring developments in the area and believe that this property is likely a candidate for sale. Development activity in the vicinity appears to be strengthening.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property in Manukau/Wiri (approximately 64.0-acres) is primarily zoned for light industrial uses. The remaining 6.4-acres of this property were already zoned for heavy industrial use. Light industrial uses include certain manufacturing, production, logistic, transportation, warehouse and wholesale distribution activities and, on an ancillary basis, certain office, retail and educational uses. The light industrial also has limited rights for the development of ancillary mixed-use.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rezoning scheme, utilization of the new zoning requires the completion of certain infrastructure works. During 2019, we worked with adjoining landowners to develop a plan to address these infrastructure requirements and applied for an obtained the planning approvals required for the portion of such works to be located upon our land and the consents required from various easement</w:t>
      </w:r>
    </w:p>
    <w:p>
      <w:pPr>
        <w:spacing w:after="0" w:line="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holders. We are currently negotiating an agreement with these adjoining landowners to provide for the construction of the infrastructure components to be located upon their properties and for the equitable allocation of the costs of such infrastructure work.</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While we report our real estate as a separate segment, it has historically operated as an integral portion of our overall business and has principally been in support of that business. We have, however, acquired or developed certain properties that do not currently have any cinema or other entertainment component. In recent periods, we have built an asset management function in Melbourne and Wellington, in order to reduce the needs for (and costs of) outside property managers for our Australia and New Zealand properties.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real estate activities, holdings and developments are described in greater detail in Item 2 – </w:t>
      </w:r>
      <w:r>
        <w:rPr>
          <w:rFonts w:ascii="Arial" w:cs="Arial" w:eastAsia="Arial" w:hAnsi="Arial"/>
          <w:sz w:val="18"/>
          <w:szCs w:val="18"/>
          <w:i w:val="1"/>
          <w:iCs w:val="1"/>
          <w:color w:val="auto"/>
        </w:rPr>
        <w:t>Properties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December 31, 2019, we had 93 full-time executive and administrative employees, 130 live theatre employees, 10 real estate employees and 2,755 cinema employees. A small number of our cinema employees in New Zealand are union members, as are our projectionists in Hawaii. None of our Australian-based employees or other employees are subject to union contracts. Overall, we are of the view that the existence of these collective-bargaining agreements does not materially increase our costs of labor or our ability to compete.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Our statements in this annual report, including the documents incorporated herein by reference,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“may,” “will,” “expect,” “believe,” and “anticipate” or other similar terminology.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 w:name="page15"/>
    <w:bookmarkEnd w:id="14"/>
    <w:p>
      <w:pPr>
        <w:jc w:val="both"/>
        <w:ind w:right="80"/>
        <w:spacing w:after="0" w:line="301" w:lineRule="auto"/>
        <w:rPr>
          <w:sz w:val="20"/>
          <w:szCs w:val="20"/>
          <w:color w:val="auto"/>
        </w:rPr>
      </w:pPr>
      <w:r>
        <w:rPr>
          <w:rFonts w:ascii="Arial" w:cs="Arial" w:eastAsia="Arial" w:hAnsi="Arial"/>
          <w:sz w:val="16"/>
          <w:szCs w:val="16"/>
          <w:color w:val="auto"/>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views as to the risks and uncertainties involved and may have different views as to future events or our operating performance.</w:t>
      </w:r>
    </w:p>
    <w:p>
      <w:pPr>
        <w:spacing w:after="0" w:line="1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Among the factors that could cause actual results to differ materially from those expressed in or underlying our forward-looking statements are the following:</w:t>
      </w:r>
    </w:p>
    <w:p>
      <w:pPr>
        <w:ind w:left="640" w:hanging="320"/>
        <w:spacing w:after="0" w:line="200"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with respect to our cinema operations:</w:t>
      </w:r>
    </w:p>
    <w:p>
      <w:pPr>
        <w:spacing w:after="0" w:line="2" w:lineRule="exact"/>
        <w:rPr>
          <w:rFonts w:ascii="Arial" w:cs="Arial" w:eastAsia="Arial" w:hAnsi="Arial"/>
          <w:sz w:val="29"/>
          <w:szCs w:val="29"/>
          <w:color w:val="auto"/>
          <w:vertAlign w:val="superscript"/>
        </w:rPr>
      </w:pPr>
    </w:p>
    <w:p>
      <w:pPr>
        <w:ind w:left="960" w:right="36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impact of the currently expanding outbreak of the COVID-19, or coronavirus. For example, New York has ordered theaters closed indefinitely starting March 17, 2020;</w:t>
      </w:r>
    </w:p>
    <w:p>
      <w:pPr>
        <w:jc w:val="both"/>
        <w:ind w:left="960" w:right="180" w:hanging="316"/>
        <w:spacing w:after="0" w:line="214" w:lineRule="auto"/>
        <w:tabs>
          <w:tab w:leader="none" w:pos="960" w:val="left"/>
        </w:tabs>
        <w:numPr>
          <w:ilvl w:val="1"/>
          <w:numId w:val="8"/>
        </w:numPr>
        <w:rPr>
          <w:rFonts w:ascii="Arial" w:cs="Arial" w:eastAsia="Arial" w:hAnsi="Arial"/>
          <w:sz w:val="26"/>
          <w:szCs w:val="26"/>
          <w:color w:val="auto"/>
          <w:vertAlign w:val="superscript"/>
        </w:rPr>
      </w:pPr>
      <w:r>
        <w:rPr>
          <w:rFonts w:ascii="Arial" w:cs="Arial" w:eastAsia="Arial" w:hAnsi="Arial"/>
          <w:sz w:val="16"/>
          <w:szCs w:val="16"/>
          <w:color w:val="auto"/>
        </w:rPr>
        <w:t>the disruptions or reductions in the utilization of entertainment, hospitality and travel venues, as well as in our operations, due to pandemics, epidemics, widespread health emergencies, or outbreaks of infectious diseases such as the coronavirus;</w:t>
      </w:r>
    </w:p>
    <w:p>
      <w:pPr>
        <w:spacing w:after="0" w:line="1" w:lineRule="exact"/>
        <w:rPr>
          <w:rFonts w:ascii="Arial" w:cs="Arial" w:eastAsia="Arial" w:hAnsi="Arial"/>
          <w:sz w:val="26"/>
          <w:szCs w:val="26"/>
          <w:color w:val="auto"/>
          <w:vertAlign w:val="superscript"/>
        </w:rPr>
      </w:pPr>
    </w:p>
    <w:p>
      <w:pPr>
        <w:ind w:left="960" w:right="18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number and attractiveness to moviegoers of the films released in future periods, and potential changes in release dates for motion pictures;</w:t>
      </w:r>
    </w:p>
    <w:p>
      <w:pPr>
        <w:spacing w:after="0" w:line="1" w:lineRule="exact"/>
        <w:rPr>
          <w:rFonts w:ascii="Arial" w:cs="Arial" w:eastAsia="Arial" w:hAnsi="Arial"/>
          <w:sz w:val="29"/>
          <w:szCs w:val="29"/>
          <w:color w:val="auto"/>
          <w:vertAlign w:val="superscript"/>
        </w:rPr>
      </w:pPr>
    </w:p>
    <w:p>
      <w:pPr>
        <w:ind w:left="960" w:hanging="316"/>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the amount of money spent by film distributors to promote their motion pictures;</w:t>
      </w:r>
    </w:p>
    <w:p>
      <w:pPr>
        <w:spacing w:after="0" w:line="2" w:lineRule="exact"/>
        <w:rPr>
          <w:rFonts w:ascii="Arial" w:cs="Arial" w:eastAsia="Arial" w:hAnsi="Arial"/>
          <w:sz w:val="25"/>
          <w:szCs w:val="25"/>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licensing fees and terms required by film distributors from motion picture exhibitors in order to exhibit their films;</w:t>
      </w:r>
    </w:p>
    <w:p>
      <w:pPr>
        <w:spacing w:after="0" w:line="2"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comparative attractiveness of motion pictures as a source of entertainment and willingness and/or ability of consumers</w:t>
      </w:r>
    </w:p>
    <w:p>
      <w:pPr>
        <w:spacing w:after="0" w:line="2" w:lineRule="exact"/>
        <w:rPr>
          <w:rFonts w:ascii="Arial" w:cs="Arial" w:eastAsia="Arial" w:hAnsi="Arial"/>
          <w:sz w:val="24"/>
          <w:szCs w:val="24"/>
          <w:color w:val="auto"/>
          <w:vertAlign w:val="superscript"/>
        </w:rPr>
      </w:pPr>
    </w:p>
    <w:p>
      <w:pPr>
        <w:ind w:left="960" w:right="280" w:firstLine="8"/>
        <w:spacing w:after="0" w:line="249" w:lineRule="auto"/>
        <w:tabs>
          <w:tab w:leader="none" w:pos="1175"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spend their dollars on entertainment and (ii) to spend their entertainment dollars on movies in an outside-the-home environment;</w:t>
      </w:r>
    </w:p>
    <w:p>
      <w:pPr>
        <w:ind w:left="960" w:right="340" w:hanging="316"/>
        <w:spacing w:after="0" w:line="217"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encounter competition from other cinema exhibitors, from other sources of outside-the-home entertainment, and from inside-the-home entertainment options, such as “home theaters” and competitive film product distribution technology, such as, cable, satellite broadcast and Blu-ray/DVD rentals and sales, and so called “movies on demand”;</w:t>
      </w:r>
    </w:p>
    <w:p>
      <w:pPr>
        <w:spacing w:after="0" w:line="1" w:lineRule="exact"/>
        <w:rPr>
          <w:rFonts w:ascii="Arial" w:cs="Arial" w:eastAsia="Arial" w:hAnsi="Arial"/>
          <w:sz w:val="29"/>
          <w:szCs w:val="29"/>
          <w:color w:val="auto"/>
          <w:vertAlign w:val="superscript"/>
        </w:rPr>
      </w:pPr>
    </w:p>
    <w:p>
      <w:pPr>
        <w:ind w:left="960" w:hanging="316"/>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the impact of certain competitors’ subscription or advance pay programs;</w:t>
      </w:r>
    </w:p>
    <w:p>
      <w:pPr>
        <w:spacing w:after="0" w:line="2" w:lineRule="exact"/>
        <w:rPr>
          <w:rFonts w:ascii="Arial" w:cs="Arial" w:eastAsia="Arial" w:hAnsi="Arial"/>
          <w:sz w:val="25"/>
          <w:szCs w:val="25"/>
          <w:color w:val="auto"/>
          <w:vertAlign w:val="superscript"/>
        </w:rPr>
      </w:pPr>
    </w:p>
    <w:p>
      <w:pPr>
        <w:ind w:left="960" w:right="12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cost and impact of improvements to our cinemas, such as improved seating, enhanced food and beverage offerings and other improvements;</w:t>
      </w:r>
    </w:p>
    <w:p>
      <w:pPr>
        <w:ind w:left="960" w:hanging="316"/>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disruptions during theater improvements;</w:t>
      </w:r>
    </w:p>
    <w:p>
      <w:pPr>
        <w:spacing w:after="0" w:line="2" w:lineRule="exact"/>
        <w:rPr>
          <w:rFonts w:ascii="Arial" w:cs="Arial" w:eastAsia="Arial" w:hAnsi="Arial"/>
          <w:sz w:val="25"/>
          <w:szCs w:val="25"/>
          <w:color w:val="auto"/>
          <w:vertAlign w:val="superscript"/>
        </w:rPr>
      </w:pPr>
    </w:p>
    <w:p>
      <w:pPr>
        <w:ind w:left="960" w:right="54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extent to, and the efficiency with, which we are able to integrate acquisitions of cinema circuits with our existing operations;</w:t>
      </w:r>
    </w:p>
    <w:p>
      <w:pPr>
        <w:ind w:left="960" w:hanging="316"/>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in the U.S., the impact of any termination of the so called “Paramount Decree;” and</w:t>
      </w:r>
    </w:p>
    <w:p>
      <w:pPr>
        <w:spacing w:after="0" w:line="2" w:lineRule="exact"/>
        <w:rPr>
          <w:rFonts w:ascii="Arial" w:cs="Arial" w:eastAsia="Arial" w:hAnsi="Arial"/>
          <w:sz w:val="25"/>
          <w:szCs w:val="25"/>
          <w:color w:val="auto"/>
          <w:vertAlign w:val="superscript"/>
        </w:rPr>
      </w:pPr>
    </w:p>
    <w:p>
      <w:pPr>
        <w:ind w:left="960" w:right="6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risk of damage and/or disruption of cinema businesses from earthquakes as certain of our operations are in geologically active areas.</w:t>
      </w:r>
    </w:p>
    <w:p>
      <w:pPr>
        <w:ind w:left="640" w:hanging="320"/>
        <w:spacing w:after="0" w:line="223"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with respect to our real estate development and operation activities:</w:t>
      </w:r>
    </w:p>
    <w:p>
      <w:pPr>
        <w:spacing w:after="0" w:line="2" w:lineRule="exact"/>
        <w:rPr>
          <w:rFonts w:ascii="Arial" w:cs="Arial" w:eastAsia="Arial" w:hAnsi="Arial"/>
          <w:sz w:val="29"/>
          <w:szCs w:val="29"/>
          <w:color w:val="auto"/>
          <w:vertAlign w:val="superscript"/>
        </w:rPr>
      </w:pPr>
    </w:p>
    <w:p>
      <w:pPr>
        <w:ind w:left="960" w:right="18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rental rates and capitalization rates applicable to the markets in which we operate and the quality of properties that we own;</w:t>
      </w:r>
    </w:p>
    <w:p>
      <w:pPr>
        <w:ind w:left="960" w:hanging="316"/>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the ability to negotiate and execute lease agreements with material tenants;</w:t>
      </w:r>
    </w:p>
    <w:p>
      <w:pPr>
        <w:spacing w:after="0" w:line="2" w:lineRule="exact"/>
        <w:rPr>
          <w:rFonts w:ascii="Arial" w:cs="Arial" w:eastAsia="Arial" w:hAnsi="Arial"/>
          <w:sz w:val="25"/>
          <w:szCs w:val="25"/>
          <w:color w:val="auto"/>
          <w:vertAlign w:val="superscript"/>
        </w:rPr>
      </w:pPr>
    </w:p>
    <w:p>
      <w:pPr>
        <w:ind w:left="960" w:right="16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can obtain on a timely basis the various land use approvals and entitlements needed to develop our properties;</w:t>
      </w:r>
    </w:p>
    <w:p>
      <w:pPr>
        <w:ind w:left="960" w:hanging="316"/>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the risks and uncertainties associated with real estate development;</w:t>
      </w:r>
    </w:p>
    <w:p>
      <w:pPr>
        <w:spacing w:after="0" w:line="2" w:lineRule="exact"/>
        <w:rPr>
          <w:rFonts w:ascii="Arial" w:cs="Arial" w:eastAsia="Arial" w:hAnsi="Arial"/>
          <w:sz w:val="25"/>
          <w:szCs w:val="25"/>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availability and cost of labor and materials;</w:t>
      </w:r>
    </w:p>
    <w:p>
      <w:pPr>
        <w:spacing w:after="0" w:line="2"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ability to obtain all permits to construct improvements;</w:t>
      </w:r>
    </w:p>
    <w:p>
      <w:pPr>
        <w:spacing w:after="0" w:line="2"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ability to finance improvements;</w:t>
      </w:r>
    </w:p>
    <w:p>
      <w:pPr>
        <w:spacing w:after="0" w:line="2"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disruptions from construction;</w:t>
      </w:r>
    </w:p>
    <w:p>
      <w:pPr>
        <w:spacing w:after="0" w:line="2"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possibility of construction delays, work stoppage and material shortage;</w:t>
      </w:r>
    </w:p>
    <w:p>
      <w:pPr>
        <w:spacing w:after="0" w:line="2"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competition for development sites and tenants;</w:t>
      </w:r>
    </w:p>
    <w:p>
      <w:pPr>
        <w:spacing w:after="0" w:line="2"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environmental remediation issues;</w:t>
      </w:r>
    </w:p>
    <w:p>
      <w:pPr>
        <w:spacing w:after="0" w:line="2" w:lineRule="exact"/>
        <w:rPr>
          <w:rFonts w:ascii="Arial" w:cs="Arial" w:eastAsia="Arial" w:hAnsi="Arial"/>
          <w:sz w:val="24"/>
          <w:szCs w:val="24"/>
          <w:color w:val="auto"/>
          <w:vertAlign w:val="superscript"/>
        </w:rPr>
      </w:pPr>
    </w:p>
    <w:p>
      <w:pPr>
        <w:ind w:left="960" w:right="46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extent to which our cinemas can continue to serve as an anchor tenant that will, in turn, be influenced by the same factors as will influence generally the results of our cinema operations;</w:t>
      </w:r>
    </w:p>
    <w:p>
      <w:pPr>
        <w:ind w:left="960" w:hanging="316"/>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the increased depreciation and amortization expense as construction projects transition to leased real property;</w:t>
      </w:r>
    </w:p>
    <w:p>
      <w:pPr>
        <w:spacing w:after="0" w:line="2" w:lineRule="exact"/>
        <w:rPr>
          <w:rFonts w:ascii="Arial" w:cs="Arial" w:eastAsia="Arial" w:hAnsi="Arial"/>
          <w:sz w:val="25"/>
          <w:szCs w:val="25"/>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the ability to negotiate and execute joint venture opportunities and relationships; and</w:t>
      </w:r>
    </w:p>
    <w:p>
      <w:pPr>
        <w:spacing w:after="0" w:line="2" w:lineRule="exact"/>
        <w:rPr>
          <w:rFonts w:ascii="Arial" w:cs="Arial" w:eastAsia="Arial" w:hAnsi="Arial"/>
          <w:sz w:val="24"/>
          <w:szCs w:val="24"/>
          <w:color w:val="auto"/>
          <w:vertAlign w:val="superscript"/>
        </w:rPr>
      </w:pPr>
    </w:p>
    <w:p>
      <w:pPr>
        <w:ind w:left="960" w:right="80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the risk of damage and/or disruption of real estate businesses from earthquakes as certain of our operations are in geologically active areas.</w:t>
      </w:r>
    </w:p>
    <w:p>
      <w:pPr>
        <w:spacing w:after="0" w:line="80" w:lineRule="exact"/>
        <w:rPr>
          <w:rFonts w:ascii="Arial" w:cs="Arial" w:eastAsia="Arial" w:hAnsi="Arial"/>
          <w:sz w:val="29"/>
          <w:szCs w:val="29"/>
          <w:color w:val="auto"/>
          <w:vertAlign w:val="superscript"/>
        </w:rPr>
      </w:pPr>
    </w:p>
    <w:p>
      <w:pPr>
        <w:ind w:left="640" w:right="20" w:hanging="320"/>
        <w:spacing w:after="0" w:line="212"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2" w:lineRule="exact"/>
        <w:rPr>
          <w:rFonts w:ascii="Arial" w:cs="Arial" w:eastAsia="Arial" w:hAnsi="Arial"/>
          <w:sz w:val="29"/>
          <w:szCs w:val="29"/>
          <w:color w:val="auto"/>
          <w:vertAlign w:val="superscript"/>
        </w:rPr>
      </w:pPr>
    </w:p>
    <w:p>
      <w:pPr>
        <w:ind w:left="960" w:hanging="316"/>
        <w:spacing w:after="0" w:line="180" w:lineRule="auto"/>
        <w:tabs>
          <w:tab w:leader="none" w:pos="960" w:val="left"/>
        </w:tabs>
        <w:numPr>
          <w:ilvl w:val="1"/>
          <w:numId w:val="8"/>
        </w:numPr>
        <w:rPr>
          <w:rFonts w:ascii="Arial" w:cs="Arial" w:eastAsia="Arial" w:hAnsi="Arial"/>
          <w:sz w:val="25"/>
          <w:szCs w:val="25"/>
          <w:color w:val="auto"/>
          <w:vertAlign w:val="superscript"/>
        </w:rPr>
      </w:pPr>
      <w:r>
        <w:rPr>
          <w:rFonts w:ascii="Arial" w:cs="Arial" w:eastAsia="Arial" w:hAnsi="Arial"/>
          <w:sz w:val="16"/>
          <w:szCs w:val="16"/>
          <w:color w:val="auto"/>
        </w:rPr>
        <w:t>our ability to renew, extend or renegotiate our loans that mature in 2020;</w:t>
      </w:r>
    </w:p>
    <w:p>
      <w:pPr>
        <w:spacing w:after="0" w:line="2" w:lineRule="exact"/>
        <w:rPr>
          <w:rFonts w:ascii="Arial" w:cs="Arial" w:eastAsia="Arial" w:hAnsi="Arial"/>
          <w:sz w:val="25"/>
          <w:szCs w:val="25"/>
          <w:color w:val="auto"/>
          <w:vertAlign w:val="superscript"/>
        </w:rPr>
      </w:pPr>
    </w:p>
    <w:p>
      <w:pPr>
        <w:ind w:left="960" w:hanging="316"/>
        <w:spacing w:after="0" w:line="186" w:lineRule="auto"/>
        <w:tabs>
          <w:tab w:leader="none" w:pos="960" w:val="left"/>
        </w:tabs>
        <w:numPr>
          <w:ilvl w:val="1"/>
          <w:numId w:val="8"/>
        </w:numPr>
        <w:rPr>
          <w:rFonts w:ascii="Arial" w:cs="Arial" w:eastAsia="Arial" w:hAnsi="Arial"/>
          <w:sz w:val="24"/>
          <w:szCs w:val="24"/>
          <w:color w:val="auto"/>
          <w:vertAlign w:val="superscript"/>
        </w:rPr>
      </w:pPr>
      <w:r>
        <w:rPr>
          <w:rFonts w:ascii="Arial" w:cs="Arial" w:eastAsia="Arial" w:hAnsi="Arial"/>
          <w:sz w:val="15"/>
          <w:szCs w:val="15"/>
          <w:color w:val="auto"/>
        </w:rPr>
        <w:t>our ability to grow our Company and provide value to our stockholders;</w:t>
      </w:r>
    </w:p>
    <w:p>
      <w:pPr>
        <w:spacing w:after="0" w:line="2" w:lineRule="exact"/>
        <w:rPr>
          <w:rFonts w:ascii="Arial" w:cs="Arial" w:eastAsia="Arial" w:hAnsi="Arial"/>
          <w:sz w:val="24"/>
          <w:szCs w:val="24"/>
          <w:color w:val="auto"/>
          <w:vertAlign w:val="superscript"/>
        </w:rPr>
      </w:pPr>
    </w:p>
    <w:p>
      <w:pPr>
        <w:ind w:left="960" w:hanging="316"/>
        <w:spacing w:after="0" w:line="191" w:lineRule="auto"/>
        <w:tabs>
          <w:tab w:leader="none" w:pos="960" w:val="left"/>
        </w:tabs>
        <w:numPr>
          <w:ilvl w:val="1"/>
          <w:numId w:val="8"/>
        </w:numPr>
        <w:rPr>
          <w:rFonts w:ascii="Arial" w:cs="Arial" w:eastAsia="Arial" w:hAnsi="Arial"/>
          <w:sz w:val="29"/>
          <w:szCs w:val="29"/>
          <w:color w:val="auto"/>
          <w:vertAlign w:val="superscript"/>
        </w:rPr>
      </w:pPr>
      <w:r>
        <w:rPr>
          <w:rFonts w:ascii="Arial" w:cs="Arial" w:eastAsia="Arial" w:hAnsi="Arial"/>
          <w:sz w:val="18"/>
          <w:szCs w:val="18"/>
          <w:color w:val="auto"/>
        </w:rPr>
        <w:t>our ongoing access to borrowed funds and capital and the interest that must be paid on that debt and the returns that must be paid on such capital;</w:t>
      </w:r>
    </w:p>
    <w:p>
      <w:pPr>
        <w:spacing w:after="0" w:line="201" w:lineRule="exact"/>
        <w:rPr>
          <w:rFonts w:ascii="Arial" w:cs="Arial" w:eastAsia="Arial" w:hAnsi="Arial"/>
          <w:sz w:val="29"/>
          <w:szCs w:val="29"/>
          <w:color w:val="auto"/>
          <w:vertAlign w:val="superscript"/>
        </w:rPr>
      </w:pPr>
    </w:p>
    <w:p>
      <w:pPr>
        <w:ind w:left="4880" w:hanging="156"/>
        <w:spacing w:after="0"/>
        <w:tabs>
          <w:tab w:leader="none" w:pos="4880" w:val="left"/>
        </w:tabs>
        <w:numPr>
          <w:ilvl w:val="3"/>
          <w:numId w:val="8"/>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 w:name="page16"/>
    <w:bookmarkEnd w:id="15"/>
    <w:p>
      <w:pPr>
        <w:ind w:left="960" w:right="100" w:hanging="316"/>
        <w:spacing w:after="0" w:line="198" w:lineRule="auto"/>
        <w:tabs>
          <w:tab w:leader="none" w:pos="9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expenses, management and Board distraction and other effects of the litigation efforts mounted by James Cotter, Jr. against the Company, including his efforts to cause a sale of voting control of the Company;</w:t>
      </w:r>
    </w:p>
    <w:p>
      <w:pPr>
        <w:ind w:left="960" w:hanging="316"/>
        <w:spacing w:after="0" w:line="180" w:lineRule="auto"/>
        <w:tabs>
          <w:tab w:leader="none" w:pos="9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the relative values of the currency used in the countries in which we operate;</w:t>
      </w:r>
    </w:p>
    <w:p>
      <w:pPr>
        <w:spacing w:after="0" w:line="2" w:lineRule="exact"/>
        <w:rPr>
          <w:rFonts w:ascii="Arial" w:cs="Arial" w:eastAsia="Arial" w:hAnsi="Arial"/>
          <w:sz w:val="25"/>
          <w:szCs w:val="25"/>
          <w:color w:val="auto"/>
          <w:vertAlign w:val="superscript"/>
        </w:rPr>
      </w:pPr>
    </w:p>
    <w:p>
      <w:pPr>
        <w:ind w:left="960" w:right="480" w:hanging="316"/>
        <w:spacing w:after="0" w:line="199" w:lineRule="auto"/>
        <w:tabs>
          <w:tab w:leader="none" w:pos="96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the impact that any discontinuance, modification or other reform of London Inter-Bank Offered Rate (LIBOR), or the establishment of alternative reference rates, may have on our LIBOR-based debt instruments;</w:t>
      </w:r>
    </w:p>
    <w:p>
      <w:pPr>
        <w:spacing w:after="0" w:line="1" w:lineRule="exact"/>
        <w:rPr>
          <w:rFonts w:ascii="Arial" w:cs="Arial" w:eastAsia="Arial" w:hAnsi="Arial"/>
          <w:sz w:val="28"/>
          <w:szCs w:val="28"/>
          <w:color w:val="auto"/>
          <w:vertAlign w:val="superscript"/>
        </w:rPr>
      </w:pPr>
    </w:p>
    <w:p>
      <w:pPr>
        <w:ind w:left="960" w:right="620" w:hanging="316"/>
        <w:spacing w:after="0" w:line="191" w:lineRule="auto"/>
        <w:tabs>
          <w:tab w:leader="none" w:pos="9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changes in government regulation, including by way of example, the costs resulting from the implementation of the requirements of Sarbanes-Oxley;</w:t>
      </w:r>
    </w:p>
    <w:p>
      <w:pPr>
        <w:spacing w:after="0" w:line="1" w:lineRule="exact"/>
        <w:rPr>
          <w:rFonts w:ascii="Arial" w:cs="Arial" w:eastAsia="Arial" w:hAnsi="Arial"/>
          <w:sz w:val="29"/>
          <w:szCs w:val="29"/>
          <w:color w:val="auto"/>
          <w:vertAlign w:val="superscript"/>
        </w:rPr>
      </w:pPr>
    </w:p>
    <w:p>
      <w:pPr>
        <w:ind w:left="960" w:right="260" w:hanging="316"/>
        <w:spacing w:after="0" w:line="214" w:lineRule="auto"/>
        <w:tabs>
          <w:tab w:leader="none" w:pos="96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our labor relations and costs of labor (including future government requirements with respect to minimum wages, shift scheduling, the use of consultants, pension liabilities, disability insurance and health coverage, and vacations and leave);</w:t>
      </w:r>
    </w:p>
    <w:p>
      <w:pPr>
        <w:spacing w:after="0" w:line="1" w:lineRule="exact"/>
        <w:rPr>
          <w:rFonts w:ascii="Arial" w:cs="Arial" w:eastAsia="Arial" w:hAnsi="Arial"/>
          <w:sz w:val="26"/>
          <w:szCs w:val="26"/>
          <w:color w:val="auto"/>
          <w:vertAlign w:val="superscript"/>
        </w:rPr>
      </w:pPr>
    </w:p>
    <w:p>
      <w:pPr>
        <w:ind w:left="960" w:right="220" w:hanging="316"/>
        <w:spacing w:after="0" w:line="217" w:lineRule="auto"/>
        <w:tabs>
          <w:tab w:leader="none" w:pos="9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based claims;</w:t>
      </w:r>
    </w:p>
    <w:p>
      <w:pPr>
        <w:spacing w:after="0" w:line="1" w:lineRule="exact"/>
        <w:rPr>
          <w:rFonts w:ascii="Arial" w:cs="Arial" w:eastAsia="Arial" w:hAnsi="Arial"/>
          <w:sz w:val="29"/>
          <w:szCs w:val="29"/>
          <w:color w:val="auto"/>
          <w:vertAlign w:val="superscript"/>
        </w:rPr>
      </w:pPr>
    </w:p>
    <w:p>
      <w:pPr>
        <w:ind w:left="960" w:right="200" w:hanging="316"/>
        <w:spacing w:after="0" w:line="191" w:lineRule="auto"/>
        <w:tabs>
          <w:tab w:leader="none" w:pos="9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our exposure to cybersecurity risks, including misappropriation of customer information or other breaches of information security;</w:t>
      </w:r>
    </w:p>
    <w:p>
      <w:pPr>
        <w:spacing w:after="0" w:line="1" w:lineRule="exact"/>
        <w:rPr>
          <w:rFonts w:ascii="Arial" w:cs="Arial" w:eastAsia="Arial" w:hAnsi="Arial"/>
          <w:sz w:val="29"/>
          <w:szCs w:val="29"/>
          <w:color w:val="auto"/>
          <w:vertAlign w:val="superscript"/>
        </w:rPr>
      </w:pPr>
    </w:p>
    <w:p>
      <w:pPr>
        <w:ind w:left="960" w:hanging="316"/>
        <w:spacing w:after="0" w:line="180" w:lineRule="auto"/>
        <w:tabs>
          <w:tab w:leader="none" w:pos="9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the impact of major outbreaks of contagious diseases;</w:t>
      </w:r>
    </w:p>
    <w:p>
      <w:pPr>
        <w:spacing w:after="0" w:line="2" w:lineRule="exact"/>
        <w:rPr>
          <w:rFonts w:ascii="Arial" w:cs="Arial" w:eastAsia="Arial" w:hAnsi="Arial"/>
          <w:sz w:val="25"/>
          <w:szCs w:val="25"/>
          <w:color w:val="auto"/>
          <w:vertAlign w:val="superscript"/>
        </w:rPr>
      </w:pPr>
    </w:p>
    <w:p>
      <w:pPr>
        <w:ind w:left="960" w:right="320" w:hanging="316"/>
        <w:spacing w:after="0" w:line="191" w:lineRule="auto"/>
        <w:tabs>
          <w:tab w:leader="none" w:pos="9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changes in future effective tax rates and the results of currently ongoing and future potential audits by taxing authorities having jurisdiction over our various companies; and</w:t>
      </w:r>
    </w:p>
    <w:p>
      <w:pPr>
        <w:ind w:left="960" w:hanging="316"/>
        <w:spacing w:after="0" w:line="180" w:lineRule="auto"/>
        <w:tabs>
          <w:tab w:leader="none" w:pos="9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changes in applicable accounting policies and practices.</w:t>
      </w:r>
    </w:p>
    <w:p>
      <w:pPr>
        <w:spacing w:after="0" w:line="20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 Refer to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for more information.</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Finally,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18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Additionally, certain of the presentations included in this annual report may contain “non-GAAP financial measures.” In such case, a reconciliation of this information to our GAAP financial statements will be made available in connection with such statements.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u w:val="single" w:color="auto"/>
          <w:color w:val="auto"/>
        </w:rPr>
        <w:t>Item 1A – Risk Factors</w:t>
      </w:r>
    </w:p>
    <w:p>
      <w:pPr>
        <w:spacing w:after="0" w:line="24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and our plans to address or mitigate the risks involved, are discussed in significantly greater detail in the context of specific discussions of our business plan, our operating results, and the various competitive forces that we face.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 FACTORS</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are currently engaged principally in the cinema exhibition and real estate businesses. Because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theatre operations as real estate operations – because we are principally in the business of renting space to producers rather than in producing plays ourselves – the cinema exhibition and live theatre businesses share certain risk factors and are, accordingly, discussed together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Cinema Exhibition and Live Theatre Business Risk Factors</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 xml:space="preserve">Our cinema and live theatre businesses are vulnerable to the effects from the coronavirus outbreak which could cause customers to avoid public assembly seating and has delayed the release of major motion pictures. </w:t>
      </w:r>
      <w:r>
        <w:rPr>
          <w:rFonts w:ascii="Arial" w:cs="Arial" w:eastAsia="Arial" w:hAnsi="Arial"/>
          <w:sz w:val="17"/>
          <w:szCs w:val="17"/>
          <w:color w:val="auto"/>
        </w:rPr>
        <w:t>The currently developing coronavirus outbreak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cause patrons to avoid our cinemas and live theatres or other public places where large crowds are in attendance. Outbreaks of the coronavirus have caused cinemas and other public assembly venues to close in certain parts of the world. As the coronavirus spreads in the United States, Australia and New Zealand, the Company may elect on a voluntary basis to close some of our cinemas or portions of our cinemas, or governmental officials may order such closures. Certain major studios have announced the delayed release of major motion pictures to later in the year. At a minimum, the delayed releases of major motion pictures will push revenues into later quarters, will potentially reduce our full year revenues and may accelerate the Company’s decisions to consider reduction of operational levels at our cinemas.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environment with many competitors who are significantly larger and may have significantly better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access to funds than we do. </w:t>
      </w:r>
      <w:r>
        <w:rPr>
          <w:rFonts w:ascii="Arial" w:cs="Arial" w:eastAsia="Arial" w:hAnsi="Arial"/>
          <w:sz w:val="18"/>
          <w:szCs w:val="18"/>
          <w:color w:val="auto"/>
        </w:rPr>
        <w:t>We are a comparatively small cinema operator and face competition from much larger cinema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exhibitors. These larger exhibitors are able to offer distributors more screens in more markets – including markets where they may be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exclusive exhibitor – than can we. Faced with such competition, we may not be able to get access to all of the films we want, which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our revenue and profitability.</w:t>
      </w:r>
    </w:p>
    <w:p>
      <w:pPr>
        <w:spacing w:after="0" w:line="2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While we are concerned about the use of larger competitors of national and international booking power to limit our access to film, there is little we can do to mitigate this risk as antitrust litigation is very expensive and typically long lived. Moreover, on November 22, 2019, the United States Department of Justice – Antitrust Division filed a motion to terminate the so called “Paramount Decree;” the principal judicial precedent regulating the distributor/exhibitor relationship (</w:t>
      </w:r>
      <w:r>
        <w:rPr>
          <w:rFonts w:ascii="Arial" w:cs="Arial" w:eastAsia="Arial" w:hAnsi="Arial"/>
          <w:sz w:val="16"/>
          <w:szCs w:val="16"/>
          <w:i w:val="1"/>
          <w:iCs w:val="1"/>
          <w:color w:val="auto"/>
        </w:rPr>
        <w:t>United States vs. Paramount Pictures, Inc.</w:t>
      </w:r>
      <w:r>
        <w:rPr>
          <w:rFonts w:ascii="Arial" w:cs="Arial" w:eastAsia="Arial" w:hAnsi="Arial"/>
          <w:sz w:val="16"/>
          <w:szCs w:val="16"/>
          <w:color w:val="auto"/>
        </w:rPr>
        <w:t xml:space="preserve"> (334 U.S. 131 (1948)) and which included prohibitions on so called “block booking” and “circuit dealing.” This motion is opposed by independent cinema operators, who – like ourselves – believe that this will further strengthen the competitive advantages of the national circuits. The status of the “Paramount Decree”, and the protections afforded to independent cinemas, is uncertain. A repeal of the “Paramount Decree” may also adversely impact small independent film producers, a major source of film product for our art cinemas.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Several distributors have announced that they will generally provide access of film to all who desire it. However, this practice is not universal and is not necessarily indicative of how these distributors will chose to distribute film in a post “Paramount Decree” environment. There is a risk that film rents charged by major distributors will include account volume discounts which will favor national or international chains. Also, as a practical matter, for major commercial films, the terms of exhibition demanded by the distributors of such films are limiting the cinema operators who can exhibit the film by requiring that their films be shown on a minimum number of screens and for a minimum period of time at each cinema. Many smaller theaters simply cannot accommodate these requirements due to their more limited screen count and limited number of outlets in a given market. This competitive disadvantage has been, in our view, exacerbated in recent periods with the further concentration of the cinema exhibition industry, for example, Cineworld Group Plc’s acquisition of Regal Entertainment Group and Dalian Wanda’s acquisition of AMC Entertainment, which has now acquired Carmike Cinemas, Odeon and UCI Cinemas Group and Nordic Cinema Group.</w:t>
      </w:r>
    </w:p>
    <w:p>
      <w:pPr>
        <w:spacing w:after="0" w:line="18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Increasingly, national operators in the United States are offering various discount and loyalty programs. We believe that these have been effective in increasing attendances at theaters in the United States operated by “national chains” at the expense of independent cinemas such as ourselves. It is unclear at this time as to how these discounts are affecting film rents paid by these exhibitors. A discount or loyalty program is, we believe, more effective when the card or benefit provides access to a significant number of theaters and is less effective in the case of an independent cinema which may only service a very limited number of markets. For an independent cinema operator, the only competitive option may be to reduce ticket prices.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2" w:right="97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(iv) for the sake of building volume, to operate cinemas with margins below our threshold for cinema acquisitions and/or development, and (v) better economies of scale.</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case of our live theatres, we compete for shows not only with other “for profit” Off-Broadway theaters, but also with “not-for-profit” operators and, increasingly, with Broadway theaters. We believe our live theatres are generally competitive with other Off-Broadway venues. However, due to the increased cost of staging live theatre productions, we are seeing an increasing tendency for plays that would historically have been staged in an Off-Broadway theater moving directly to larger Broadway venues.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We face competition from other sources of entertainment and other entertainment delivery systems. </w:t>
      </w:r>
      <w:r>
        <w:rPr>
          <w:rFonts w:ascii="Arial" w:cs="Arial" w:eastAsia="Arial" w:hAnsi="Arial"/>
          <w:sz w:val="17"/>
          <w:szCs w:val="17"/>
          <w:color w:val="auto"/>
        </w:rPr>
        <w:t>Both our cinema and live theatre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face competition from “in-home” and mobile device sources of entertainment. These include competition from network, cable and satellite television, internet streaming video services, Video on Demand, the internet, video games and other sources of entertainment. The quality of “in-home” and mobile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 oriented experience offered by our cinemas and live theatres. Film distributors have been responding to these developments by, in some cases, decreasing or eliminating the period of time between cinema release and the date such product is made available to “in-home” or mobile forms of distribution.</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 is the risk that, over time, distributors may move towards simultaneous release of motion picture product in multiple channels of distribution. Also, some traditional in-home and mobile distributors have begun the production of full-length movies, specifically for the purpose of direct or simultaneous release to the in-home and mobile markets. These factors may adversely affect the competitive advantage enjoyed by cinemas over “in-home” and mobile forms of entertainment, as it may be that the cinema market and the “in-home” and mobile markets will have simultaneous access to the same motion picture product. In recent times, a number of movies were released on a simultaneous basis to movie exhibitors and to in-home and mobile markets. It is likely that this trend will continue, making it, in our view, increasingly important for exhibitors to enhance the convenience and quality of the theater-going experience. This can require substantial capital outlays and increased labor expense, which exhibitors may not be able to fully pass on to their customers. Also, the amount of programming (including without limitation, the live streaming of sporting, theatrical and political events) available on an “in-home” and mobile basis continues to increase.</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narrowing and/or elimination of this so-called “window” for cinema exhibition may be problematic for the cinema exhibition industry. However, to date, attempts by the major film distributors to continue to narrow or eliminate the window have been strenuously resisted by the cinema exhibition industry, and we view the total elimination of the cinema exhibition window by major film distributors, while theoretically possible, to be unlikely.</w:t>
      </w:r>
    </w:p>
    <w:p>
      <w:pPr>
        <w:spacing w:after="0" w:line="18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Netflix has achieved broad market acceptance, with over 167 million subscribers. In addition, Netflix reported production of approximately 73 full-length feature films in 2019 – virtually all of which went straight to streaming. In addition, traditional content providers, such as Walt Disney, Warner Media and Comcast’s NBCUniversal, and HBO, and new entrants such as Apple, are now offering or have announced plans to offer later this year, direct to consumer streaming services on a fixed fee basis. The impact of this competition is unclear. But, in order to compete with these in-home and mobile forms of distribution, it is likely that we will need to make material capital improvements to our cinemas to increase the amenities and quality of presentation delivered. It may also be necessary to reduce admission prices.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face competition from various other forms of “beyond-the-home” entertainment, including sporting events, concerts, restaurants, casinos, video game arcades, and nightclubs. Our cinemas also face competition from live theatres and vice versa. Also, social media offerings – such as Facebook, Instagram and Snapchat – appear to be commanding increasing portions of the recreational time of our potential audience.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Our cinema and live theatre businesses may be vulnerable to fears of terrorism and random shooter incidents and of exposure to infectious disease which could cause customers to avoid public assembly seating. </w:t>
      </w:r>
      <w:r>
        <w:rPr>
          <w:rFonts w:ascii="Arial" w:cs="Arial" w:eastAsia="Arial" w:hAnsi="Arial"/>
          <w:sz w:val="18"/>
          <w:szCs w:val="18"/>
          <w:color w:val="auto"/>
        </w:rPr>
        <w:t>Political events, such as terrorist attacks, random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shooter incidents and health-related epidemics, pandemics, such as the coronavirus outbreak discussed above and flu outbreaks, could cause patrons to avoid our cinemas or other public places where large crowds are in attendance. We believe that recent shooting incidents involving other public assembly situations have resulted in material increases in insurance premiums for cinema operators such as ourselves.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Our cinema business may be vulnerable to natural disasters. </w:t>
      </w:r>
      <w:r>
        <w:rPr>
          <w:rFonts w:ascii="Arial" w:cs="Arial" w:eastAsia="Arial" w:hAnsi="Arial"/>
          <w:sz w:val="18"/>
          <w:szCs w:val="18"/>
          <w:color w:val="auto"/>
        </w:rPr>
        <w:t>A natural disaster, such as a typhoon or an earthquake, could impact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impacted, in New Zealand, our ability to operate certain of our cinemas, which could adversely affect, and has historically adversely affected, in New Zealand, our results of operations. A material portion of our cinemas are located in seismically active areas, such as California, Hawaii and New Zealand.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18" w:name="page19"/>
    <w:bookmarkEnd w:id="18"/>
    <w:p>
      <w:pPr>
        <w:spacing w:after="0" w:line="269" w:lineRule="auto"/>
        <w:rPr>
          <w:sz w:val="20"/>
          <w:szCs w:val="20"/>
          <w:color w:val="auto"/>
        </w:rPr>
      </w:pPr>
      <w:r>
        <w:rPr>
          <w:rFonts w:ascii="Arial" w:cs="Arial" w:eastAsia="Arial" w:hAnsi="Arial"/>
          <w:sz w:val="17"/>
          <w:szCs w:val="17"/>
          <w:b w:val="1"/>
          <w:bCs w:val="1"/>
          <w:i w:val="1"/>
          <w:iCs w:val="1"/>
          <w:color w:val="auto"/>
        </w:rPr>
        <w:t xml:space="preserve">Our cinema operations depend upon access to film and alternative entertainment product that is attractive to our patrons, and our live theatre operations depend upon the continued attractiveness of our theaters to producers. </w:t>
      </w:r>
      <w:r>
        <w:rPr>
          <w:rFonts w:ascii="Arial" w:cs="Arial" w:eastAsia="Arial" w:hAnsi="Arial"/>
          <w:sz w:val="17"/>
          <w:szCs w:val="17"/>
          <w:color w:val="auto"/>
        </w:rPr>
        <w:t>Our ability to generate revenue and profits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largely dependent on factors outside of our control, specifically, the continued ability of motion picture, alternative entertainment and live theatre producers to produce films, alternative entertainment and plays that are attractive to audiences, the amount of money spent by film and alternative entertainment distributors and theatrical producers to promote their motion pictures, alternative entertainment and plays, and the willingness of these distributors and producers to license their films and alternative entertainment on terms that are financially viable to our cinemas and to rent our theaters for the presentation of their plays. To the extent that popular movies, alternative entertainment and plays are produced, our cinema and live theatre activities are ultimately dependent upon our ability, in the face of competition from other cinema and live theatre operators to book such movies, alternative entertainment and plays into our facilities, and to provide a superior customer offering.</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Distribution of film is in the discretion of the film distribution companies. </w:t>
      </w:r>
      <w:r>
        <w:rPr>
          <w:rFonts w:ascii="Arial" w:cs="Arial" w:eastAsia="Arial" w:hAnsi="Arial"/>
          <w:sz w:val="18"/>
          <w:szCs w:val="18"/>
          <w:color w:val="auto"/>
        </w:rPr>
        <w:t>Accordingly, we are at risk that the distributors may not give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all of the film we request.</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Adverse economic conditions could materially affect our business by reducing discretionary income and by limiting or reducing sources of film and live theatre funding. </w:t>
      </w:r>
      <w:r>
        <w:rPr>
          <w:rFonts w:ascii="Arial" w:cs="Arial" w:eastAsia="Arial" w:hAnsi="Arial"/>
          <w:sz w:val="16"/>
          <w:szCs w:val="16"/>
          <w:color w:val="auto"/>
        </w:rPr>
        <w:t>Going to a movie or a play is a luxury, not a necessity. Furthermore, consumer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better and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theatre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that are very risky due to the absence of any ability to recoup investment in secondary markets like–– cable, satellite or internet distribution.</w:t>
      </w:r>
    </w:p>
    <w:p>
      <w:pPr>
        <w:spacing w:after="0" w:line="16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 xml:space="preserve">Our screen advertising or auditorium leasing revenue may decline. </w:t>
      </w:r>
      <w:r>
        <w:rPr>
          <w:rFonts w:ascii="Arial" w:cs="Arial" w:eastAsia="Arial" w:hAnsi="Arial"/>
          <w:sz w:val="16"/>
          <w:szCs w:val="16"/>
          <w:color w:val="auto"/>
        </w:rPr>
        <w:t>Over the past several years, cinema exhibitors have been 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increasingly to screen advertising and auditorium leasing as a way to improve income. No assurances can be given that this source of income will be continuing, or that the use of screen advertising will not ultimately prove to be counterproductive, by giving consumers a disincentive to choose going to the movies over “in-home” or mobile entertainment alternatives. Screen advertising revenues are typically tied to attendance. Consequently, declining attendance would likewise result in decreased screen advertising revenues.</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We face uncertainty as to the timing and direction of technological innovations in the cinema exhibition business and as to our access to those technologies. </w:t>
      </w:r>
      <w:r>
        <w:rPr>
          <w:rFonts w:ascii="Arial" w:cs="Arial" w:eastAsia="Arial" w:hAnsi="Arial"/>
          <w:sz w:val="18"/>
          <w:szCs w:val="18"/>
          <w:color w:val="auto"/>
        </w:rPr>
        <w:t>We have converted all of our cinema auditoriums to digital projection. However, no assurances can be given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technological advances will not require us to make further material investments in our cinemas or face loss of business. Also, equipment is currently being developed for holographic or laser projection. The future of these technologies in the cinema exhibition industry is uncertain.</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We face competition from competitors offering food and beverage and luxury seating as an integral part of their cinema offerings. </w:t>
      </w:r>
      <w:r>
        <w:rPr>
          <w:rFonts w:ascii="Arial" w:cs="Arial" w:eastAsia="Arial" w:hAnsi="Arial"/>
          <w:sz w:val="16"/>
          <w:szCs w:val="16"/>
          <w:color w:val="auto"/>
        </w:rPr>
        <w:t>The number of our competitors offering an expanded food and beverage menu (including the sale of alcoholic beverages) and luxury seating, has continued to grow in recent periods. In addition, more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the Company has been required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 which may translate into fewer movie tickets being sold and the shutdown (or limitation of activities) during the time required to complete such modifications.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Our failure to obtain and maintain liquor licenses at any of our cinemas could adversely affect our business, results of operations or financial condition. </w:t>
      </w:r>
      <w:r>
        <w:rPr>
          <w:rFonts w:ascii="Arial" w:cs="Arial" w:eastAsia="Arial" w:hAnsi="Arial"/>
          <w:sz w:val="17"/>
          <w:szCs w:val="17"/>
          <w:color w:val="auto"/>
        </w:rPr>
        <w:t>Each of our cinemas offering beer and wine, and in some cases liquor, is subject to licensing and regulation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alcoholic beverage control agency in the state, county and municipality in which the cinema is located. Each cinema is required to obtain a license to sell alcoholic beverages on the premises from a state authority and, in certain locations, county and municipal authorities. Typically, licenses must be renewed annually and may be revoked or suspended for cause at any time. Alcoholic beverage control regulations relate to numerous aspects of the daily operations of each cinema,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our profitability, our ability to attract patrons, and our ability to obtain such a liquor license in other locations.</w:t>
      </w:r>
    </w:p>
    <w:p>
      <w:pPr>
        <w:spacing w:after="0" w:line="18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 xml:space="preserve">We may be subject to increased labor and benefits costs generally. </w:t>
      </w:r>
      <w:r>
        <w:rPr>
          <w:rFonts w:ascii="Arial" w:cs="Arial" w:eastAsia="Arial" w:hAnsi="Arial"/>
          <w:sz w:val="16"/>
          <w:szCs w:val="16"/>
          <w:color w:val="auto"/>
        </w:rPr>
        <w:t>We are subject to laws governing such matters as minimum wages,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working conditions and overtime. As minimum wage rates increase and/or limitations are imposed on our ability to adjust staffing levels to reflect cinema attendances, we may need to increase not only the wages of our minimum wage employees, but also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 w:name="page20"/>
    <w:bookmarkEnd w:id="19"/>
    <w:p>
      <w:pPr>
        <w:ind w:right="120"/>
        <w:spacing w:after="0" w:line="279" w:lineRule="auto"/>
        <w:rPr>
          <w:sz w:val="20"/>
          <w:szCs w:val="20"/>
          <w:color w:val="auto"/>
        </w:rPr>
      </w:pPr>
      <w:r>
        <w:rPr>
          <w:rFonts w:ascii="Arial" w:cs="Arial" w:eastAsia="Arial" w:hAnsi="Arial"/>
          <w:sz w:val="17"/>
          <w:szCs w:val="17"/>
          <w:color w:val="auto"/>
        </w:rPr>
        <w:t>the wages paid to employees at wage rates that are above minimum wage and to incur higher amounts overtime and over-staffing costs. Labor shortages, increased employee turnover and health care mandates could also increase our labor costs. This in turn could lead us to increase prices which could impact our sales. Conversely, if competitive pressures or other factors prevent us from offsetting increased labor costs by increases in prices, our results of operations may be adversely impacted.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Cybersecurity threats, ADA issues, and our failure to protect our electronically stored data could adversely affect our business.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store and maintain electronic information and data necessary to conduct our business. Data maintained in electronic form is subject to the risk of intrusion, tampering and theft. While we believe that we have adopted industry-accepted security measures and technology to protect the confidential and proprietary information, the development and maintenance of these systems is costly and require ongoing monitoring and updating as technologies change and efforts to overcome security measures become more sophisticated. As such, we may be unable to anticipate and implement adequate preventive measures in time. Cybersecurity has been an area of increasing government attention and regulations, and in many jurisdictions, statutes have been passed, or are under consideration, imposing penalties and fines related to breaches of a company’s cybersecurity. This may adversely affect our business, including exposure to government enforcement actions and private litigation, and our reputation with our customers and employees may be injured. In addition to Company-specific cyber threats or attacks, our business and results of operations could also be impacted by breaches affecting our peers and partners within the entertainment industry, as well as other retail companies. Also, recently adopted expansions of ADA type laws to cover access to websites and uncertainty as to the requirements of such new laws may result in litigation claims that could adversely impact our results of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Development and Ownership Business Risks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 xml:space="preserve">Our real estate business is vulnerable to the effects from the coronavirus outbreak which we expect may adversely impact our retail tenants' operations and, in turn, result in an increase in tenant defaults and rent reductions. </w:t>
      </w:r>
      <w:r>
        <w:rPr>
          <w:rFonts w:ascii="Arial" w:cs="Arial" w:eastAsia="Arial" w:hAnsi="Arial"/>
          <w:sz w:val="17"/>
          <w:szCs w:val="17"/>
          <w:color w:val="auto"/>
        </w:rPr>
        <w:t>The currently developing coronavirus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outbreak could cause patrons to avoid our tenant's retail businesses or other public places where large crowds are in attendance. As the coronavirus spreads in the United States, Australia and New Zealand, we expect that it may adversely impact the retail businesses of our tenants which, in turn, would likely result in an increase in the number of tenant defaults under their respective lease agreement and/or requests for rent reduction or rent abatement. Also, our certain of our tenants may elect on a voluntary basis to close on a temporary basis, or governmental officials may order such closures. Any of these events would have a material adverse effect on our business, results of operations and financial condition.</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We operate in a highly competitive environment in which we must compete against companies with much greater financial and human resources than we have. </w:t>
      </w:r>
      <w:r>
        <w:rPr>
          <w:rFonts w:ascii="Arial" w:cs="Arial" w:eastAsia="Arial" w:hAnsi="Arial"/>
          <w:sz w:val="18"/>
          <w:szCs w:val="18"/>
          <w:color w:val="auto"/>
        </w:rPr>
        <w:t>We have limited financial and human resources, compared to our principal real estate competitors.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recent periods, we have relied heavily on 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Real Estate Industry Generally</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Our financial performance will be affected by risks associated with the real estate industry generally. </w:t>
      </w:r>
      <w:r>
        <w:rPr>
          <w:rFonts w:ascii="Arial" w:cs="Arial" w:eastAsia="Arial" w:hAnsi="Arial"/>
          <w:sz w:val="17"/>
          <w:szCs w:val="17"/>
          <w:color w:val="auto"/>
        </w:rPr>
        <w:t>Events and conditions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government regulations,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has declined and may continue to decline, and due to the increasing popularity of tele-commuting demand for traditional office space has likewise declined and may likewise continue to decline), or the public perception that any of these events may occur, could result in declining rents or increased lease defaults. Increasing cap rates can result in lower property values. Also, we have holdings in areas that are subject to earthquake, storm and flooding risk.</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We may incur costs complying with the Americans with Disabilities Act and similar laws. </w:t>
      </w:r>
      <w:r>
        <w:rPr>
          <w:rFonts w:ascii="Arial" w:cs="Arial" w:eastAsia="Arial" w:hAnsi="Arial"/>
          <w:sz w:val="18"/>
          <w:szCs w:val="18"/>
          <w:color w:val="auto"/>
        </w:rPr>
        <w:t>Under the Americans with Disabilities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similar statutory regimes in Australia and New Zealand or under applicable state or local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 w:name="page21"/>
    <w:bookmarkEnd w:id="20"/>
    <w:p>
      <w:pPr>
        <w:ind w:left="4"/>
        <w:spacing w:after="0" w:line="293" w:lineRule="auto"/>
        <w:rPr>
          <w:sz w:val="20"/>
          <w:szCs w:val="20"/>
          <w:color w:val="auto"/>
        </w:rPr>
      </w:pPr>
      <w:r>
        <w:rPr>
          <w:rFonts w:ascii="Arial" w:cs="Arial" w:eastAsia="Arial" w:hAnsi="Arial"/>
          <w:sz w:val="16"/>
          <w:szCs w:val="16"/>
          <w:b w:val="1"/>
          <w:bCs w:val="1"/>
          <w:i w:val="1"/>
          <w:iCs w:val="1"/>
          <w:color w:val="auto"/>
        </w:rPr>
        <w:t xml:space="preserve">Illiquidity of real estate investments could impede our ability to respond to adverse changes in the performance of our properties. </w:t>
      </w:r>
      <w:r>
        <w:rPr>
          <w:rFonts w:ascii="Arial" w:cs="Arial" w:eastAsia="Arial" w:hAnsi="Arial"/>
          <w:sz w:val="16"/>
          <w:szCs w:val="16"/>
          <w:color w:val="auto"/>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Real estate development involves a variety of risks.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Real estate development involves a variety of risks, including the following:</w:t>
      </w:r>
    </w:p>
    <w:p>
      <w:pPr>
        <w:spacing w:after="0" w:line="104" w:lineRule="exact"/>
        <w:rPr>
          <w:sz w:val="20"/>
          <w:szCs w:val="20"/>
          <w:color w:val="auto"/>
        </w:rPr>
      </w:pPr>
    </w:p>
    <w:p>
      <w:pPr>
        <w:ind w:left="644" w:right="20" w:hanging="320"/>
        <w:spacing w:after="0" w:line="226" w:lineRule="auto"/>
        <w:tabs>
          <w:tab w:leader="none" w:pos="644"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identification and acquisition of suitable development properties</w:t>
      </w:r>
      <w:r>
        <w:rPr>
          <w:rFonts w:ascii="Arial" w:cs="Arial" w:eastAsia="Arial" w:hAnsi="Arial"/>
          <w:sz w:val="18"/>
          <w:szCs w:val="18"/>
          <w:color w:val="auto"/>
        </w:rPr>
        <w:t>. Competition for suitable development properties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80" w:lineRule="exact"/>
        <w:rPr>
          <w:rFonts w:ascii="Arial" w:cs="Arial" w:eastAsia="Arial" w:hAnsi="Arial"/>
          <w:sz w:val="29"/>
          <w:szCs w:val="29"/>
          <w:color w:val="auto"/>
          <w:vertAlign w:val="superscript"/>
        </w:rPr>
      </w:pPr>
    </w:p>
    <w:p>
      <w:pPr>
        <w:ind w:left="644" w:hanging="320"/>
        <w:spacing w:after="0" w:line="226" w:lineRule="auto"/>
        <w:tabs>
          <w:tab w:leader="none" w:pos="644"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procurement of necessary land use entitlements for the project</w:t>
      </w:r>
      <w:r>
        <w:rPr>
          <w:rFonts w:ascii="Arial" w:cs="Arial" w:eastAsia="Arial" w:hAnsi="Arial"/>
          <w:sz w:val="18"/>
          <w:szCs w:val="18"/>
          <w:color w:val="auto"/>
        </w:rPr>
        <w:t>. This process can take many years, particularly if opposed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80" w:lineRule="exact"/>
        <w:rPr>
          <w:rFonts w:ascii="Arial" w:cs="Arial" w:eastAsia="Arial" w:hAnsi="Arial"/>
          <w:sz w:val="29"/>
          <w:szCs w:val="29"/>
          <w:color w:val="auto"/>
          <w:vertAlign w:val="superscript"/>
        </w:rPr>
      </w:pPr>
    </w:p>
    <w:p>
      <w:pPr>
        <w:ind w:left="644" w:right="60" w:hanging="320"/>
        <w:spacing w:after="0" w:line="220" w:lineRule="auto"/>
        <w:tabs>
          <w:tab w:leader="none" w:pos="644"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construction of the project on time and on budget</w:t>
      </w:r>
      <w:r>
        <w:rPr>
          <w:rFonts w:ascii="Arial" w:cs="Arial" w:eastAsia="Arial" w:hAnsi="Arial"/>
          <w:sz w:val="18"/>
          <w:szCs w:val="18"/>
          <w:color w:val="auto"/>
        </w:rPr>
        <w:t>. Construction risks include the availability and cost of financing;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w:t>
      </w:r>
    </w:p>
    <w:p>
      <w:pPr>
        <w:spacing w:after="0" w:line="83" w:lineRule="exact"/>
        <w:rPr>
          <w:rFonts w:ascii="Arial" w:cs="Arial" w:eastAsia="Arial" w:hAnsi="Arial"/>
          <w:sz w:val="29"/>
          <w:szCs w:val="29"/>
          <w:color w:val="auto"/>
          <w:vertAlign w:val="superscript"/>
        </w:rPr>
      </w:pPr>
    </w:p>
    <w:p>
      <w:pPr>
        <w:ind w:left="644" w:right="180" w:hanging="320"/>
        <w:spacing w:after="0" w:line="237" w:lineRule="auto"/>
        <w:tabs>
          <w:tab w:leader="none" w:pos="644"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i w:val="1"/>
          <w:iCs w:val="1"/>
          <w:color w:val="auto"/>
        </w:rPr>
        <w:t>The leasing or sell-out of the project</w:t>
      </w:r>
      <w:r>
        <w:rPr>
          <w:rFonts w:ascii="Arial" w:cs="Arial" w:eastAsia="Arial" w:hAnsi="Arial"/>
          <w:sz w:val="17"/>
          <w:szCs w:val="17"/>
          <w:color w:val="auto"/>
        </w:rPr>
        <w:t>. Ultimately, there are risks involved in the leasing of a rental property or the sale of a</w:t>
      </w:r>
      <w:r>
        <w:rPr>
          <w:rFonts w:ascii="Arial" w:cs="Arial" w:eastAsia="Arial" w:hAnsi="Arial"/>
          <w:sz w:val="17"/>
          <w:szCs w:val="17"/>
          <w:i w:val="1"/>
          <w:iCs w:val="1"/>
          <w:color w:val="auto"/>
        </w:rPr>
        <w:t xml:space="preserve"> </w:t>
      </w:r>
      <w:r>
        <w:rPr>
          <w:rFonts w:ascii="Arial" w:cs="Arial" w:eastAsia="Arial" w:hAnsi="Arial"/>
          <w:sz w:val="17"/>
          <w:szCs w:val="17"/>
          <w:color w:val="auto"/>
        </w:rPr>
        <w:t>condominium or built-for-sale property. For our ETCs,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84" w:lineRule="exact"/>
        <w:rPr>
          <w:rFonts w:ascii="Arial" w:cs="Arial" w:eastAsia="Arial" w:hAnsi="Arial"/>
          <w:sz w:val="28"/>
          <w:szCs w:val="28"/>
          <w:color w:val="auto"/>
          <w:vertAlign w:val="superscript"/>
        </w:rPr>
      </w:pPr>
    </w:p>
    <w:p>
      <w:pPr>
        <w:jc w:val="both"/>
        <w:ind w:left="644" w:right="20" w:hanging="320"/>
        <w:spacing w:after="0" w:line="220" w:lineRule="auto"/>
        <w:tabs>
          <w:tab w:leader="none" w:pos="644"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refinancing of completed properties</w:t>
      </w:r>
      <w:r>
        <w:rPr>
          <w:rFonts w:ascii="Arial" w:cs="Arial" w:eastAsia="Arial" w:hAnsi="Arial"/>
          <w:sz w:val="18"/>
          <w:szCs w:val="18"/>
          <w:color w:val="auto"/>
        </w:rPr>
        <w:t>. Properties are often developed using relatively short-term loans. Upon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w:t>
      </w:r>
    </w:p>
    <w:p>
      <w:pPr>
        <w:spacing w:after="0" w:line="205"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b w:val="1"/>
          <w:bCs w:val="1"/>
          <w:i w:val="1"/>
          <w:iCs w:val="1"/>
          <w:color w:val="auto"/>
        </w:rPr>
        <w:t xml:space="preserve">The ownership of properties involves risk. </w:t>
      </w:r>
      <w:r>
        <w:rPr>
          <w:rFonts w:ascii="Arial" w:cs="Arial" w:eastAsia="Arial" w:hAnsi="Arial"/>
          <w:sz w:val="16"/>
          <w:szCs w:val="16"/>
          <w:color w:val="auto"/>
        </w:rPr>
        <w:t>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w:t>
      </w:r>
    </w:p>
    <w:p>
      <w:pPr>
        <w:spacing w:after="0" w:line="2" w:lineRule="exact"/>
        <w:rPr>
          <w:sz w:val="20"/>
          <w:szCs w:val="20"/>
          <w:color w:val="auto"/>
        </w:rPr>
      </w:pPr>
    </w:p>
    <w:p>
      <w:pPr>
        <w:jc w:val="both"/>
        <w:ind w:left="4" w:right="140" w:hanging="4"/>
        <w:spacing w:after="0" w:line="273" w:lineRule="auto"/>
        <w:tabs>
          <w:tab w:leader="none" w:pos="309"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w:t>
      </w:r>
    </w:p>
    <w:p>
      <w:pPr>
        <w:spacing w:after="0" w:line="176"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b w:val="1"/>
          <w:bCs w:val="1"/>
          <w:i w:val="1"/>
          <w:iCs w:val="1"/>
          <w:color w:val="auto"/>
        </w:rPr>
        <w:t xml:space="preserve">A number of our assets are in geologically active areas, presenting risk of earthquake and land movement. </w:t>
      </w:r>
      <w:r>
        <w:rPr>
          <w:rFonts w:ascii="Arial" w:cs="Arial" w:eastAsia="Arial" w:hAnsi="Arial"/>
          <w:sz w:val="17"/>
          <w:szCs w:val="17"/>
          <w:color w:val="auto"/>
        </w:rPr>
        <w:t>We have properties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California, Hawaii and New Zealand, areas that present a greater risk of earthquake and/or land movement than other locations. New Zealand has in recent periods had several major earthquakes damaging our facilities in Christchurch and Wellington resulting in closures or partial closures of said facilities and consequent reduction in revenue and cash flow. The ability to insure for such casualties is limited and may become more difficult and/or more expensive in future periods.</w:t>
      </w:r>
    </w:p>
    <w:p>
      <w:pPr>
        <w:spacing w:after="0" w:line="176"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b w:val="1"/>
          <w:bCs w:val="1"/>
          <w:i w:val="1"/>
          <w:iCs w:val="1"/>
          <w:color w:val="auto"/>
        </w:rPr>
        <w:t xml:space="preserve">We may be subject to liability under environmental laws and regulations. </w:t>
      </w:r>
      <w:r>
        <w:rPr>
          <w:rFonts w:ascii="Arial" w:cs="Arial" w:eastAsia="Arial" w:hAnsi="Arial"/>
          <w:sz w:val="18"/>
          <w:szCs w:val="18"/>
          <w:color w:val="auto"/>
        </w:rPr>
        <w:t>We own and operate a large number of cinemas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within the U.S. 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w:t>
      </w:r>
    </w:p>
    <w:p>
      <w:pPr>
        <w:spacing w:after="0" w:line="200" w:lineRule="exact"/>
        <w:rPr>
          <w:sz w:val="20"/>
          <w:szCs w:val="20"/>
          <w:color w:val="auto"/>
        </w:rPr>
      </w:pP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35190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4"/>
          </w:cols>
          <w:pgMar w:left="976" w:top="125" w:right="999" w:bottom="1440" w:gutter="0" w:footer="0" w:header="0"/>
        </w:sectPr>
      </w:pPr>
    </w:p>
    <w:bookmarkStart w:id="21" w:name="page22"/>
    <w:bookmarkEnd w:id="21"/>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Legislative or regulatory initiatives related to global warming/climate change concerns may negatively impact our business. </w:t>
      </w:r>
      <w:r>
        <w:rPr>
          <w:rFonts w:ascii="Arial" w:cs="Arial" w:eastAsia="Arial" w:hAnsi="Arial"/>
          <w:sz w:val="16"/>
          <w:szCs w:val="16"/>
          <w:color w:val="auto"/>
        </w:rPr>
        <w:t>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has been an increasing focus and 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w:t>
      </w:r>
    </w:p>
    <w:p>
      <w:pPr>
        <w:spacing w:after="0" w:line="2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Changes in interest rates may increase our interest expense. </w:t>
      </w:r>
      <w:r>
        <w:rPr>
          <w:rFonts w:ascii="Arial" w:cs="Arial" w:eastAsia="Arial" w:hAnsi="Arial"/>
          <w:sz w:val="17"/>
          <w:szCs w:val="17"/>
          <w:color w:val="auto"/>
        </w:rPr>
        <w:t>Because a portion of our debt bears interest at variable rates, increases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rates could materially increase our interest expense. In each of August, September and October 2019, the U.S. Federal Reserve lowered its benchmark interest rate by a quarter of a percentage point, with additional decreases expected to come over the next year. If interest rates continue increasing, our debt service obligations on the variable rate indebtedness would increase even though the amount borrowed remained the same, and our net income and cash flows, including cash available for servicing our indebtedness, will correspondingly decrease. Based on our debt outstanding as of December 31, 2019, if interest rates were to increase by 1%, the corresponding increase in interest expense on our variable rate debt would decrease future earnings and cash flows by approximately $1.2 million per year. Potential future increases in interest rates may therefore negatively affect our financial condition and results of operations, and reduce our access to the debt or equity capital markets.</w:t>
      </w:r>
    </w:p>
    <w:p>
      <w:pPr>
        <w:spacing w:after="0" w:line="181" w:lineRule="exact"/>
        <w:rPr>
          <w:sz w:val="20"/>
          <w:szCs w:val="20"/>
          <w:color w:val="auto"/>
        </w:rPr>
      </w:pPr>
    </w:p>
    <w:p>
      <w:pPr>
        <w:ind w:right="280"/>
        <w:spacing w:after="0" w:line="312" w:lineRule="auto"/>
        <w:rPr>
          <w:sz w:val="20"/>
          <w:szCs w:val="20"/>
          <w:color w:val="auto"/>
        </w:rPr>
      </w:pPr>
      <w:r>
        <w:rPr>
          <w:rFonts w:ascii="Arial" w:cs="Arial" w:eastAsia="Arial" w:hAnsi="Arial"/>
          <w:sz w:val="15"/>
          <w:szCs w:val="15"/>
          <w:b w:val="1"/>
          <w:bCs w:val="1"/>
          <w:i w:val="1"/>
          <w:iCs w:val="1"/>
          <w:color w:val="auto"/>
        </w:rPr>
        <w:t>Uncertainty relating to the likely phasing out of LIBOR by 2021 may result in paying increased interest under our credit facilities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Some of our variable rate indebtedness uses LIBOR as a benchmark for establishing the rate. LIBOR is the subject of recent national, international and other regulatory guidance and proposals for reform. On July 27, 2017, the United Kingdom’s Financial Conduct Authority announced that it intends to phase out LIBOR by the end of 2021. These reforms and other pressures may cause LIBOR to disappear entirely or to perform differently than in the past. At this time, it is not possible to predict the effect that any discontinuance, modification or other reform of LIBOR or any other reference rate, or the establishment of alternative reference rates, may have on LIBOR, other benchmarks, or LIBOR-based debt instruments. However, the use of alternative reference rates or other reforms could cause the interest rates payable under our credit facilities to be substantially higher than we would otherwise have expected.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International Business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variety of risks, including the following:</w:t>
      </w:r>
    </w:p>
    <w:p>
      <w:pPr>
        <w:spacing w:after="0" w:line="104" w:lineRule="exact"/>
        <w:rPr>
          <w:sz w:val="20"/>
          <w:szCs w:val="20"/>
          <w:color w:val="auto"/>
        </w:rPr>
      </w:pPr>
    </w:p>
    <w:p>
      <w:pPr>
        <w:ind w:left="640" w:right="40" w:hanging="320"/>
        <w:spacing w:after="0" w:line="250" w:lineRule="auto"/>
        <w:tabs>
          <w:tab w:leader="none" w:pos="6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Currency Risk</w:t>
      </w:r>
      <w:r>
        <w:rPr>
          <w:rFonts w:ascii="Arial" w:cs="Arial" w:eastAsia="Arial" w:hAnsi="Arial"/>
          <w:sz w:val="17"/>
          <w:szCs w:val="17"/>
          <w:color w:val="auto"/>
        </w:rPr>
        <w:t>: while we report our earnings and net assets in U.S. dollars, substantial portions of our revenue and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 compared to the U.S. dollar. Also, our use of local borrowings to mitigate the business risk of currency fluctuations has reduced our flexibility to move cash between jurisdictions. Set forth below is a chart of the exchange ratios between these three currencies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133350</wp:posOffset>
            </wp:positionV>
            <wp:extent cx="4114800" cy="2922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148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recent periods, we have repaid intercompany debt and used the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w:t>
      </w:r>
    </w:p>
    <w:p>
      <w:pPr>
        <w:spacing w:after="0" w:line="66" w:lineRule="exact"/>
        <w:rPr>
          <w:sz w:val="20"/>
          <w:szCs w:val="20"/>
          <w:color w:val="auto"/>
        </w:rPr>
      </w:pPr>
    </w:p>
    <w:p>
      <w:pPr>
        <w:jc w:val="both"/>
        <w:ind w:left="640" w:right="420" w:hanging="320"/>
        <w:spacing w:after="0" w:line="238" w:lineRule="auto"/>
        <w:tabs>
          <w:tab w:leader="none" w:pos="64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Risk of adverse government regulation</w:t>
      </w:r>
      <w:r>
        <w:rPr>
          <w:rFonts w:ascii="Arial" w:cs="Arial" w:eastAsia="Arial" w:hAnsi="Arial"/>
          <w:sz w:val="16"/>
          <w:szCs w:val="16"/>
          <w:color w:val="auto"/>
        </w:rPr>
        <w:t>: currently, we believe that relations between the United States, Australia, and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Zealand are good. However, no assurances can be given that these relationships will continue, and that Australia and New Zealand will not in the future seek to regulate more highly the business done by U.S. companies in their countries.</w:t>
      </w:r>
    </w:p>
    <w:p>
      <w:pPr>
        <w:spacing w:after="0" w:line="81" w:lineRule="exact"/>
        <w:rPr>
          <w:rFonts w:ascii="Arial" w:cs="Arial" w:eastAsia="Arial" w:hAnsi="Arial"/>
          <w:sz w:val="26"/>
          <w:szCs w:val="26"/>
          <w:color w:val="auto"/>
          <w:vertAlign w:val="superscript"/>
        </w:rPr>
      </w:pPr>
    </w:p>
    <w:p>
      <w:pPr>
        <w:ind w:left="640" w:right="120" w:hanging="320"/>
        <w:spacing w:after="0" w:line="221" w:lineRule="auto"/>
        <w:tabs>
          <w:tab w:leader="none" w:pos="64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Risk of adverse labor relations</w:t>
      </w:r>
      <w:r>
        <w:rPr>
          <w:rFonts w:ascii="Arial" w:cs="Arial" w:eastAsia="Arial" w:hAnsi="Arial"/>
          <w:sz w:val="16"/>
          <w:szCs w:val="16"/>
          <w:color w:val="auto"/>
        </w:rPr>
        <w:t>: deterioration in labor relations could lead to an increased cost of labor (including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requirements with respect to pension liabilities, disability insurance and health coverage, and vacations and leave).</w:t>
      </w:r>
    </w:p>
    <w:p>
      <w:pPr>
        <w:spacing w:after="0" w:line="200" w:lineRule="exact"/>
        <w:rPr>
          <w:rFonts w:ascii="Arial" w:cs="Arial" w:eastAsia="Arial" w:hAnsi="Arial"/>
          <w:sz w:val="26"/>
          <w:szCs w:val="26"/>
          <w:color w:val="auto"/>
          <w:vertAlign w:val="superscript"/>
        </w:rPr>
      </w:pPr>
    </w:p>
    <w:p>
      <w:pPr>
        <w:spacing w:after="0" w:line="219" w:lineRule="exact"/>
        <w:rPr>
          <w:rFonts w:ascii="Arial" w:cs="Arial" w:eastAsia="Arial" w:hAnsi="Arial"/>
          <w:sz w:val="26"/>
          <w:szCs w:val="26"/>
          <w:color w:val="auto"/>
          <w:vertAlign w:val="superscript"/>
        </w:rPr>
      </w:pPr>
    </w:p>
    <w:p>
      <w:pPr>
        <w:ind w:left="4880" w:hanging="156"/>
        <w:spacing w:after="0"/>
        <w:tabs>
          <w:tab w:leader="none" w:pos="4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Trade disputes and geopolitical instability outside of the U.S. may adversely impact the U.S. and global economies.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2019, global growth weakened, trade tensions heightened, and several emerging markets experienced significant downturns as macroeconomic and geopolitical developments weighed on market sentiments. Governmental policies of developed economies, such as the U.S., have a substantial effect on emerging markets, and the consequences of a trade war between two developed countries, like that of the U.S. and China, could further contribute to the adverse economic and political conditions of emerging and other developed economies. Additionally, North Korea’s nuclear weapons capabilities continue to be an ongoing security concern and worsening relations between the U.S. and North Korea continue to create a global security issue that may adversely affect international business and economic conditions. While it is difficult for us to predict the effect of such trade wars and heightened geopolitical and economic instability on our business, they could lead to currency devaluation, economic and political turmoil, market volatility, and a loss of consumer confidence in the broader U.S. economy.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Certain Discontinued Operations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Financial Structure and Borrowing Risk</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Typically, we have negative working capital. </w:t>
      </w:r>
      <w:r>
        <w:rPr>
          <w:rFonts w:ascii="Arial" w:cs="Arial" w:eastAsia="Arial" w:hAnsi="Arial"/>
          <w:sz w:val="18"/>
          <w:szCs w:val="18"/>
          <w:color w:val="auto"/>
        </w:rPr>
        <w:t>As we invest our cash in new acquisitions and the development of our existing properties,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we have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 In addition, the new lease accounting standard requires us to include the current portion of our operating lease liabilities on our consolidated balance sheet. See Note 2 - </w:t>
      </w:r>
      <w:r>
        <w:rPr>
          <w:rFonts w:ascii="Arial" w:cs="Arial" w:eastAsia="Arial" w:hAnsi="Arial"/>
          <w:sz w:val="18"/>
          <w:szCs w:val="18"/>
          <w:i w:val="1"/>
          <w:iCs w:val="1"/>
          <w:color w:val="auto"/>
        </w:rPr>
        <w:t>Summary of Significant Accounting Policies –</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Leases</w:t>
      </w:r>
      <w:r>
        <w:rPr>
          <w:rFonts w:ascii="Arial" w:cs="Arial" w:eastAsia="Arial" w:hAnsi="Arial"/>
          <w:sz w:val="18"/>
          <w:szCs w:val="18"/>
          <w:color w:val="auto"/>
        </w:rPr>
        <w:t>.</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We are subject to complex taxation, changes in tax rates, adoption of new U.S. or international tax legislation and disagreements with tax authorities that could adversely affect our business, financial condition or results of operations. </w:t>
      </w:r>
      <w:r>
        <w:rPr>
          <w:rFonts w:ascii="Arial" w:cs="Arial" w:eastAsia="Arial" w:hAnsi="Arial"/>
          <w:sz w:val="17"/>
          <w:szCs w:val="17"/>
          <w:color w:val="auto"/>
        </w:rPr>
        <w:t>We are subject to many different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forms of taxation in both the U.S. and in foreign jurisdictions where we operate, such as the U.S. Tax Cuts and Jobs Act signed into law in December 2017. The new laws are still evolving and require we interpret the provisions of the law as we try to comply with them. The costs of compliance with these laws and regulations are high and are likely to increase in the future. Any failure on our part to comply with these laws and regulations can result in negative publicity and diversion of management time and effort and may subject us to significant liabilities and other penalties.</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We have substantial short- to medium-term debt. </w:t>
      </w:r>
      <w:r>
        <w:rPr>
          <w:rFonts w:ascii="Arial" w:cs="Arial" w:eastAsia="Arial" w:hAnsi="Arial"/>
          <w:sz w:val="18"/>
          <w:szCs w:val="18"/>
          <w:color w:val="auto"/>
        </w:rPr>
        <w:t>Generally speaking, we have historically financed our operations through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short-term debt. No assurances can be given that we will be able to refinance this debt, or if we can, that the terms will be reasonable. However, as a counterbalance to this debt, we have certain unencumbered real property assets, which could be sold to pay debt or encumbered to assist in the refinancing of existing debt, if necessary.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We have substantial lease liabilities. </w:t>
      </w:r>
      <w:r>
        <w:rPr>
          <w:rFonts w:ascii="Arial" w:cs="Arial" w:eastAsia="Arial" w:hAnsi="Arial"/>
          <w:sz w:val="18"/>
          <w:szCs w:val="18"/>
          <w:color w:val="auto"/>
        </w:rPr>
        <w:t>Most of our cinemas operate in leased facilities. These leases typically have “cost of living”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rent adjustment features and require that we operate the properties as cinemas. A downturn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stock is thinly traded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 is thinly traded, with an average daily volume in 2019 of only approximately 37,416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Our Class B Stock is very thinly traded with even less volume. This can result in significant volatility, as demand by buyers and sellers can easily get out of balance.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Management Structure, Corporate Governance, and Change of Control Risks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Ongoing disputes among the heirs of James J. Cotter, Sr., over the past five years have caused, and may continue to cause, uncertainty regarding the ongoing control of the Company by the Cotter family and have distracted and may continue to distract the time and attention of our officers and directors from our business and operations and may ultimately interfere with the effective management of the Company. </w:t>
      </w:r>
      <w:r>
        <w:rPr>
          <w:rFonts w:ascii="Arial" w:cs="Arial" w:eastAsia="Arial" w:hAnsi="Arial"/>
          <w:sz w:val="16"/>
          <w:szCs w:val="16"/>
          <w:color w:val="auto"/>
        </w:rPr>
        <w:t>Up until his death on September 13, 2014, James J. Cotter, Sr., the father of Ellen Cotter, James J. Cotter,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Jr. and Margaret Cotter, was our controlling stockholder, having the sole power to vote approximately 66.9% of the outstanding Class B Voting Common Stock (the “Class B Stock”) of the Company. Under applicable Nevada Law, a stockholder holding two-thirds of the Company’s Class B Stock has the power at any time, with or without cause, to remove any one or more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4" w:name="page25"/>
    <w:bookmarkEnd w:id="24"/>
    <w:p>
      <w:pPr>
        <w:ind w:right="40"/>
        <w:spacing w:after="0" w:line="263" w:lineRule="auto"/>
        <w:rPr>
          <w:sz w:val="20"/>
          <w:szCs w:val="20"/>
          <w:color w:val="auto"/>
        </w:rPr>
      </w:pPr>
      <w:r>
        <w:rPr>
          <w:rFonts w:ascii="Arial" w:cs="Arial" w:eastAsia="Arial" w:hAnsi="Arial"/>
          <w:sz w:val="18"/>
          <w:szCs w:val="18"/>
          <w:color w:val="auto"/>
        </w:rPr>
        <w:t>directors (up to and including the entire board of directors) by written consent taken without a meeting of the stockholders. Over the past four years there have been a variety of disputes between Ellen Cotter and Margaret Cotter, on one side, and James J. Cotter, Jr., on the other side, as to the control and disposition of this Class B Stock.</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Immediately following his death, the above referenced Class B Stock was beneficially owned by the Estate of James J. Cotter (the “Cotter Estate”) which held 427,808 shares, representing 25.5% of such voting stock, and by the Living Trust established by the Declaration of Trust dated June 5, 2013, by James J. Cotter, Sr. (as amended, the “Cotter Trust”) which held 696,080 shares, representing 41.4% of such voting stock. We are advised, based upon public filings made by one or more of Ellen Cotter, Margaret Cotter and James J. Cotter, Jr. (the “Cotter Filings”) that the Class B Stock currently held of record by the Cotter Estate will eventually pour over into the Cotter Trust. We are further advised from the Cotter Filings that the Cotter Trust also provides for the establishment of a voting trust (the “Cotter Voting Trust”) which will eventually hold the Class B Stock currently held by the Cotter Estate and the Cotter Trust.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On December 22, 2014, the District Court of Clark County, Nevada, (the “Nevada District Court”) appointed Ellen Cotter and Margaret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Cotter as co-executors of the Cotter Estate. The Will of James J. Cotter provides that, after the payment of certain debts, the residual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 estate was to flow over into the Cotter Trust. However, a dispute arose between Ellen Cotter and Margaret Cotter, on one side,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James J. Cotter, Jr., on the other side, as to which trust document controlled the Cotter Trust and the designation of the trustees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thereunder. On March 23, 2018, the Superior Court of the State of California, County of Los Angeles (the “California Superior Court”),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issued its judgement in the case captioned </w:t>
      </w:r>
      <w:r>
        <w:rPr>
          <w:rFonts w:ascii="Arial" w:cs="Arial" w:eastAsia="Arial" w:hAnsi="Arial"/>
          <w:sz w:val="16"/>
          <w:szCs w:val="16"/>
          <w:i w:val="1"/>
          <w:iCs w:val="1"/>
          <w:color w:val="auto"/>
        </w:rPr>
        <w:t>In re James J. Cotter Living Trust dated August 1, 2000</w:t>
      </w:r>
      <w:r>
        <w:rPr>
          <w:rFonts w:ascii="Arial" w:cs="Arial" w:eastAsia="Arial" w:hAnsi="Arial"/>
          <w:sz w:val="16"/>
          <w:szCs w:val="16"/>
          <w:color w:val="auto"/>
        </w:rPr>
        <w:t xml:space="preserve"> (Case No. BP159755) (the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Case”), to the effect that Ellen Cotter and Margaret Cotter are the Co-Trustees of the Cotter Trust and that Margaret Cotter is the sole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Trustee of the Voting Trust. As the appeal period for that judgment has expired, the California Superior Court’s determination in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regard is now final and not subject to review. Accordingly, in the view of the Company, Ellen Cotter and Margaret Cotter have voting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control over the shares held by the Cotter Trust and the Cotter Estate, collectively representing 66.9% of our Company’s Class 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Taking into account Ellen Cotter and Margaret Cotter’s personal holdings of Class B Stock, Ellen Cotter and Margaret Cotter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power to vote 71.9% of our Company’s Class B Stock.  In so far as we are aware, based upon public filings and our internal records,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present time the Voting Trust does not own any shares of Class B Stock.  The shares which are anticipated to flow into the 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Trust are, insofar as our Company is aware, currently owned by the Cotter Estate and the Cotter Trust.</w:t>
      </w:r>
    </w:p>
    <w:p>
      <w:pPr>
        <w:spacing w:after="0" w:line="21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However, issues as to the ongoing control of our Company are still uncertain. James J. Cotter, Jr., has a motion pending since August 2015 to remove Ellen Cotter and Margaret Cotter as trustees of the Cotter Trust (a motion for which no discovery schedule, briefing schedule or hearing date has been set). Also, James J. Cotter, Jr., continues to support a motion brought by the guardian ad litem (the “GAL”) appointed by the Superior Court to represent the interests of the beneficiaries of the Voting Trust to effect a sale of the Voting Stock to be held by the Voting Trust.</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GAL has motions pending (i) to divide the Voting Trust into separate trusts, one for the benefit of Margaret Cotter’s children and one for the benefit of James J. Cotter, Jr.’s children, (ii) in order to achieve diversification of the assets of these trusts, to sell the Class B stock eventually to be held by these trusts, and (iii) to immediately retain a valuation expert to advise him as to value of the Class B Voting Stock to be eventually held by the Voting Trust. A motion brought by Margaret Cotter and Ellen Cotter, as Co-Trustees of the Cotter Trust, to disqualify the GAL on the basis that he cannot simultaneously represent the interests of Margaret Cotter and James J. Cotter’s, Jr’s, children as the interests of those children differ, was denied by the Superior Court. Ellen Cotter and Margaret Cotter, as Co-Trustees of the Living Trust have advised that they believe that it was the intention of their father that the Class B Voting Stock be held in the Voting Trust as long as possible and that they intend to oppose any splitting of the Voting Trust and/or sale of the Class B Voting Stock eventually to be held by the Voting Trust.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understand from public filings made by Ellen Cotter and Margaret Cotter and public filings made by James J. Cotter, that James J.</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Cotter, Jr. is the first alternate trustee of the Voting Trust, in the event that Margaret Cotter is unable or unwilling to serve as trustee.</w:t>
      </w:r>
    </w:p>
    <w:p>
      <w:pPr>
        <w:spacing w:after="0" w:line="22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While our Company is not a party to the Trust Case, our Company has appeared in court, to protect (a) the business plan adopted by our Board of Directors and its determination that stockholder interests are best achieved by continuing with that business plan rather than selling the Company at this time and (b) in the event that the California Court were to disregard the advice of our Board and order that a controlling interest in our Company be marketed or sold, that the interests of our Company and stockholders generally are protected in the context of any such change of control transaction. Our Company’s participation in the Trust Case since August 2017 has been overseen by a Special Independent Committee of the Board of Directors currently comprised of directors Doug McEachern and Judy Codding.</w:t>
      </w:r>
    </w:p>
    <w:p>
      <w:pPr>
        <w:spacing w:after="0" w:line="19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continue to believe that, whether or not a final determination is made to sell the voting shares, the very commencement of a process to sell a controlling interest in our Company would pose risks to our Company and our stockholders for a variety of reasons, including the resultant potential for: (i) distraction of management and key employees from focusing on the conduct of our business, including the implementation of our three year business strategy, (ii) incurrence of additional general and administrative costs due to the need to implement employee retention programs and to incur legal expenses of the type and at levels not typically required in the ordinary conduct of our Company’s business, (iii) interference with contractual relationships, negotiations and potential negotiations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5" w:name="page26"/>
    <w:bookmarkEnd w:id="25"/>
    <w:p>
      <w:pPr>
        <w:spacing w:after="0" w:line="273" w:lineRule="auto"/>
        <w:rPr>
          <w:sz w:val="20"/>
          <w:szCs w:val="20"/>
          <w:color w:val="auto"/>
        </w:rPr>
      </w:pPr>
      <w:r>
        <w:rPr>
          <w:rFonts w:ascii="Arial" w:cs="Arial" w:eastAsia="Arial" w:hAnsi="Arial"/>
          <w:sz w:val="17"/>
          <w:szCs w:val="17"/>
          <w:color w:val="auto"/>
        </w:rPr>
        <w:t>with third parties important to our Company’s business, including, without limitation, current and future lenders, tenants, landlords, suppliers and co-developers, (iv) increased difficulty in hiring and retaining high quality employees, and (v) exposure of our Company to potential litigation claims of the type which often accompany any extraordinary corporate transactions together with the expense, distraction and time loss that typically results from any such litigation. If a decision to sell a controlling interest is made by the California Superior Court, then there would be the additional risk that control might be sold to an unqualified purchaser who might exploit such control position in a manner not consistent with the best interests of our Company or stockholders generally.</w:t>
      </w:r>
    </w:p>
    <w:p>
      <w:pPr>
        <w:spacing w:after="0" w:line="17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California Superior Court, in the Trust Case, has jurisdiction over a potentially controlling block of our voting power. The Cotter Trust, which as described in more detail above, currently owns 41.4% of our Class B Stock, and, at such time as the Cotter Estate is probated, may receive up to an additional 25.5% of our Class B Stock, should the California Superior Court order the sale of the Trusts’ Class B Stock and such sale be completed, then there may be a change of control of our Company (depending on, among other things, who the ultimate purchaser(s) of such shares might be, the number of shares of Class B Stock distributed by the Cotter Estate to the Cotter Trust, and whether the California Superior Court orders a sale of all or only some portion to the Class B Stock held by the Cotter Trust). We cannot predict what reactions, including appeals or other steps, might be taken by Ellen Cotter and Margaret Cotter in their respective capacities as Trustees under the Cotter Trust, or in other capacities (for example, as Co-Executors of the Cotter Estate or as stockholders acting in their own right), should the California Superior Court make such an order. We do note, however, that Ellen Cotter and Margaret Cotter have publicly stated that, if there is to be a sale of controlling shares, they intend to be the purchaser of such shares. We also cannot predict what action our Board of Directors would take in response, if any. However, our Board of Directors has an obligation to act in the best interest of our Company, and in the event the California Superior Court were to order a sale of the Class B Stock held by the Cotter Trust, our Board of Directors would be obligated to consider the interests of the Company and to act accordingly.</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addition, James J. Cotter, Jr., filed a derivative action in 2015 against Ellen Cotter and Margaret Cotter and certain of our Directors, alleging a variety of misconduct on their part and, among other things, seeking the reinstatement of James J. Cotter, Jr. as president and chief executive officer of our Company, and challenging the voting by Ellen Cotter and Margaret Cotter of the shares held by the Cotter Estate. The Nevada District Court has now dismissed on summary judgment all of Mr. Cotter, Jr.’s claims in that action, including his claims relating to the handling of the Patton Vision non-binding indications of interest. The Nevada District Court has also entered a cost order against Mr. Cotter, Jr., in the amount of $1.55 million. However, Mr. Cotter, Jr., has appealed those decisions so they continue as an overhang over our Company. See </w:t>
      </w:r>
      <w:r>
        <w:rPr>
          <w:rFonts w:ascii="Arial" w:cs="Arial" w:eastAsia="Arial" w:hAnsi="Arial"/>
          <w:sz w:val="17"/>
          <w:szCs w:val="17"/>
          <w:i w:val="1"/>
          <w:iCs w:val="1"/>
          <w:color w:val="auto"/>
        </w:rPr>
        <w:t>Notes to Consolidated Financial Statements – Note 12 – Commitments and Contingencies – Cotter Jr.</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Litigation Matters (including legal costs coverage)</w:t>
      </w:r>
      <w:r>
        <w:rPr>
          <w:rFonts w:ascii="Arial" w:cs="Arial" w:eastAsia="Arial" w:hAnsi="Arial"/>
          <w:sz w:val="17"/>
          <w:szCs w:val="17"/>
          <w:color w:val="auto"/>
        </w:rPr>
        <w:t>.</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Nevada derivative litigation and related matters has for multiple years, required the time and attention of Ellen Cotter, Margaret Cotter, our directors and members of our management team and could, in the future, potentially further distract the time and attention of these key persons from the business and operations of our Company.</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Furthermore, the uncertainty as to the future management and control of our Company could potentially adversely impact, among other things (i) our ability to develop and maintain favorable business relationships, (ii) our ability to attract and retain talented and experienced directors, executives and employees, (iii) the compensation and other terms needed to attract and retain such individuals (including, without limitation, the potential need for retentions agreements and other incentive arrangements typically put into place when control of a public company is uncertain), (iv) our ability to borrow money on favorable long-term terms, and (v) our ability to pursue and complete long-term business objectives.</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The interests of our controlling stockholder may conflict with your interests. </w:t>
      </w:r>
      <w:r>
        <w:rPr>
          <w:rFonts w:ascii="Arial" w:cs="Arial" w:eastAsia="Arial" w:hAnsi="Arial"/>
          <w:sz w:val="17"/>
          <w:szCs w:val="17"/>
          <w:color w:val="auto"/>
        </w:rPr>
        <w:t>As of December 31, 2019, the Cotter Estate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Cotter Trust beneficially own 66.9% of our outstanding Class B Stock. At the present time, according to the books of the Company, Ellen Cotter and Margaret Cotter vote (including their direct holdings of 50,000 shares and 35,100 shares respectively of the Class B Stock), Class B Stock representing 71.9% of our outstanding Class B Stock. Our Class A Stock is non-voting, while our Class B Stock represents all of the voting power of our Company. For as long as the Cotter Estate, the Cotter Trust and/or the Cotter Voting Trust (referred to herein collectively as the “Cotter Entities”) continue to own shares of Class B Stock representing more than 50% of the voting power of our common stock, the Cotter Entities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The Cotter Entities will also have the power to prevent or cause a change in control and could take other actions that might be desirable to the Cotter Entities but not to other stockholders. To the extent that the Cotter Entities hold more than two-thirds of our outstanding Class B Stock, the Cotter Entities will have the power at any time, with or without cause, to remove any one or more Directors (up to and including the entire Board of Directors) by written consent taken without a meeting of the stockholders.</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In addition, the Cotter Estate or the Cotter Trust and/or their respective affiliates have controlling interests in companies in related and unrelated industries. In the future, we may participate in transactions with these companies (see </w:t>
      </w:r>
      <w:r>
        <w:rPr>
          <w:rFonts w:ascii="Arial" w:cs="Arial" w:eastAsia="Arial" w:hAnsi="Arial"/>
          <w:sz w:val="16"/>
          <w:szCs w:val="16"/>
          <w:i w:val="1"/>
          <w:iCs w:val="1"/>
          <w:color w:val="auto"/>
        </w:rPr>
        <w:t>Note 20</w:t>
      </w:r>
      <w:r>
        <w:rPr>
          <w:rFonts w:ascii="Arial" w:cs="Arial" w:eastAsia="Arial" w:hAnsi="Arial"/>
          <w:sz w:val="16"/>
          <w:szCs w:val="16"/>
          <w:color w:val="auto"/>
        </w:rPr>
        <w:t xml:space="preserve"> – </w:t>
      </w:r>
      <w:r>
        <w:rPr>
          <w:rFonts w:ascii="Arial" w:cs="Arial" w:eastAsia="Arial" w:hAnsi="Arial"/>
          <w:sz w:val="16"/>
          <w:szCs w:val="16"/>
          <w:i w:val="1"/>
          <w:iCs w:val="1"/>
          <w:color w:val="auto"/>
        </w:rPr>
        <w:t>Related Parties</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 w:name="page27"/>
    <w:bookmarkEnd w:id="26"/>
    <w:p>
      <w:pPr>
        <w:ind w:right="280"/>
        <w:spacing w:after="0" w:line="263" w:lineRule="auto"/>
        <w:rPr>
          <w:sz w:val="20"/>
          <w:szCs w:val="20"/>
          <w:color w:val="auto"/>
        </w:rPr>
      </w:pPr>
      <w:r>
        <w:rPr>
          <w:rFonts w:ascii="Arial" w:cs="Arial" w:eastAsia="Arial" w:hAnsi="Arial"/>
          <w:sz w:val="18"/>
          <w:szCs w:val="18"/>
          <w:color w:val="auto"/>
        </w:rPr>
        <w:t>While controlling stockholders may owe certain fiduciary duties to our Company and/or minority stockholders, these duties are limited. No assurances can be given that the Cotter Entities will not take action that, while beneficial to them and legally enforceable, would not necessarily be in the best interests of our Company and/or our stockholders generally.</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We are a “Controlled Company” under applicable NASDAQ Regulations. As permitted by those Regulations, our Board has elected to opt-out of certain corporate governance rules applicable to non-controlled companies. </w:t>
      </w:r>
      <w:r>
        <w:rPr>
          <w:rFonts w:ascii="Arial" w:cs="Arial" w:eastAsia="Arial" w:hAnsi="Arial"/>
          <w:sz w:val="17"/>
          <w:szCs w:val="17"/>
          <w:color w:val="auto"/>
        </w:rPr>
        <w:t>Generally speaking, the NASDAQ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listed companies to meet certain minimum corporate governance 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 Directors is nevertheless currently comprised of independent Directors. As a practical matter, subject to their fiduciary duties, Ellen Cotter and Margaret Cotter control the composition of our Board of Directors.</w:t>
      </w:r>
    </w:p>
    <w:p>
      <w:pPr>
        <w:spacing w:after="0" w:line="18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i w:val="1"/>
          <w:iCs w:val="1"/>
          <w:color w:val="auto"/>
        </w:rPr>
        <w:t xml:space="preserve">We depend on key personnel for our current and future performance. </w:t>
      </w:r>
      <w:r>
        <w:rPr>
          <w:rFonts w:ascii="Arial" w:cs="Arial" w:eastAsia="Arial" w:hAnsi="Arial"/>
          <w:sz w:val="16"/>
          <w:szCs w:val="16"/>
          <w:color w:val="auto"/>
        </w:rPr>
        <w:t>Our current and future performance depends to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If our company suffers cybersecurity attacks, data security challenges or privacy incidents that result in security breaches, we could suffer a loss of sales, additional liability, reputational harm or other adverse consequences</w:t>
      </w:r>
      <w:r>
        <w:rPr>
          <w:rFonts w:ascii="Arial" w:cs="Arial" w:eastAsia="Arial" w:hAnsi="Arial"/>
          <w:sz w:val="16"/>
          <w:szCs w:val="16"/>
          <w:color w:val="auto"/>
        </w:rPr>
        <w:t>. The effective operation of our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depends on our network infrastructure, computer systems, physical, virtual and/or cloud based, and software. Our information technology systems collect and process information provided by customers, employees and vendors. In addition, third-party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in spite of our best efforts, our information systems may fail to operate for a variety of technological or human reasons. An interruption or failure of our information technology systems and of those maintained by our third-party providers could adversely affect our business, liquidity or results of operations and result in increases in reputational risk, litigation or penalties. Furthermore, any such occurrence, if significant could require us to expend resources to remediate and upgrade information technology systems. Since 2015, we have annually procured cybersecurity insurance to protect against cybersecurity risks; however, we cannot provide any assurance regarding the adequacy of such insurance coverage.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1B – Unresolved Staff Comments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u w:val="single" w:color="auto"/>
          <w:color w:val="auto"/>
        </w:rPr>
        <w:t>Item 2 – Properties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ADMINISTRATIVE OFFICES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February 2017, our executive headquarters has been in a 24,000 square foot Class B office building with 72 parking spaces located at 5995 Sepulveda Boulevard, Suite 300, Culver City, California 90230, which we had purchased on April 11, 2016. We are currently using approximately 50% of the leasable area for our headquarters’ offices and anticipate leasing the remainder of the space to an unaffiliated third-party tenant.</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own an 8,500 square foot office building in Melbourne, Australia, approximately 5,000 square feet of which serve as the headquarters for our Australian and New Zealand operations (the remainder being leased to an unrelated third party). We maintain our accounting personnel and certain IT and operational personnel in approximately 5,400 square feet of office spaces located in our Courtenay Central ETC in Wellington, New Zealand, however due to the ongoing temporary closure of Courtenay Central, we have leased temporary premises (about half a mile away) with 3,900 square feet on acceptable commercial terms to cover the period of closure. We also occupy approximately 3,500 square feet at our Village East leasehold property in New York for administrative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Use Leasehold Interests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we lease approximately 1,812,000 square feet of completed cinema space in the United States, Australia,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Zealand as follows: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Range</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Remaining</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Lease Terms</w:t>
            </w:r>
          </w:p>
        </w:tc>
        <w:tc>
          <w:tcPr>
            <w:tcW w:w="0" w:type="dxa"/>
            <w:vAlign w:val="bottom"/>
          </w:tcPr>
          <w:p>
            <w:pPr>
              <w:spacing w:after="0"/>
              <w:rPr>
                <w:sz w:val="1"/>
                <w:szCs w:val="1"/>
                <w:color w:val="auto"/>
              </w:rPr>
            </w:pPr>
          </w:p>
        </w:tc>
      </w:tr>
      <w:tr>
        <w:trPr>
          <w:trHeight w:val="178"/>
        </w:trPr>
        <w:tc>
          <w:tcPr>
            <w:tcW w:w="6320" w:type="dxa"/>
            <w:vAlign w:val="bottom"/>
          </w:tcPr>
          <w:p>
            <w:pPr>
              <w:spacing w:after="0"/>
              <w:rPr>
                <w:sz w:val="15"/>
                <w:szCs w:val="15"/>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Square Footage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(including renewals)</w:t>
            </w:r>
          </w:p>
        </w:tc>
        <w:tc>
          <w:tcPr>
            <w:tcW w:w="0" w:type="dxa"/>
            <w:vAlign w:val="bottom"/>
          </w:tcPr>
          <w:p>
            <w:pPr>
              <w:spacing w:after="0"/>
              <w:rPr>
                <w:sz w:val="1"/>
                <w:szCs w:val="1"/>
                <w:color w:val="auto"/>
              </w:rPr>
            </w:pPr>
          </w:p>
        </w:tc>
      </w:tr>
      <w:tr>
        <w:trPr>
          <w:trHeight w:val="216"/>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962,000</w:t>
            </w:r>
          </w:p>
        </w:tc>
        <w:tc>
          <w:tcPr>
            <w:tcW w:w="1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2022 – 2052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Australia</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659,000</w:t>
            </w:r>
          </w:p>
        </w:tc>
        <w:tc>
          <w:tcPr>
            <w:tcW w:w="1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2022 – 2049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191,000</w:t>
            </w: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 – 2040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Interests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Australia, as of December 31, 2019, we owned approximately 1,356,000 square feet of land at seven locations. Most of this land is located in the states of Queensland, New South Wales, and Western Australia. Of these fee interests, approximately 208,000 square feet are currently improved with cinemas. We also own an approximately 23,000 square foot parcel currently improved with an approximately 22,000 square foot office building that we intend to integrate with and into our Newmarket Village ETC and that, accordingly, is not included in the above table. In 2018, we acquired a building of 16,830 square feet which is bordered on three sides by our Auburn ETC for $3.5 million (AU$ 4.5 million). This building has a lease in place, which expires in July 2022, after which we intend to integrate the property into our ETC.</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New Zealand, as of December 31, 2019, we owned approximately 3,370,000 square feet of land at six locations. The foregoing includes our Courtenay Central ETC in Wellington, the development land adjacent to our Courtenay Central ETC, the 70.4-acre Manukau/Wiri site, and the fee interests underlying four cinemas in New Zealand, which properties include approximately 6,000 square feet of ancillary retail space.</w:t>
      </w:r>
    </w:p>
    <w:p>
      <w:pPr>
        <w:spacing w:after="0" w:line="187"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In the United States, as of December 31, 2019, we owned approximately 139,000 square feet of improved real estate comprised of three live theatre buildings, which include approximately 11,000 square feet of leasable space, the fee interest in the 44 Union Square property (currently being redeveloped), the fee interest in our U.S. headquarters in Culver City, California, and the fee interest in our Cinemas</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1,2,3 in Manhattan (held through a limited liability company in which we have a 75% managing member interest). We have a fee interest in 202-acres of developable land in Coachella, California (through a limited liability company [Shadow View Land and Farming, LLC] in which we have a 50% managing member interest), which is zoned for residential and mixed-use purposes. We also own various properties relating to our historic railroad business, including the Reading Viaduct in central Philadelphia.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Live Theatres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Included among our real estate holdings are three Off-Broadway style live theatres, operated through our Liberty Theatres subsidiary. We license theatre auditoriums to the producers of Off-Broadway theatrical productions and provide various box office and food &amp; beverage services. The terms of our licenses are, naturally, principally dependent upon the commercial success of our tenants. While we attempt to choose productions that we believe will be successful, we have no control over the production itself. At the current time, we have two single-auditorium theatres in Manhattan:</w:t>
      </w:r>
    </w:p>
    <w:p>
      <w:pPr>
        <w:ind w:left="640" w:hanging="320"/>
        <w:spacing w:after="0" w:line="213" w:lineRule="auto"/>
        <w:tabs>
          <w:tab w:leader="none" w:pos="6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Minetta Lane (399 seats); and</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Orpheum (347 seats).</w:t>
      </w:r>
    </w:p>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also own a four-auditorium theatre complex, the Royal George Theatre in Chicago (Mainstage 452 seats, Cabaret 199 seats, The Great Room 100 seats, and The Gallery 60 seats), which has ancillary retail, office space, and parking.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Liberty Theatres is primarily in the business of licensing theatre space. However, we may from time to time participate as an investor in a play, which can help facilitate the exhibition of the play at one of our theatres, and do from time to time rent space on a basis that allows us to share in a production’s revenue or profits. Predominantly, rental revenue, expense, and profits are reported as part of the real estate segment of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Interests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Real estate joint ventures comprise of a 75% managing member interest in the limited liability company that owns our Cinemas 1,2,3 property and a 50% managing member interest in Shadow View Land &amp; Farming, LLC, which owns an approximately 202-acre property in Coachella, California that is currently zoned for residential and mixed use.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OPERATING PROPERTY</w:t>
      </w:r>
    </w:p>
    <w:p>
      <w:pPr>
        <w:spacing w:after="0" w:line="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As of December 31, 2019, we own fee interests on approximately 844,000 square feet of income-producing properties (including certain properties principally occupied by our cinemas)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Square Feet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Book</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Improvements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7"/>
                <w:szCs w:val="7"/>
                <w:b w:val="1"/>
                <w:bCs w:val="1"/>
                <w:color w:val="auto"/>
                <w:w w:val="95"/>
              </w:rPr>
              <w:t>(3)</w:t>
            </w:r>
          </w:p>
        </w:tc>
        <w:tc>
          <w:tcPr>
            <w:tcW w:w="80" w:type="dxa"/>
            <w:vAlign w:val="bottom"/>
          </w:tcPr>
          <w:p>
            <w:pPr>
              <w:spacing w:after="0"/>
              <w:rPr>
                <w:sz w:val="12"/>
                <w:szCs w:val="12"/>
                <w:color w:val="auto"/>
              </w:rPr>
            </w:pPr>
          </w:p>
        </w:tc>
        <w:tc>
          <w:tcPr>
            <w:tcW w:w="1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Reporting</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Property</w:t>
            </w:r>
          </w:p>
        </w:tc>
        <w:tc>
          <w:tcPr>
            <w:tcW w:w="8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(rental/</w:t>
            </w: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i w:val="1"/>
                <w:iCs w:val="1"/>
                <w:color w:val="auto"/>
                <w:w w:val="97"/>
              </w:rPr>
              <w:t>(US Dollars</w:t>
            </w: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Address</w:t>
            </w:r>
          </w:p>
        </w:tc>
        <w:tc>
          <w:tcPr>
            <w:tcW w:w="0" w:type="dxa"/>
            <w:vAlign w:val="bottom"/>
          </w:tcPr>
          <w:p>
            <w:pPr>
              <w:spacing w:after="0"/>
              <w:rPr>
                <w:sz w:val="1"/>
                <w:szCs w:val="1"/>
                <w:color w:val="auto"/>
              </w:rPr>
            </w:pPr>
          </w:p>
        </w:tc>
      </w:tr>
      <w:tr>
        <w:trPr>
          <w:trHeight w:val="178"/>
        </w:trPr>
        <w:tc>
          <w:tcPr>
            <w:tcW w:w="18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entertainment)</w:t>
            </w:r>
            <w:r>
              <w:rPr>
                <w:rFonts w:ascii="Arial" w:cs="Arial" w:eastAsia="Arial" w:hAnsi="Arial"/>
                <w:sz w:val="7"/>
                <w:szCs w:val="7"/>
                <w:b w:val="1"/>
                <w:bCs w:val="1"/>
                <w:color w:val="auto"/>
                <w:w w:val="94"/>
              </w:rPr>
              <w:t>(1)</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Leased</w:t>
            </w:r>
            <w:r>
              <w:rPr>
                <w:rFonts w:ascii="Arial" w:cs="Arial" w:eastAsia="Arial" w:hAnsi="Arial"/>
                <w:sz w:val="7"/>
                <w:szCs w:val="7"/>
                <w:b w:val="1"/>
                <w:bCs w:val="1"/>
                <w:color w:val="auto"/>
                <w:w w:val="91"/>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i w:val="1"/>
                <w:iCs w:val="1"/>
                <w:color w:val="auto"/>
                <w:w w:val="92"/>
              </w:rPr>
              <w:t>in thousands)</w:t>
            </w:r>
          </w:p>
        </w:tc>
        <w:tc>
          <w:tcPr>
            <w:tcW w:w="80" w:type="dxa"/>
            <w:vAlign w:val="bottom"/>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Segment</w:t>
            </w:r>
          </w:p>
        </w:tc>
        <w:tc>
          <w:tcPr>
            <w:tcW w:w="2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tcBorders>
              <w:top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Cinemas 1,2,3</w:t>
            </w:r>
            <w:r>
              <w:rPr>
                <w:rFonts w:ascii="Arial" w:cs="Arial" w:eastAsia="Arial" w:hAnsi="Arial"/>
                <w:sz w:val="7"/>
                <w:szCs w:val="7"/>
                <w:color w:val="auto"/>
              </w:rPr>
              <w:t>(4)</w:t>
            </w:r>
          </w:p>
        </w:tc>
        <w:tc>
          <w:tcPr>
            <w:tcW w:w="14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3"/>
              </w:rPr>
              <w:t>0 / 24,000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i w:val="1"/>
                <w:iCs w:val="1"/>
                <w:color w:val="auto"/>
                <w:w w:val="92"/>
              </w:rPr>
              <w:t>n/a</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24,258</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7"/>
              </w:rPr>
              <w:t>Cinema Exhibition</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1003 Third Avenue, Manhattan, NY</w:t>
            </w: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Culver City Headquarters</w:t>
            </w:r>
          </w:p>
        </w:tc>
        <w:tc>
          <w:tcPr>
            <w:tcW w:w="146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24,000 / 0</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12,475</w:t>
            </w:r>
          </w:p>
        </w:tc>
        <w:tc>
          <w:tcPr>
            <w:tcW w:w="80" w:type="dxa"/>
            <w:vAlign w:val="bottom"/>
          </w:tcPr>
          <w:p>
            <w:pPr>
              <w:spacing w:after="0"/>
              <w:rPr>
                <w:sz w:val="15"/>
                <w:szCs w:val="15"/>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5995 Sepulveda Boulevard, Culver City, CA</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including a 72-space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parking structure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Minetta Lane Theatre</w:t>
            </w:r>
          </w:p>
        </w:tc>
        <w:tc>
          <w:tcPr>
            <w:tcW w:w="14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1"/>
              </w:rPr>
              <w:t>0 / 9,000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i w:val="1"/>
                <w:iCs w:val="1"/>
                <w:color w:val="auto"/>
                <w:w w:val="92"/>
              </w:rPr>
              <w:t>n/a</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18 Minetta Lane, Manhattan, NY</w:t>
            </w: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rPr>
              <w:t>4</w:t>
            </w: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Orpheum Theatre</w:t>
            </w:r>
          </w:p>
        </w:tc>
        <w:tc>
          <w:tcPr>
            <w:tcW w:w="1460" w:type="dxa"/>
            <w:vAlign w:val="bottom"/>
            <w:gridSpan w:val="2"/>
          </w:tcPr>
          <w:p>
            <w:pPr>
              <w:jc w:val="center"/>
              <w:spacing w:after="0"/>
              <w:rPr>
                <w:sz w:val="20"/>
                <w:szCs w:val="20"/>
                <w:color w:val="auto"/>
              </w:rPr>
            </w:pPr>
            <w:r>
              <w:rPr>
                <w:rFonts w:ascii="Arial" w:cs="Arial" w:eastAsia="Arial" w:hAnsi="Arial"/>
                <w:sz w:val="14"/>
                <w:szCs w:val="14"/>
                <w:color w:val="auto"/>
                <w:w w:val="92"/>
              </w:rPr>
              <w:t>1,000 / 5,000</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1,469</w:t>
            </w:r>
          </w:p>
        </w:tc>
        <w:tc>
          <w:tcPr>
            <w:tcW w:w="80" w:type="dxa"/>
            <w:vAlign w:val="bottom"/>
          </w:tcPr>
          <w:p>
            <w:pPr>
              <w:spacing w:after="0"/>
              <w:rPr>
                <w:sz w:val="15"/>
                <w:szCs w:val="15"/>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126 2nd Avenue, Manhattan, NY</w:t>
            </w: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Royal George</w:t>
            </w:r>
          </w:p>
        </w:tc>
        <w:tc>
          <w:tcPr>
            <w:tcW w:w="14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2"/>
              </w:rPr>
              <w:t>15,000 / 23,000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1633-41 N. Halsted Street, Chicago, IL</w:t>
            </w:r>
          </w:p>
        </w:tc>
        <w:tc>
          <w:tcPr>
            <w:tcW w:w="0" w:type="dxa"/>
            <w:vAlign w:val="bottom"/>
          </w:tcPr>
          <w:p>
            <w:pPr>
              <w:spacing w:after="0"/>
              <w:rPr>
                <w:sz w:val="1"/>
                <w:szCs w:val="1"/>
                <w:color w:val="auto"/>
              </w:rPr>
            </w:pPr>
          </w:p>
        </w:tc>
      </w:tr>
      <w:tr>
        <w:trPr>
          <w:trHeight w:val="164"/>
        </w:trPr>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plus a 55-space parking</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structure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2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Australia</w:t>
            </w: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Newmarket Village</w:t>
            </w:r>
          </w:p>
        </w:tc>
        <w:tc>
          <w:tcPr>
            <w:tcW w:w="14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3"/>
              </w:rPr>
              <w:t>102,000 / 42,000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46,072</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Cinema Exhibition /</w:t>
            </w: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400 Newmarket Road, Newmarket, QLD</w:t>
            </w:r>
          </w:p>
        </w:tc>
        <w:tc>
          <w:tcPr>
            <w:tcW w:w="0" w:type="dxa"/>
            <w:vAlign w:val="bottom"/>
          </w:tcPr>
          <w:p>
            <w:pPr>
              <w:spacing w:after="0"/>
              <w:rPr>
                <w:sz w:val="1"/>
                <w:szCs w:val="1"/>
                <w:color w:val="auto"/>
              </w:rPr>
            </w:pPr>
          </w:p>
        </w:tc>
      </w:tr>
      <w:tr>
        <w:trPr>
          <w:trHeight w:val="164"/>
        </w:trPr>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plus 588 parking</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5"/>
              </w:rPr>
              <w:t>spaces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Newmarket Office</w:t>
            </w:r>
          </w:p>
        </w:tc>
        <w:tc>
          <w:tcPr>
            <w:tcW w:w="146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22,000 / 0</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5,538</w:t>
            </w:r>
          </w:p>
        </w:tc>
        <w:tc>
          <w:tcPr>
            <w:tcW w:w="80" w:type="dxa"/>
            <w:vAlign w:val="bottom"/>
          </w:tcPr>
          <w:p>
            <w:pPr>
              <w:spacing w:after="0"/>
              <w:rPr>
                <w:sz w:val="15"/>
                <w:szCs w:val="15"/>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16-20 Edmondstone Street, Newmarket, QLD</w:t>
            </w: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Auburn</w:t>
            </w:r>
          </w:p>
        </w:tc>
        <w:tc>
          <w:tcPr>
            <w:tcW w:w="14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2"/>
              </w:rPr>
              <w:t>92,000 / 57,000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26,087</w:t>
            </w: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Cinema Exhibition /</w:t>
            </w: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99 Parramatta Road, Auburn, NSW</w:t>
            </w:r>
          </w:p>
        </w:tc>
        <w:tc>
          <w:tcPr>
            <w:tcW w:w="0" w:type="dxa"/>
            <w:vAlign w:val="bottom"/>
          </w:tcPr>
          <w:p>
            <w:pPr>
              <w:spacing w:after="0"/>
              <w:rPr>
                <w:sz w:val="1"/>
                <w:szCs w:val="1"/>
                <w:color w:val="auto"/>
              </w:rPr>
            </w:pPr>
          </w:p>
        </w:tc>
      </w:tr>
      <w:tr>
        <w:trPr>
          <w:trHeight w:val="164"/>
        </w:trPr>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plus 721 parking</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5"/>
              </w:rPr>
              <w:t>spaces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0" w:type="dxa"/>
            <w:vAlign w:val="bottom"/>
          </w:tcPr>
          <w:p>
            <w:pPr>
              <w:jc w:val="right"/>
              <w:spacing w:after="0" w:line="130" w:lineRule="exact"/>
              <w:rPr>
                <w:sz w:val="20"/>
                <w:szCs w:val="20"/>
                <w:color w:val="auto"/>
              </w:rPr>
            </w:pPr>
            <w:r>
              <w:rPr>
                <w:rFonts w:ascii="Arial" w:cs="Arial" w:eastAsia="Arial" w:hAnsi="Arial"/>
                <w:sz w:val="14"/>
                <w:szCs w:val="14"/>
                <w:color w:val="auto"/>
              </w:rPr>
              <w:t>4</w:t>
            </w:r>
          </w:p>
        </w:tc>
        <w:tc>
          <w:tcPr>
            <w:tcW w:w="162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Cannon Park</w:t>
            </w:r>
            <w:r>
              <w:rPr>
                <w:rFonts w:ascii="Arial" w:cs="Arial" w:eastAsia="Arial" w:hAnsi="Arial"/>
                <w:sz w:val="7"/>
                <w:szCs w:val="7"/>
                <w:color w:val="auto"/>
              </w:rPr>
              <w:t>(5)</w:t>
            </w:r>
          </w:p>
        </w:tc>
        <w:tc>
          <w:tcPr>
            <w:tcW w:w="1460" w:type="dxa"/>
            <w:vAlign w:val="bottom"/>
            <w:gridSpan w:val="2"/>
          </w:tcPr>
          <w:p>
            <w:pPr>
              <w:jc w:val="center"/>
              <w:ind w:left="8"/>
              <w:spacing w:after="0" w:line="130" w:lineRule="exact"/>
              <w:rPr>
                <w:sz w:val="20"/>
                <w:szCs w:val="20"/>
                <w:color w:val="auto"/>
              </w:rPr>
            </w:pPr>
            <w:r>
              <w:rPr>
                <w:rFonts w:ascii="Arial" w:cs="Arial" w:eastAsia="Arial" w:hAnsi="Arial"/>
                <w:sz w:val="14"/>
                <w:szCs w:val="14"/>
                <w:color w:val="auto"/>
                <w:w w:val="93"/>
              </w:rPr>
              <w:t>105,000 / 28,000</w:t>
            </w:r>
          </w:p>
        </w:tc>
        <w:tc>
          <w:tcPr>
            <w:tcW w:w="8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2"/>
              </w:rPr>
              <w:t>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21,026</w:t>
            </w:r>
          </w:p>
        </w:tc>
        <w:tc>
          <w:tcPr>
            <w:tcW w:w="80" w:type="dxa"/>
            <w:vAlign w:val="bottom"/>
          </w:tcPr>
          <w:p>
            <w:pPr>
              <w:spacing w:after="0"/>
              <w:rPr>
                <w:sz w:val="11"/>
                <w:szCs w:val="11"/>
                <w:color w:val="auto"/>
              </w:rPr>
            </w:pPr>
          </w:p>
        </w:tc>
        <w:tc>
          <w:tcPr>
            <w:tcW w:w="160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6"/>
              </w:rPr>
              <w:t>Cinema Exhibition /</w:t>
            </w:r>
          </w:p>
        </w:tc>
        <w:tc>
          <w:tcPr>
            <w:tcW w:w="2960" w:type="dxa"/>
            <w:vAlign w:val="bottom"/>
          </w:tcPr>
          <w:p>
            <w:pPr>
              <w:spacing w:after="0" w:line="130" w:lineRule="exact"/>
              <w:rPr>
                <w:sz w:val="20"/>
                <w:szCs w:val="20"/>
                <w:color w:val="auto"/>
              </w:rPr>
            </w:pPr>
            <w:r>
              <w:rPr>
                <w:rFonts w:ascii="Arial" w:cs="Arial" w:eastAsia="Arial" w:hAnsi="Arial"/>
                <w:sz w:val="14"/>
                <w:szCs w:val="14"/>
                <w:color w:val="auto"/>
              </w:rPr>
              <w:t>High Range Drive, Thuringowa, QLD</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w:t>
            </w:r>
          </w:p>
        </w:tc>
        <w:tc>
          <w:tcPr>
            <w:tcW w:w="162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Belmont</w:t>
            </w:r>
          </w:p>
        </w:tc>
        <w:tc>
          <w:tcPr>
            <w:tcW w:w="146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15,000 / 45,000</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93%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5,852</w:t>
            </w:r>
          </w:p>
        </w:tc>
        <w:tc>
          <w:tcPr>
            <w:tcW w:w="8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center"/>
              <w:ind w:right="60"/>
              <w:spacing w:after="0" w:line="130" w:lineRule="exact"/>
              <w:rPr>
                <w:sz w:val="20"/>
                <w:szCs w:val="20"/>
                <w:color w:val="auto"/>
              </w:rPr>
            </w:pPr>
            <w:r>
              <w:rPr>
                <w:rFonts w:ascii="Arial" w:cs="Arial" w:eastAsia="Arial" w:hAnsi="Arial"/>
                <w:sz w:val="14"/>
                <w:szCs w:val="14"/>
                <w:color w:val="auto"/>
                <w:w w:val="97"/>
              </w:rPr>
              <w:t>Cinema Exhibition</w:t>
            </w: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Knutsford Avenue and Fulham Street,</w:t>
            </w:r>
          </w:p>
        </w:tc>
        <w:tc>
          <w:tcPr>
            <w:tcW w:w="0" w:type="dxa"/>
            <w:vAlign w:val="bottom"/>
          </w:tcPr>
          <w:p>
            <w:pPr>
              <w:spacing w:after="0"/>
              <w:rPr>
                <w:sz w:val="1"/>
                <w:szCs w:val="1"/>
                <w:color w:val="auto"/>
              </w:rPr>
            </w:pPr>
          </w:p>
        </w:tc>
      </w:tr>
      <w:tr>
        <w:trPr>
          <w:trHeight w:val="167"/>
        </w:trPr>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Belmont, WA</w:t>
            </w: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rPr>
              <w:t>6</w:t>
            </w: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York Street HQ Office</w:t>
            </w:r>
          </w:p>
        </w:tc>
        <w:tc>
          <w:tcPr>
            <w:tcW w:w="14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9,000 / 0</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1,820</w:t>
            </w:r>
          </w:p>
        </w:tc>
        <w:tc>
          <w:tcPr>
            <w:tcW w:w="80" w:type="dxa"/>
            <w:vAlign w:val="bottom"/>
          </w:tcPr>
          <w:p>
            <w:pPr>
              <w:spacing w:after="0"/>
              <w:rPr>
                <w:sz w:val="15"/>
                <w:szCs w:val="15"/>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98 York Street, South Melbourne, VIC</w:t>
            </w: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Maitland Cinema</w:t>
            </w:r>
          </w:p>
        </w:tc>
        <w:tc>
          <w:tcPr>
            <w:tcW w:w="14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3"/>
              </w:rPr>
              <w:t>0 / 22,000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i w:val="1"/>
                <w:iCs w:val="1"/>
                <w:color w:val="auto"/>
                <w:w w:val="92"/>
              </w:rPr>
              <w:t>n/a</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7"/>
              </w:rPr>
              <w:t>Cinema Exhibition</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9/1A Ken Tubman Drive, Maitland, NSW</w:t>
            </w: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rPr>
              <w:t>8</w:t>
            </w: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Bundaberg Cinema</w:t>
            </w:r>
          </w:p>
        </w:tc>
        <w:tc>
          <w:tcPr>
            <w:tcW w:w="146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0 / 14,000</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i w:val="1"/>
                <w:iCs w:val="1"/>
                <w:color w:val="auto"/>
                <w:w w:val="92"/>
              </w:rPr>
              <w:t>n/a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1,098</w:t>
            </w:r>
          </w:p>
        </w:tc>
        <w:tc>
          <w:tcPr>
            <w:tcW w:w="80" w:type="dxa"/>
            <w:vAlign w:val="bottom"/>
          </w:tcPr>
          <w:p>
            <w:pPr>
              <w:spacing w:after="0"/>
              <w:rPr>
                <w:sz w:val="15"/>
                <w:szCs w:val="15"/>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Cinema Exhibition</w:t>
            </w:r>
          </w:p>
        </w:tc>
        <w:tc>
          <w:tcPr>
            <w:tcW w:w="2960" w:type="dxa"/>
            <w:vAlign w:val="bottom"/>
          </w:tcPr>
          <w:p>
            <w:pPr>
              <w:spacing w:after="0"/>
              <w:rPr>
                <w:sz w:val="20"/>
                <w:szCs w:val="20"/>
                <w:color w:val="auto"/>
              </w:rPr>
            </w:pPr>
            <w:r>
              <w:rPr>
                <w:rFonts w:ascii="Arial" w:cs="Arial" w:eastAsia="Arial" w:hAnsi="Arial"/>
                <w:sz w:val="14"/>
                <w:szCs w:val="14"/>
                <w:color w:val="auto"/>
              </w:rPr>
              <w:t>1 Johanna Boulevard, Bundaberg, QLD</w:t>
            </w:r>
          </w:p>
        </w:tc>
        <w:tc>
          <w:tcPr>
            <w:tcW w:w="0" w:type="dxa"/>
            <w:vAlign w:val="bottom"/>
          </w:tcPr>
          <w:p>
            <w:pPr>
              <w:spacing w:after="0"/>
              <w:rPr>
                <w:sz w:val="1"/>
                <w:szCs w:val="1"/>
                <w:color w:val="auto"/>
              </w:rPr>
            </w:pPr>
          </w:p>
        </w:tc>
      </w:tr>
      <w:tr>
        <w:trPr>
          <w:trHeight w:val="34"/>
        </w:trPr>
        <w:tc>
          <w:tcPr>
            <w:tcW w:w="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Zealand</w:t>
            </w: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Courtenay Central</w:t>
            </w:r>
            <w:r>
              <w:rPr>
                <w:rFonts w:ascii="Arial" w:cs="Arial" w:eastAsia="Arial" w:hAnsi="Arial"/>
                <w:sz w:val="7"/>
                <w:szCs w:val="7"/>
                <w:color w:val="auto"/>
              </w:rPr>
              <w:t>(6)</w:t>
            </w:r>
          </w:p>
        </w:tc>
        <w:tc>
          <w:tcPr>
            <w:tcW w:w="146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43,000 / 59,000</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11,859</w:t>
            </w:r>
          </w:p>
        </w:tc>
        <w:tc>
          <w:tcPr>
            <w:tcW w:w="80" w:type="dxa"/>
            <w:vAlign w:val="bottom"/>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Cinema Exhibition /</w:t>
            </w:r>
          </w:p>
        </w:tc>
        <w:tc>
          <w:tcPr>
            <w:tcW w:w="2960" w:type="dxa"/>
            <w:vAlign w:val="bottom"/>
          </w:tcPr>
          <w:p>
            <w:pPr>
              <w:spacing w:after="0"/>
              <w:rPr>
                <w:sz w:val="20"/>
                <w:szCs w:val="20"/>
                <w:color w:val="auto"/>
              </w:rPr>
            </w:pPr>
            <w:r>
              <w:rPr>
                <w:rFonts w:ascii="Arial" w:cs="Arial" w:eastAsia="Arial" w:hAnsi="Arial"/>
                <w:sz w:val="14"/>
                <w:szCs w:val="14"/>
                <w:color w:val="auto"/>
              </w:rPr>
              <w:t>100 Courtenay Place, Wellington</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3160" w:type="dxa"/>
            <w:vAlign w:val="bottom"/>
            <w:gridSpan w:val="7"/>
          </w:tcPr>
          <w:p>
            <w:pPr>
              <w:ind w:left="20"/>
              <w:spacing w:after="0"/>
              <w:rPr>
                <w:sz w:val="20"/>
                <w:szCs w:val="20"/>
                <w:color w:val="auto"/>
              </w:rPr>
            </w:pPr>
            <w:r>
              <w:rPr>
                <w:rFonts w:ascii="Arial" w:cs="Arial" w:eastAsia="Arial" w:hAnsi="Arial"/>
                <w:sz w:val="14"/>
                <w:szCs w:val="14"/>
                <w:color w:val="auto"/>
                <w:w w:val="95"/>
              </w:rPr>
              <w:t>Plus, an additional 37,000 feet of land currently used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Real Estate</w:t>
            </w:r>
          </w:p>
        </w:tc>
        <w:tc>
          <w:tcPr>
            <w:tcW w:w="2960" w:type="dxa"/>
            <w:vAlign w:val="bottom"/>
          </w:tcPr>
          <w:p>
            <w:pPr>
              <w:spacing w:after="0"/>
              <w:rPr>
                <w:sz w:val="20"/>
                <w:szCs w:val="20"/>
                <w:color w:val="auto"/>
              </w:rPr>
            </w:pPr>
            <w:r>
              <w:rPr>
                <w:rFonts w:ascii="Arial" w:cs="Arial" w:eastAsia="Arial" w:hAnsi="Arial"/>
                <w:sz w:val="14"/>
                <w:szCs w:val="14"/>
                <w:color w:val="auto"/>
              </w:rPr>
              <w:t>24 Tory Street, Wellington (Parking)</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16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as on-grade car parking where our multi-story car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park once stood.</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Dunedin Cinema</w:t>
            </w:r>
          </w:p>
        </w:tc>
        <w:tc>
          <w:tcPr>
            <w:tcW w:w="14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3"/>
              </w:rPr>
              <w:t>0 / 25,000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i w:val="1"/>
                <w:iCs w:val="1"/>
                <w:color w:val="auto"/>
                <w:w w:val="92"/>
              </w:rPr>
              <w:t>n/a</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5,875</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7"/>
              </w:rPr>
              <w:t>Cinema Exhibition</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33 The Octagon, Dunedin</w:t>
            </w: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Napier Cinema</w:t>
            </w:r>
          </w:p>
        </w:tc>
        <w:tc>
          <w:tcPr>
            <w:tcW w:w="146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6,000 / 18,000</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5"/>
                <w:szCs w:val="15"/>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Cinema Exhibition</w:t>
            </w:r>
          </w:p>
        </w:tc>
        <w:tc>
          <w:tcPr>
            <w:tcW w:w="2960" w:type="dxa"/>
            <w:vAlign w:val="bottom"/>
          </w:tcPr>
          <w:p>
            <w:pPr>
              <w:spacing w:after="0"/>
              <w:rPr>
                <w:sz w:val="20"/>
                <w:szCs w:val="20"/>
                <w:color w:val="auto"/>
              </w:rPr>
            </w:pPr>
            <w:r>
              <w:rPr>
                <w:rFonts w:ascii="Arial" w:cs="Arial" w:eastAsia="Arial" w:hAnsi="Arial"/>
                <w:sz w:val="14"/>
                <w:szCs w:val="14"/>
                <w:color w:val="auto"/>
              </w:rPr>
              <w:t>154 Station Street, Napier</w:t>
            </w: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Invercargill Cinema</w:t>
            </w:r>
          </w:p>
        </w:tc>
        <w:tc>
          <w:tcPr>
            <w:tcW w:w="14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3"/>
              </w:rPr>
              <w:t>0 / 20,000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i w:val="1"/>
                <w:iCs w:val="1"/>
                <w:color w:val="auto"/>
                <w:w w:val="92"/>
              </w:rPr>
              <w:t>n/a</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7"/>
              </w:rPr>
              <w:t>Cinema Exhibition</w:t>
            </w: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29 Dee Street, Invercargill</w:t>
            </w: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rPr>
              <w:t>5</w:t>
            </w:r>
          </w:p>
        </w:tc>
        <w:tc>
          <w:tcPr>
            <w:tcW w:w="1620" w:type="dxa"/>
            <w:vAlign w:val="bottom"/>
            <w:gridSpan w:val="4"/>
          </w:tcPr>
          <w:p>
            <w:pPr>
              <w:ind w:left="20"/>
              <w:spacing w:after="0"/>
              <w:rPr>
                <w:sz w:val="20"/>
                <w:szCs w:val="20"/>
                <w:color w:val="auto"/>
              </w:rPr>
            </w:pPr>
            <w:r>
              <w:rPr>
                <w:rFonts w:ascii="Arial" w:cs="Arial" w:eastAsia="Arial" w:hAnsi="Arial"/>
                <w:sz w:val="14"/>
                <w:szCs w:val="14"/>
                <w:color w:val="auto"/>
              </w:rPr>
              <w:t>Rotorua Cinema</w:t>
            </w:r>
          </w:p>
        </w:tc>
        <w:tc>
          <w:tcPr>
            <w:tcW w:w="146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0 / 19,000</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i w:val="1"/>
                <w:iCs w:val="1"/>
                <w:color w:val="auto"/>
                <w:w w:val="92"/>
              </w:rPr>
              <w:t>n/a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1,630</w:t>
            </w:r>
          </w:p>
        </w:tc>
        <w:tc>
          <w:tcPr>
            <w:tcW w:w="80" w:type="dxa"/>
            <w:vAlign w:val="bottom"/>
          </w:tcPr>
          <w:p>
            <w:pPr>
              <w:spacing w:after="0"/>
              <w:rPr>
                <w:sz w:val="15"/>
                <w:szCs w:val="15"/>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Cinema Exhibition</w:t>
            </w:r>
          </w:p>
        </w:tc>
        <w:tc>
          <w:tcPr>
            <w:tcW w:w="2960" w:type="dxa"/>
            <w:vAlign w:val="bottom"/>
          </w:tcPr>
          <w:p>
            <w:pPr>
              <w:spacing w:after="0"/>
              <w:rPr>
                <w:sz w:val="20"/>
                <w:szCs w:val="20"/>
                <w:color w:val="auto"/>
              </w:rPr>
            </w:pPr>
            <w:r>
              <w:rPr>
                <w:rFonts w:ascii="Arial" w:cs="Arial" w:eastAsia="Arial" w:hAnsi="Arial"/>
                <w:sz w:val="14"/>
                <w:szCs w:val="14"/>
                <w:color w:val="auto"/>
              </w:rPr>
              <w:t>1281 Eruera Street, Rotorua</w:t>
            </w: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7"/>
                <w:szCs w:val="7"/>
                <w:b w:val="1"/>
                <w:bCs w:val="1"/>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173,804</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40" w:right="80" w:hanging="320"/>
        <w:spacing w:after="0" w:line="248" w:lineRule="auto"/>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640" w:hanging="320"/>
        <w:spacing w:after="0" w:line="221"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percentage of rental square footage currently leased or licensed to third parties.</w:t>
      </w:r>
    </w:p>
    <w:p>
      <w:pPr>
        <w:ind w:left="640" w:right="780" w:hanging="320"/>
        <w:spacing w:after="0" w:line="221"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Refers to the net carrying value of the land and buildings of the property presented as “Operating Property” in our Consolidated Balance Sheet as of December 31, 2019 (net of any impairments recorded).</w:t>
      </w:r>
    </w:p>
    <w:p>
      <w:pPr>
        <w:ind w:left="640" w:right="80" w:hanging="320"/>
        <w:spacing w:after="0" w:line="221"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Owned by a limited liability company in which we hold a 75% managing member interest. The remaining 25% is owned by Sutton Hill Capital, LLC (“SHC”), a company owned in equal parts by the Cotter Estate or the Cotter Trust and a third party.</w:t>
      </w:r>
    </w:p>
    <w:p>
      <w:pPr>
        <w:ind w:left="640" w:hanging="320"/>
        <w:spacing w:after="0" w:line="221"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Cannon Park City and Discount Centers are operated as a single ETC.</w:t>
      </w:r>
    </w:p>
    <w:p>
      <w:pPr>
        <w:ind w:left="640" w:right="640" w:hanging="320"/>
        <w:spacing w:after="0" w:line="238" w:lineRule="auto"/>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Courtenay Central parking structure has been demolished due to damage suffered as a result of an earthquake on November 14, 2016. For further information on the on-going development projects of these properties, refer to succeeding section "</w:t>
      </w:r>
      <w:r>
        <w:rPr>
          <w:rFonts w:ascii="Arial" w:cs="Arial" w:eastAsia="Arial" w:hAnsi="Arial"/>
          <w:sz w:val="13"/>
          <w:szCs w:val="13"/>
          <w:i w:val="1"/>
          <w:iCs w:val="1"/>
          <w:color w:val="auto"/>
        </w:rPr>
        <w:t>Investment and Development Property.</w:t>
      </w:r>
      <w:r>
        <w:rPr>
          <w:rFonts w:ascii="Arial" w:cs="Arial" w:eastAsia="Arial" w:hAnsi="Arial"/>
          <w:sz w:val="13"/>
          <w:szCs w:val="13"/>
          <w:color w:val="auto"/>
        </w:rPr>
        <w:t>"</w:t>
      </w:r>
    </w:p>
    <w:p>
      <w:pPr>
        <w:ind w:left="640" w:right="440" w:hanging="320"/>
        <w:spacing w:after="0" w:line="237"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schedule does not include (i) our leasehold assets on cinemas under leased-facility model, (ii) those portions of the owned assets that are not income-producing or purely used for administrative purposes, and (iii) our assets on our legacy business principally in Pennsylvania.</w:t>
      </w: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4880" w:hanging="156"/>
        <w:spacing w:after="0"/>
        <w:tabs>
          <w:tab w:leader="none" w:pos="4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LONG-TERM LEASEHOLD OPERATING PROPERTY</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certain cases, we have long-term leases that we view more akin to real estate investments than cinema leases. As of December 31, 2019, we had approximately 90,000 square feet of space subject to such long-term leases, which are reported as part of our Cinema Exhibition segment, detailed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Square Feet</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of Improvements</w:t>
            </w:r>
          </w:p>
        </w:tc>
        <w:tc>
          <w:tcPr>
            <w:tcW w:w="1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Percentage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99"/>
              <w:spacing w:after="0" w:line="149" w:lineRule="exact"/>
              <w:rPr>
                <w:sz w:val="20"/>
                <w:szCs w:val="20"/>
                <w:color w:val="auto"/>
              </w:rPr>
            </w:pPr>
            <w:r>
              <w:rPr>
                <w:rFonts w:ascii="Arial" w:cs="Arial" w:eastAsia="Arial" w:hAnsi="Arial"/>
                <w:sz w:val="14"/>
                <w:szCs w:val="14"/>
                <w:b w:val="1"/>
                <w:bCs w:val="1"/>
                <w:i w:val="1"/>
                <w:iCs w:val="1"/>
                <w:color w:val="auto"/>
                <w:w w:val="89"/>
              </w:rPr>
              <w:t>Net Book Value</w:t>
            </w:r>
            <w:r>
              <w:rPr>
                <w:rFonts w:ascii="Arial" w:cs="Arial" w:eastAsia="Arial" w:hAnsi="Arial"/>
                <w:sz w:val="7"/>
                <w:szCs w:val="7"/>
                <w:b w:val="1"/>
                <w:bCs w:val="1"/>
                <w:i w:val="1"/>
                <w:iCs w:val="1"/>
                <w:color w:val="auto"/>
                <w:w w:val="89"/>
              </w:rPr>
              <w:t>(3)</w:t>
            </w: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(rental/</w:t>
            </w: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Arial" w:cs="Arial" w:eastAsia="Arial" w:hAnsi="Arial"/>
                <w:sz w:val="14"/>
                <w:szCs w:val="14"/>
                <w:i w:val="1"/>
                <w:iCs w:val="1"/>
                <w:color w:val="auto"/>
                <w:w w:val="97"/>
              </w:rPr>
              <w:t>(US Dollars in</w:t>
            </w:r>
          </w:p>
        </w:tc>
        <w:tc>
          <w:tcPr>
            <w:tcW w:w="0" w:type="dxa"/>
            <w:vAlign w:val="bottom"/>
          </w:tcPr>
          <w:p>
            <w:pPr>
              <w:spacing w:after="0"/>
              <w:rPr>
                <w:sz w:val="1"/>
                <w:szCs w:val="1"/>
                <w:color w:val="auto"/>
              </w:rPr>
            </w:pPr>
          </w:p>
        </w:tc>
      </w:tr>
      <w:tr>
        <w:trPr>
          <w:trHeight w:val="178"/>
        </w:trPr>
        <w:tc>
          <w:tcPr>
            <w:tcW w:w="5380" w:type="dxa"/>
            <w:vAlign w:val="bottom"/>
            <w:gridSpan w:val="2"/>
            <w:vMerge w:val="continue"/>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entertainment)</w:t>
            </w:r>
            <w:r>
              <w:rPr>
                <w:rFonts w:ascii="Arial" w:cs="Arial" w:eastAsia="Arial" w:hAnsi="Arial"/>
                <w:sz w:val="7"/>
                <w:szCs w:val="7"/>
                <w:b w:val="1"/>
                <w:bCs w:val="1"/>
                <w:color w:val="auto"/>
                <w:w w:val="94"/>
              </w:rPr>
              <w:t>(1)</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Leased</w:t>
            </w:r>
            <w:r>
              <w:rPr>
                <w:rFonts w:ascii="Arial" w:cs="Arial" w:eastAsia="Arial" w:hAnsi="Arial"/>
                <w:sz w:val="7"/>
                <w:szCs w:val="7"/>
                <w:b w:val="1"/>
                <w:bCs w:val="1"/>
                <w:color w:val="auto"/>
                <w:w w:val="87"/>
              </w:rPr>
              <w:t>(2)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9"/>
              <w:spacing w:after="0"/>
              <w:rPr>
                <w:sz w:val="20"/>
                <w:szCs w:val="20"/>
                <w:color w:val="auto"/>
              </w:rPr>
            </w:pPr>
            <w:r>
              <w:rPr>
                <w:rFonts w:ascii="Arial" w:cs="Arial" w:eastAsia="Arial" w:hAnsi="Arial"/>
                <w:sz w:val="14"/>
                <w:szCs w:val="14"/>
                <w:i w:val="1"/>
                <w:iCs w:val="1"/>
                <w:color w:val="auto"/>
                <w:w w:val="92"/>
              </w:rPr>
              <w:t>thousands)</w:t>
            </w:r>
          </w:p>
        </w:tc>
        <w:tc>
          <w:tcPr>
            <w:tcW w:w="0" w:type="dxa"/>
            <w:vAlign w:val="bottom"/>
          </w:tcPr>
          <w:p>
            <w:pPr>
              <w:spacing w:after="0"/>
              <w:rPr>
                <w:sz w:val="1"/>
                <w:szCs w:val="1"/>
                <w:color w:val="auto"/>
              </w:rPr>
            </w:pPr>
          </w:p>
        </w:tc>
      </w:tr>
      <w:tr>
        <w:trPr>
          <w:trHeight w:val="216"/>
        </w:trPr>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 United States</w:t>
            </w: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Manville</w:t>
            </w:r>
          </w:p>
        </w:tc>
        <w:tc>
          <w:tcPr>
            <w:tcW w:w="15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0 / 46,000</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i w:val="1"/>
                <w:iCs w:val="1"/>
                <w:color w:val="auto"/>
                <w:w w:val="87"/>
              </w:rPr>
              <w:t>n/a</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0" w:type="dxa"/>
            <w:vAlign w:val="bottom"/>
          </w:tcPr>
          <w:p>
            <w:pPr>
              <w:spacing w:after="0"/>
              <w:rPr>
                <w:sz w:val="1"/>
                <w:szCs w:val="1"/>
                <w:color w:val="auto"/>
              </w:rPr>
            </w:pPr>
          </w:p>
        </w:tc>
      </w:tr>
      <w:tr>
        <w:trPr>
          <w:trHeight w:val="22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In Australia</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Waurn Ponds</w:t>
            </w:r>
          </w:p>
        </w:tc>
        <w:tc>
          <w:tcPr>
            <w:tcW w:w="15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6,000 / 38,000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17"/>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22,728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right="80" w:hanging="320"/>
        <w:spacing w:after="0" w:line="248" w:lineRule="auto"/>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640" w:hanging="320"/>
        <w:spacing w:after="0" w:line="221"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percentage of rental square footage currently leased to third parties.</w:t>
      </w:r>
    </w:p>
    <w:p>
      <w:pPr>
        <w:ind w:left="640" w:right="80" w:hanging="320"/>
        <w:spacing w:after="0" w:line="237"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Refers to the net carrying value of the leasehold property presented as “Operating Property” in our Consolidated Balance Sheet as of December 31, 2019 (net of any impairments recorded).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DEVELOPMENT PROPERTY</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are engaged in several investment and development projects relative to our currently undeveloped parcels of land. In addition, we are currently executing, or still pursuing to execute, our redevelopment plans on several of our existing developed properties to take them to their highest and best use. The following table summarizes our investment and development projects as of December 31, 2019:</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Book</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Value</w:t>
            </w:r>
            <w:r>
              <w:rPr>
                <w:rFonts w:ascii="Arial" w:cs="Arial" w:eastAsia="Arial" w:hAnsi="Arial"/>
                <w:sz w:val="7"/>
                <w:szCs w:val="7"/>
                <w:b w:val="1"/>
                <w:bCs w:val="1"/>
                <w:color w:val="auto"/>
                <w:w w:val="91"/>
              </w:rPr>
              <w:t>(2)</w:t>
            </w:r>
          </w:p>
        </w:tc>
        <w:tc>
          <w:tcPr>
            <w:tcW w:w="4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w:t>
            </w:r>
            <w:r>
              <w:rPr>
                <w:rFonts w:ascii="Arial" w:cs="Arial" w:eastAsia="Arial" w:hAnsi="Arial"/>
                <w:sz w:val="7"/>
                <w:szCs w:val="7"/>
                <w:b w:val="1"/>
                <w:bCs w:val="1"/>
                <w:color w:val="auto"/>
              </w:rPr>
              <w:t>(1)</w:t>
            </w:r>
          </w:p>
        </w:tc>
        <w:tc>
          <w:tcPr>
            <w:tcW w:w="13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Acreage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7"/>
              </w:rPr>
              <w:t>(US Dollars</w:t>
            </w:r>
          </w:p>
        </w:tc>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4"/>
        </w:trPr>
        <w:tc>
          <w:tcPr>
            <w:tcW w:w="2700" w:type="dxa"/>
            <w:vAlign w:val="bottom"/>
            <w:gridSpan w:val="3"/>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2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9"/>
              </w:rPr>
              <w:t>United States</w:t>
            </w:r>
          </w:p>
        </w:tc>
        <w:tc>
          <w:tcPr>
            <w:tcW w:w="1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9940"/>
          </w:cols>
          <w:pgMar w:left="980" w:top="121" w:right="979" w:bottom="1440" w:gutter="0" w:footer="0" w:header="0"/>
        </w:sectPr>
      </w:pPr>
    </w:p>
    <w:tbl>
      <w:tblPr>
        <w:tblLayout w:type="fixed"/>
        <w:tblInd w:w="0" w:type="dxa"/>
        <w:tblCellMar>
          <w:top w:w="0" w:type="dxa"/>
          <w:left w:w="0" w:type="dxa"/>
          <w:bottom w:w="0" w:type="dxa"/>
          <w:right w:w="0" w:type="dxa"/>
        </w:tblCellMar>
      </w:tblPr>
      <w:tr>
        <w:trPr>
          <w:trHeight w:val="182"/>
        </w:trPr>
        <w:tc>
          <w:tcPr>
            <w:tcW w:w="2580" w:type="dxa"/>
            <w:vAlign w:val="bottom"/>
            <w:gridSpan w:val="3"/>
          </w:tcPr>
          <w:p>
            <w:pPr>
              <w:ind w:left="100"/>
              <w:spacing w:after="0"/>
              <w:rPr>
                <w:sz w:val="20"/>
                <w:szCs w:val="20"/>
                <w:color w:val="auto"/>
              </w:rPr>
            </w:pPr>
            <w:r>
              <w:rPr>
                <w:rFonts w:ascii="Arial" w:cs="Arial" w:eastAsia="Arial" w:hAnsi="Arial"/>
                <w:sz w:val="14"/>
                <w:szCs w:val="14"/>
                <w:color w:val="auto"/>
              </w:rPr>
              <w:t>44 Union Square</w:t>
            </w:r>
          </w:p>
        </w:tc>
        <w:tc>
          <w:tcPr>
            <w:tcW w:w="1400" w:type="dxa"/>
            <w:vAlign w:val="bottom"/>
          </w:tcPr>
          <w:p>
            <w:pPr>
              <w:jc w:val="center"/>
              <w:ind w:left="68"/>
              <w:spacing w:after="0"/>
              <w:rPr>
                <w:sz w:val="20"/>
                <w:szCs w:val="20"/>
                <w:color w:val="auto"/>
              </w:rPr>
            </w:pPr>
            <w:r>
              <w:rPr>
                <w:rFonts w:ascii="Arial" w:cs="Arial" w:eastAsia="Arial" w:hAnsi="Arial"/>
                <w:sz w:val="14"/>
                <w:szCs w:val="14"/>
                <w:color w:val="auto"/>
                <w:w w:val="92"/>
              </w:rPr>
              <w:t>0.3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580" w:type="dxa"/>
            <w:vAlign w:val="bottom"/>
            <w:gridSpan w:val="3"/>
          </w:tcPr>
          <w:p>
            <w:pPr>
              <w:ind w:left="100"/>
              <w:spacing w:after="0"/>
              <w:rPr>
                <w:sz w:val="20"/>
                <w:szCs w:val="20"/>
                <w:color w:val="auto"/>
              </w:rPr>
            </w:pPr>
            <w:r>
              <w:rPr>
                <w:rFonts w:ascii="Arial" w:cs="Arial" w:eastAsia="Arial" w:hAnsi="Arial"/>
                <w:sz w:val="14"/>
                <w:szCs w:val="14"/>
                <w:color w:val="auto"/>
              </w:rPr>
              <w:t>Coachella, CA</w:t>
            </w: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1"/>
              </w:rPr>
              <w:t>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Australia</w:t>
            </w:r>
          </w:p>
        </w:tc>
        <w:tc>
          <w:tcPr>
            <w:tcW w:w="200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80" w:type="dxa"/>
            <w:vAlign w:val="bottom"/>
            <w:gridSpan w:val="3"/>
          </w:tcPr>
          <w:p>
            <w:pPr>
              <w:ind w:left="100"/>
              <w:spacing w:after="0"/>
              <w:rPr>
                <w:sz w:val="20"/>
                <w:szCs w:val="20"/>
                <w:color w:val="auto"/>
              </w:rPr>
            </w:pPr>
            <w:r>
              <w:rPr>
                <w:rFonts w:ascii="Arial" w:cs="Arial" w:eastAsia="Arial" w:hAnsi="Arial"/>
                <w:sz w:val="14"/>
                <w:szCs w:val="14"/>
                <w:color w:val="auto"/>
              </w:rPr>
              <w:t>1 Auburn Redyard, Sydney, New South</w:t>
            </w:r>
          </w:p>
        </w:tc>
        <w:tc>
          <w:tcPr>
            <w:tcW w:w="1400" w:type="dxa"/>
            <w:vAlign w:val="bottom"/>
          </w:tcPr>
          <w:p>
            <w:pPr>
              <w:jc w:val="center"/>
              <w:ind w:left="68"/>
              <w:spacing w:after="0"/>
              <w:rPr>
                <w:sz w:val="20"/>
                <w:szCs w:val="20"/>
                <w:color w:val="auto"/>
              </w:rPr>
            </w:pPr>
            <w:r>
              <w:rPr>
                <w:rFonts w:ascii="Arial" w:cs="Arial" w:eastAsia="Arial" w:hAnsi="Arial"/>
                <w:sz w:val="14"/>
                <w:szCs w:val="14"/>
                <w:color w:val="auto"/>
                <w:w w:val="92"/>
              </w:rPr>
              <w:t>2.6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gridSpan w:val="3"/>
          </w:tcPr>
          <w:p>
            <w:pPr>
              <w:ind w:left="100"/>
              <w:spacing w:after="0"/>
              <w:rPr>
                <w:sz w:val="20"/>
                <w:szCs w:val="20"/>
                <w:color w:val="auto"/>
              </w:rPr>
            </w:pPr>
            <w:r>
              <w:rPr>
                <w:rFonts w:ascii="Arial" w:cs="Arial" w:eastAsia="Arial" w:hAnsi="Arial"/>
                <w:sz w:val="14"/>
                <w:szCs w:val="14"/>
                <w:color w:val="auto"/>
              </w:rPr>
              <w:t>Wales</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1"/>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New Zealand</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Manukau, Auckland</w:t>
            </w:r>
          </w:p>
        </w:tc>
        <w:tc>
          <w:tcPr>
            <w:tcW w:w="1400" w:type="dxa"/>
            <w:vAlign w:val="bottom"/>
          </w:tcPr>
          <w:p>
            <w:pPr>
              <w:jc w:val="center"/>
              <w:ind w:left="68"/>
              <w:spacing w:after="0"/>
              <w:rPr>
                <w:sz w:val="20"/>
                <w:szCs w:val="20"/>
                <w:color w:val="auto"/>
              </w:rPr>
            </w:pPr>
            <w:r>
              <w:rPr>
                <w:rFonts w:ascii="Arial" w:cs="Arial" w:eastAsia="Arial" w:hAnsi="Arial"/>
                <w:sz w:val="14"/>
                <w:szCs w:val="14"/>
                <w:color w:val="auto"/>
                <w:w w:val="90"/>
              </w:rPr>
              <w:t>64.0-acres zoned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6"/>
              </w:rPr>
              <w:t>light industrial use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0" w:type="dxa"/>
            <w:vAlign w:val="bottom"/>
          </w:tcPr>
          <w:p>
            <w:pPr>
              <w:jc w:val="center"/>
              <w:ind w:left="68"/>
              <w:spacing w:after="0" w:line="149" w:lineRule="exact"/>
              <w:rPr>
                <w:sz w:val="20"/>
                <w:szCs w:val="20"/>
                <w:color w:val="auto"/>
              </w:rPr>
            </w:pPr>
            <w:r>
              <w:rPr>
                <w:rFonts w:ascii="Arial" w:cs="Arial" w:eastAsia="Arial" w:hAnsi="Arial"/>
                <w:sz w:val="14"/>
                <w:szCs w:val="14"/>
                <w:color w:val="auto"/>
                <w:w w:val="89"/>
              </w:rPr>
              <w:t>and 6.4-acres zoned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jc w:val="center"/>
              <w:ind w:left="48"/>
              <w:spacing w:after="0"/>
              <w:rPr>
                <w:sz w:val="20"/>
                <w:szCs w:val="20"/>
                <w:color w:val="auto"/>
              </w:rPr>
            </w:pPr>
            <w:r>
              <w:rPr>
                <w:rFonts w:ascii="Arial" w:cs="Arial" w:eastAsia="Arial" w:hAnsi="Arial"/>
                <w:sz w:val="14"/>
                <w:szCs w:val="14"/>
                <w:color w:val="auto"/>
                <w:w w:val="93"/>
              </w:rPr>
              <w:t>heavy industrial use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2580" w:type="dxa"/>
            <w:vAlign w:val="bottom"/>
            <w:gridSpan w:val="3"/>
          </w:tcPr>
          <w:p>
            <w:pPr>
              <w:ind w:left="100"/>
              <w:spacing w:after="0"/>
              <w:rPr>
                <w:sz w:val="20"/>
                <w:szCs w:val="20"/>
                <w:color w:val="auto"/>
              </w:rPr>
            </w:pPr>
            <w:r>
              <w:rPr>
                <w:rFonts w:ascii="Arial" w:cs="Arial" w:eastAsia="Arial" w:hAnsi="Arial"/>
                <w:sz w:val="14"/>
                <w:szCs w:val="14"/>
                <w:color w:val="auto"/>
              </w:rPr>
              <w:t>Courtenay Central, Wellington</w:t>
            </w:r>
          </w:p>
        </w:tc>
        <w:tc>
          <w:tcPr>
            <w:tcW w:w="1400" w:type="dxa"/>
            <w:vAlign w:val="bottom"/>
          </w:tcPr>
          <w:p>
            <w:pPr>
              <w:jc w:val="center"/>
              <w:ind w:left="68"/>
              <w:spacing w:after="0"/>
              <w:rPr>
                <w:sz w:val="20"/>
                <w:szCs w:val="20"/>
                <w:color w:val="auto"/>
              </w:rPr>
            </w:pPr>
            <w:r>
              <w:rPr>
                <w:rFonts w:ascii="Arial" w:cs="Arial" w:eastAsia="Arial" w:hAnsi="Arial"/>
                <w:sz w:val="14"/>
                <w:szCs w:val="14"/>
                <w:color w:val="auto"/>
                <w:w w:val="92"/>
              </w:rPr>
              <w:t>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4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2580" w:type="dxa"/>
            <w:vAlign w:val="bottom"/>
            <w:gridSpan w:val="3"/>
            <w:vMerge w:val="continue"/>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580" w:right="460" w:hanging="519"/>
        <w:spacing w:after="0" w:line="230" w:lineRule="auto"/>
        <w:tabs>
          <w:tab w:leader="none" w:pos="560" w:val="left"/>
        </w:tabs>
        <w:rPr>
          <w:sz w:val="20"/>
          <w:szCs w:val="20"/>
          <w:color w:val="auto"/>
        </w:rPr>
      </w:pPr>
      <w:r>
        <w:rPr>
          <w:rFonts w:ascii="Arial" w:cs="Arial" w:eastAsia="Arial" w:hAnsi="Arial"/>
          <w:sz w:val="14"/>
          <w:szCs w:val="14"/>
          <w:color w:val="auto"/>
        </w:rPr>
        <w:t>88,725</w:t>
        <w:tab/>
        <w:t>The construction phase of this redevelopment project is substantially complete. We are now in the lease-up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-183515</wp:posOffset>
            </wp:positionV>
            <wp:extent cx="630936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9360" cy="188595"/>
                    </a:xfrm>
                    <a:prstGeom prst="rect">
                      <a:avLst/>
                    </a:prstGeom>
                    <a:noFill/>
                  </pic:spPr>
                </pic:pic>
              </a:graphicData>
            </a:graphic>
          </wp:anchor>
        </w:drawing>
      </w:r>
    </w:p>
    <w:p>
      <w:pPr>
        <w:ind w:left="580" w:right="140" w:hanging="439"/>
        <w:spacing w:after="0" w:line="229" w:lineRule="auto"/>
        <w:tabs>
          <w:tab w:leader="none" w:pos="560" w:val="left"/>
        </w:tabs>
        <w:rPr>
          <w:sz w:val="20"/>
          <w:szCs w:val="20"/>
          <w:color w:val="auto"/>
        </w:rPr>
      </w:pPr>
      <w:r>
        <w:rPr>
          <w:rFonts w:ascii="Arial" w:cs="Arial" w:eastAsia="Arial" w:hAnsi="Arial"/>
          <w:sz w:val="14"/>
          <w:szCs w:val="14"/>
          <w:color w:val="auto"/>
        </w:rPr>
        <w:t>4,351</w:t>
        <w:tab/>
        <w:t>We hold this property for potential long-term development. During 2018, we cleared and secured the property. The property is zoned for residential and mixed-use purposes. We have no immediate plans for further development work on this site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-8255</wp:posOffset>
            </wp:positionV>
            <wp:extent cx="63093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line="164" w:lineRule="exact"/>
        <w:rPr>
          <w:sz w:val="20"/>
          <w:szCs w:val="20"/>
          <w:color w:val="auto"/>
        </w:rPr>
      </w:pPr>
    </w:p>
    <w:p>
      <w:pPr>
        <w:ind w:left="580" w:right="20" w:hanging="439"/>
        <w:spacing w:after="0" w:line="227" w:lineRule="auto"/>
        <w:tabs>
          <w:tab w:leader="none" w:pos="560" w:val="left"/>
        </w:tabs>
        <w:rPr>
          <w:sz w:val="20"/>
          <w:szCs w:val="20"/>
          <w:color w:val="auto"/>
        </w:rPr>
      </w:pPr>
      <w:r>
        <w:rPr>
          <w:rFonts w:ascii="Arial" w:cs="Arial" w:eastAsia="Arial" w:hAnsi="Arial"/>
          <w:sz w:val="14"/>
          <w:szCs w:val="14"/>
          <w:color w:val="auto"/>
        </w:rPr>
        <w:t>1,425</w:t>
        <w:tab/>
        <w:t>We continue our expansion of this center. During 2018, we acquired a 20,882 square foot infill property, improved with a 16,830 square foot office building rented to Telstra through July 2022. This acquisition has increased the square footage of the center to approximately 519,358 square feet and the rentable area to approximately 91,580 square feet. The property includes approximately 118,000 square feet of developable land. The net book value referenced for this property refers only to the above 118,000 square feet of developable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-6350</wp:posOffset>
            </wp:positionV>
            <wp:extent cx="63093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line="166" w:lineRule="exact"/>
        <w:rPr>
          <w:sz w:val="20"/>
          <w:szCs w:val="20"/>
          <w:color w:val="auto"/>
        </w:rPr>
      </w:pPr>
    </w:p>
    <w:p>
      <w:pPr>
        <w:ind w:left="580" w:right="40" w:hanging="519"/>
        <w:spacing w:after="0" w:line="224" w:lineRule="auto"/>
        <w:tabs>
          <w:tab w:leader="none" w:pos="560" w:val="left"/>
        </w:tabs>
        <w:rPr>
          <w:sz w:val="20"/>
          <w:szCs w:val="20"/>
          <w:color w:val="auto"/>
        </w:rPr>
      </w:pPr>
      <w:r>
        <w:rPr>
          <w:rFonts w:ascii="Arial" w:cs="Arial" w:eastAsia="Arial" w:hAnsi="Arial"/>
          <w:sz w:val="14"/>
          <w:szCs w:val="14"/>
          <w:color w:val="auto"/>
        </w:rPr>
        <w:t>12,143</w:t>
        <w:tab/>
        <w:t>Our property in Manukau (approximately 64.0-acres) is primarily zoned for light industrial uses. The remainder of this property (6.4-acres) is zoned for heavy industrial use. In 2019, we continued to work with adjoining landholders to jointly advance the construction of necessary infrastructure improvements. We estimate that our property will support approximately 1.6 million square feet of improvements.</w:t>
      </w:r>
    </w:p>
    <w:p>
      <w:pPr>
        <w:spacing w:after="0" w:line="1" w:lineRule="exact"/>
        <w:rPr>
          <w:sz w:val="20"/>
          <w:szCs w:val="20"/>
          <w:color w:val="auto"/>
        </w:rPr>
      </w:pPr>
    </w:p>
    <w:p>
      <w:pPr>
        <w:ind w:left="580" w:right="20" w:hanging="439"/>
        <w:spacing w:after="0" w:line="262" w:lineRule="auto"/>
        <w:tabs>
          <w:tab w:leader="none" w:pos="560" w:val="left"/>
        </w:tabs>
        <w:rPr>
          <w:sz w:val="20"/>
          <w:szCs w:val="20"/>
          <w:color w:val="auto"/>
        </w:rPr>
      </w:pPr>
      <w:r>
        <w:rPr>
          <w:rFonts w:ascii="Arial" w:cs="Arial" w:eastAsia="Arial" w:hAnsi="Arial"/>
          <w:sz w:val="12"/>
          <w:szCs w:val="12"/>
          <w:color w:val="auto"/>
        </w:rPr>
        <w:t>7,380</w:t>
        <w:tab/>
        <w:t>Damage from the 2016 earthquake necessitated demolition of our nine-story parking garage at our Tory Street site, and in January 2019, unrelated seismic issues have caused us to close major portions of the existing cinema and retail structure while we reevaluate the center for redevelopment as an entertainment themed urban center with a major food and grocery component, including the undeveloped adjacent Wakefield Street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-568960</wp:posOffset>
            </wp:positionV>
            <wp:extent cx="6309360" cy="5740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9360" cy="5740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114,024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22225</wp:posOffset>
            </wp:positionV>
            <wp:extent cx="8826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2650" cy="1714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4240" w:space="720"/>
            <w:col w:w="4980"/>
          </w:cols>
          <w:pgMar w:left="980" w:top="121" w:right="979" w:bottom="1440" w:gutter="0" w:footer="0" w:header="0"/>
          <w:type w:val="continuous"/>
        </w:sectPr>
      </w:pPr>
    </w:p>
    <w:p>
      <w:pPr>
        <w:ind w:left="640" w:hanging="320"/>
        <w:spacing w:after="0"/>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 number of our real estate holdings include additional land held for development. In addition, we have acquired certain parcels for future development.</w:t>
      </w:r>
    </w:p>
    <w:p>
      <w:pPr>
        <w:spacing w:after="0" w:line="11" w:lineRule="exact"/>
        <w:rPr>
          <w:rFonts w:ascii="Arial" w:cs="Arial" w:eastAsia="Arial" w:hAnsi="Arial"/>
          <w:sz w:val="13"/>
          <w:szCs w:val="13"/>
          <w:color w:val="auto"/>
        </w:rPr>
      </w:pPr>
    </w:p>
    <w:p>
      <w:pPr>
        <w:ind w:left="640" w:right="60" w:hanging="320"/>
        <w:spacing w:after="0" w:line="249" w:lineRule="auto"/>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Refers to the recorded values of our non-operating and currently in-development stage properties, which are comprised of land, building, development costs and capitalized interest, and presented as “Investment and Development Property” in our Consolidated Balance Sheet as of December 31, 2019. Not included in this number is the book value of those portions of such properties which have already been developed. For example, in the case of our Auburn Redyard shopping center, only the 118,000 square feet of developable land (out of the total 519,358 square feet of land comprising the entire center) is included in this calculation.</w:t>
      </w:r>
    </w:p>
    <w:p>
      <w:pPr>
        <w:spacing w:after="0" w:line="397" w:lineRule="exact"/>
        <w:rPr>
          <w:rFonts w:ascii="Arial" w:cs="Arial" w:eastAsia="Arial" w:hAnsi="Arial"/>
          <w:sz w:val="13"/>
          <w:szCs w:val="13"/>
          <w:color w:val="auto"/>
        </w:rPr>
      </w:pPr>
    </w:p>
    <w:p>
      <w:pPr>
        <w:ind w:left="4880" w:hanging="156"/>
        <w:spacing w:after="0"/>
        <w:tabs>
          <w:tab w:leader="none" w:pos="4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type w:val="continuous"/>
        </w:sectPr>
      </w:pPr>
    </w:p>
    <w:bookmarkStart w:id="31" w:name="page32"/>
    <w:bookmarkEnd w:id="31"/>
    <w:p>
      <w:pPr>
        <w:ind w:right="20"/>
        <w:spacing w:after="0" w:line="263" w:lineRule="auto"/>
        <w:rPr>
          <w:sz w:val="20"/>
          <w:szCs w:val="20"/>
          <w:color w:val="auto"/>
        </w:rPr>
      </w:pPr>
      <w:r>
        <w:rPr>
          <w:rFonts w:ascii="Arial" w:cs="Arial" w:eastAsia="Arial" w:hAnsi="Arial"/>
          <w:sz w:val="18"/>
          <w:szCs w:val="18"/>
          <w:color w:val="auto"/>
        </w:rPr>
        <w:t xml:space="preserve">Some of our income operating properties and our investment and development properties carry various debt encumbrances based on their income streams and geographic locations. For an explanation of our debt and the associated security collateral please see </w:t>
      </w:r>
      <w:r>
        <w:rPr>
          <w:rFonts w:ascii="Arial" w:cs="Arial" w:eastAsia="Arial" w:hAnsi="Arial"/>
          <w:sz w:val="18"/>
          <w:szCs w:val="18"/>
          <w:i w:val="1"/>
          <w:iCs w:val="1"/>
          <w:color w:val="auto"/>
        </w:rPr>
        <w:t>Note 10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Borrowings </w:t>
      </w:r>
      <w:r>
        <w:rPr>
          <w:rFonts w:ascii="Arial" w:cs="Arial" w:eastAsia="Arial" w:hAnsi="Arial"/>
          <w:sz w:val="18"/>
          <w:szCs w:val="18"/>
          <w:color w:val="auto"/>
        </w:rPr>
        <w:t>to our 2019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PROPERTY INTERESTS AND INVESTMENTS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own the fee interests in various parcels related to our historic railroad operations, currently comprised of 197-acres principally in Pennsylvania. These acres consist primarily of vacant land. With the exception of certain properties located in Philadelphia (including the raised railroad bed near Center City, known as the Reading Viaduct), the properties are principally located in rural areas of Pennsylvania. These properties are unencumbered by any debt.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3 – Legal Proceedings</w:t>
      </w:r>
    </w:p>
    <w:p>
      <w:pPr>
        <w:spacing w:after="0" w:line="21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 xml:space="preserve">The information required under Part I, Item 3 </w:t>
      </w:r>
      <w:r>
        <w:rPr>
          <w:rFonts w:ascii="Arial" w:cs="Arial" w:eastAsia="Arial" w:hAnsi="Arial"/>
          <w:sz w:val="18"/>
          <w:szCs w:val="18"/>
          <w:i w:val="1"/>
          <w:iCs w:val="1"/>
          <w:color w:val="auto"/>
        </w:rPr>
        <w:t>– Legal Proceedings</w:t>
      </w:r>
      <w:r>
        <w:rPr>
          <w:rFonts w:ascii="Arial" w:cs="Arial" w:eastAsia="Arial" w:hAnsi="Arial"/>
          <w:sz w:val="18"/>
          <w:szCs w:val="18"/>
          <w:color w:val="auto"/>
        </w:rPr>
        <w:t xml:space="preserve"> is incorporated by reference to the information contained in </w:t>
      </w:r>
      <w:r>
        <w:rPr>
          <w:rFonts w:ascii="Arial" w:cs="Arial" w:eastAsia="Arial" w:hAnsi="Arial"/>
          <w:sz w:val="18"/>
          <w:szCs w:val="18"/>
          <w:i w:val="1"/>
          <w:iCs w:val="1"/>
          <w:color w:val="auto"/>
        </w:rPr>
        <w:t>Note 12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the Consolidated Financial Statements included herein in Part II, Item 8</w:t>
      </w:r>
      <w:r>
        <w:rPr>
          <w:rFonts w:ascii="Arial" w:cs="Arial" w:eastAsia="Arial" w:hAnsi="Arial"/>
          <w:sz w:val="18"/>
          <w:szCs w:val="18"/>
          <w:i w:val="1"/>
          <w:iCs w:val="1"/>
          <w:color w:val="auto"/>
        </w:rPr>
        <w:t xml:space="preserve"> – Financial Statements and Supplementary Data </w:t>
      </w:r>
      <w:r>
        <w:rPr>
          <w:rFonts w:ascii="Arial" w:cs="Arial" w:eastAsia="Arial" w:hAnsi="Arial"/>
          <w:sz w:val="18"/>
          <w:szCs w:val="18"/>
          <w:color w:val="auto"/>
        </w:rPr>
        <w:t>on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4 – Mine Safety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Properties relating to our legacy business are currently not used and classified as Investment Property.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PART II</w:t>
      </w:r>
    </w:p>
    <w:p>
      <w:pPr>
        <w:spacing w:after="0" w:line="302"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u w:val="single" w:color="auto"/>
          <w:color w:val="auto"/>
        </w:rPr>
        <w:t>Item 5 –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symbols RDI (Class A Stock) and RDIB (Class B Stock).</w:t>
      </w:r>
    </w:p>
    <w:p>
      <w:pPr>
        <w:spacing w:after="0" w:line="211"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As of December 31, 2019, the approximate number of common stockholders of record was 403 for Class A Stock and 53, for Class B Stock. On March 13, 2020, the closing prices per share of our Class A Stock and Class B Stock were $5.96 and $16.00,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have never declared a cash dividend on either class of our common stock, and we have no current plans to declare a dividend.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Authorized for Issuance Under Equity Compensation Plans</w:t>
      </w:r>
    </w:p>
    <w:p>
      <w:pPr>
        <w:spacing w:after="0" w:line="225"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 xml:space="preserve">Our Definitive Proxy Statement to be filed in connection with our 2020 Annual Meeting of Stockholders incorporated herein by reference, contains information concerning securities authorized for issuance under equity compensation plans within the caption: </w:t>
      </w:r>
      <w:r>
        <w:rPr>
          <w:rFonts w:ascii="Arial" w:cs="Arial" w:eastAsia="Arial" w:hAnsi="Arial"/>
          <w:sz w:val="17"/>
          <w:szCs w:val="17"/>
          <w:i w:val="1"/>
          <w:iCs w:val="1"/>
          <w:u w:val="single" w:color="auto"/>
          <w:color w:val="auto"/>
        </w:rPr>
        <w:t>Ownership of Certain Beneficial Owners and Management and Equity Compensation Plan Information.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line graph compares the cumulative total stockholder return on RDI’s common stock for the five-year period ended December 31, 2019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five-years ended December 31, 2019. The graph assumes that $100 was invested on December 31, 2014 in our common stock, the NASDAQ composite and the noted peer groups, and assumes reinvestment of any dividends. The stock price performance on the following graph is not necessarily indicative of future stock price performance.</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1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Reading underperformed compared to the market due to a weaker slate of film from arthouse/specialty distributors in the U.S., a weakening foreign currency exchange rate, and a decrease in admissions revenue in all three circuits.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117475</wp:posOffset>
            </wp:positionV>
            <wp:extent cx="6069330" cy="5048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933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On March 2, 2017 our Board of Directors authorized a stock repurchase program to spend up to an aggregate of $25.0 million to repurchase shares of the Company’s Class A Non-Voting Common Stock. On March 14, 2019, the Board of Directors extended our Company's stock repurchase program for two years, through March 2, 2021. On March 10, 2020, the Board increased the authorized amount by $25.0 million and extended it to March 2, 2022. At the present time, the repurchase program authorization is at $26.0 million. Below is a summary of shares repurchased during the fourth quarter of 2019 Refer to </w:t>
      </w:r>
      <w:r>
        <w:rPr>
          <w:rFonts w:ascii="Arial" w:cs="Arial" w:eastAsia="Arial" w:hAnsi="Arial"/>
          <w:sz w:val="17"/>
          <w:szCs w:val="17"/>
          <w:i w:val="1"/>
          <w:iCs w:val="1"/>
          <w:color w:val="auto"/>
        </w:rPr>
        <w:t>Note 14 - Share-Based Compensation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 Repurchase Plans </w:t>
      </w:r>
      <w:r>
        <w:rPr>
          <w:rFonts w:ascii="Arial" w:cs="Arial" w:eastAsia="Arial" w:hAnsi="Arial"/>
          <w:sz w:val="17"/>
          <w:szCs w:val="17"/>
          <w:color w:val="auto"/>
        </w:rPr>
        <w:t>in the 2019 Consolidated Financial Statements for further details.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2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may yet be Purchased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Number of Shares Purchased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our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under the Stock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Paid per Share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Repurchase Program</w:t>
            </w: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Repurchase Program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2019</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November 2019</w:t>
            </w:r>
          </w:p>
        </w:tc>
        <w:tc>
          <w:tcPr>
            <w:tcW w:w="2160" w:type="dxa"/>
            <w:vAlign w:val="bottom"/>
          </w:tcPr>
          <w:p>
            <w:pPr>
              <w:jc w:val="right"/>
              <w:spacing w:after="0"/>
              <w:rPr>
                <w:sz w:val="20"/>
                <w:szCs w:val="20"/>
                <w:color w:val="auto"/>
              </w:rPr>
            </w:pPr>
            <w:r>
              <w:rPr>
                <w:rFonts w:ascii="Arial" w:cs="Arial" w:eastAsia="Arial" w:hAnsi="Arial"/>
                <w:sz w:val="18"/>
                <w:szCs w:val="18"/>
                <w:color w:val="auto"/>
              </w:rPr>
              <w:t>34,255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34,255</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$4,479,734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267,783</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$1,661,972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302,038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w:t>
            </w:r>
          </w:p>
        </w:tc>
        <w:tc>
          <w:tcPr>
            <w:tcW w:w="12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302,038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$1,661,972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796"/>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u w:val="single" w:color="auto"/>
          <w:color w:val="auto"/>
        </w:rPr>
        <w:t>Item 6 – Selected Financial Data</w:t>
      </w:r>
    </w:p>
    <w:p>
      <w:pPr>
        <w:spacing w:after="0" w:line="24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The table below sets forth certain historical financial data regarding our Company. This information is derived in part from, and should be read in conjunction with, our consolidated financial statements included in </w:t>
      </w:r>
      <w:r>
        <w:rPr>
          <w:rFonts w:ascii="Arial" w:cs="Arial" w:eastAsia="Arial" w:hAnsi="Arial"/>
          <w:sz w:val="18"/>
          <w:szCs w:val="18"/>
          <w:i w:val="1"/>
          <w:iCs w:val="1"/>
          <w:color w:val="auto"/>
        </w:rPr>
        <w:t>Item 8</w:t>
      </w:r>
      <w:r>
        <w:rPr>
          <w:rFonts w:ascii="Arial" w:cs="Arial" w:eastAsia="Arial" w:hAnsi="Arial"/>
          <w:sz w:val="18"/>
          <w:szCs w:val="18"/>
          <w:color w:val="auto"/>
        </w:rPr>
        <w:t xml:space="preserve"> of this 2019, and the related notes to the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i w:val="1"/>
                <w:iCs w:val="1"/>
                <w:color w:val="auto"/>
              </w:rPr>
              <w:t>($ in thousands, except per share data)</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7"/>
                <w:szCs w:val="7"/>
                <w:b w:val="1"/>
                <w:bCs w:val="1"/>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7"/>
                <w:szCs w:val="7"/>
                <w:b w:val="1"/>
                <w:bCs w:val="1"/>
                <w:color w:val="auto"/>
              </w:rPr>
              <w:t>(2)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b w:val="1"/>
                <w:bCs w:val="1"/>
                <w:color w:val="auto"/>
              </w:rPr>
              <w:t>(2)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b w:val="1"/>
                <w:bCs w:val="1"/>
                <w:color w:val="auto"/>
              </w:rPr>
              <w:t>(2)</w:t>
            </w:r>
          </w:p>
        </w:tc>
      </w:tr>
      <w:tr>
        <w:trPr>
          <w:trHeight w:val="176"/>
        </w:trPr>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9"/>
              </w:rPr>
              <w:t>Statement of operations</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Revenue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276,768</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308,931</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270,866</w:t>
            </w: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257,865</w:t>
            </w:r>
          </w:p>
        </w:tc>
      </w:tr>
      <w:tr>
        <w:trPr>
          <w:trHeight w:val="203"/>
        </w:trPr>
        <w:tc>
          <w:tcPr>
            <w:tcW w:w="3500" w:type="dxa"/>
            <w:vAlign w:val="bottom"/>
            <w:gridSpan w:val="5"/>
          </w:tcPr>
          <w:p>
            <w:pPr>
              <w:spacing w:after="0"/>
              <w:rPr>
                <w:sz w:val="20"/>
                <w:szCs w:val="20"/>
                <w:color w:val="auto"/>
              </w:rPr>
            </w:pPr>
            <w:r>
              <w:rPr>
                <w:rFonts w:ascii="Arial" w:cs="Arial" w:eastAsia="Arial" w:hAnsi="Arial"/>
                <w:sz w:val="14"/>
                <w:szCs w:val="14"/>
                <w:color w:val="auto"/>
              </w:rPr>
              <w:t>Operating income (loss)</w:t>
            </w:r>
            <w:r>
              <w:rPr>
                <w:rFonts w:ascii="Arial" w:cs="Arial" w:eastAsia="Arial" w:hAnsi="Arial"/>
                <w:sz w:val="7"/>
                <w:szCs w:val="7"/>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9,123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20,383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20,704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23,696</w:t>
            </w:r>
          </w:p>
        </w:tc>
      </w:tr>
      <w:tr>
        <w:trPr>
          <w:trHeight w:val="203"/>
        </w:trPr>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Net income (loss) attributable to RDI</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(26,429)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23,110</w:t>
            </w:r>
          </w:p>
        </w:tc>
      </w:tr>
      <w:tr>
        <w:trPr>
          <w:trHeight w:val="203"/>
        </w:trPr>
        <w:tc>
          <w:tcPr>
            <w:tcW w:w="3500" w:type="dxa"/>
            <w:vAlign w:val="bottom"/>
            <w:gridSpan w:val="5"/>
          </w:tcPr>
          <w:p>
            <w:pPr>
              <w:spacing w:after="0"/>
              <w:rPr>
                <w:sz w:val="20"/>
                <w:szCs w:val="20"/>
                <w:color w:val="auto"/>
              </w:rPr>
            </w:pPr>
            <w:r>
              <w:rPr>
                <w:rFonts w:ascii="Arial" w:cs="Arial" w:eastAsia="Arial" w:hAnsi="Arial"/>
                <w:sz w:val="14"/>
                <w:szCs w:val="14"/>
                <w:color w:val="auto"/>
              </w:rPr>
              <w:t>Per common share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500" w:type="dxa"/>
            <w:vAlign w:val="bottom"/>
            <w:gridSpan w:val="5"/>
            <w:shd w:val="clear" w:color="auto" w:fill="CCEEFF"/>
          </w:tcPr>
          <w:p>
            <w:pPr>
              <w:ind w:left="60"/>
              <w:spacing w:after="0"/>
              <w:rPr>
                <w:sz w:val="20"/>
                <w:szCs w:val="20"/>
                <w:color w:val="auto"/>
              </w:rPr>
            </w:pPr>
            <w:r>
              <w:rPr>
                <w:rFonts w:ascii="Arial" w:cs="Arial" w:eastAsia="Arial" w:hAnsi="Arial"/>
                <w:sz w:val="14"/>
                <w:szCs w:val="14"/>
                <w:color w:val="auto"/>
              </w:rPr>
              <w:t>Net income (loss) attributed to RDI</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500" w:type="dxa"/>
            <w:vAlign w:val="bottom"/>
            <w:gridSpan w:val="5"/>
          </w:tcPr>
          <w:p>
            <w:pPr>
              <w:ind w:left="140"/>
              <w:spacing w:after="0"/>
              <w:rPr>
                <w:sz w:val="20"/>
                <w:szCs w:val="20"/>
                <w:color w:val="auto"/>
              </w:rPr>
            </w:pPr>
            <w:r>
              <w:rPr>
                <w:rFonts w:ascii="Arial" w:cs="Arial" w:eastAsia="Arial" w:hAnsi="Arial"/>
                <w:sz w:val="14"/>
                <w:szCs w:val="14"/>
                <w:color w:val="auto"/>
              </w:rPr>
              <w:t>Basic earnings (loss) per share</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(1.17)</w:t>
            </w: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0.61</w:t>
            </w:r>
          </w:p>
        </w:tc>
        <w:tc>
          <w:tcPr>
            <w:tcW w:w="4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0.42</w:t>
            </w:r>
          </w:p>
        </w:tc>
        <w:tc>
          <w:tcPr>
            <w:tcW w:w="4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0.99</w:t>
            </w:r>
          </w:p>
        </w:tc>
      </w:tr>
      <w:tr>
        <w:trPr>
          <w:trHeight w:val="203"/>
        </w:trPr>
        <w:tc>
          <w:tcPr>
            <w:tcW w:w="35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Diluted earnings (loss) per share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(1.17)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0.98</w:t>
            </w:r>
          </w:p>
        </w:tc>
      </w:tr>
      <w:tr>
        <w:trPr>
          <w:trHeight w:val="189"/>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Balance sheet</w:t>
            </w:r>
          </w:p>
        </w:tc>
        <w:tc>
          <w:tcPr>
            <w:tcW w:w="266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Total assets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674,989</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439,237</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406,041</w:t>
            </w: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372,198</w:t>
            </w:r>
          </w:p>
        </w:tc>
      </w:tr>
      <w:tr>
        <w:trPr>
          <w:trHeight w:val="203"/>
        </w:trPr>
        <w:tc>
          <w:tcPr>
            <w:tcW w:w="3500" w:type="dxa"/>
            <w:vAlign w:val="bottom"/>
            <w:gridSpan w:val="5"/>
          </w:tcPr>
          <w:p>
            <w:pPr>
              <w:spacing w:after="0"/>
              <w:rPr>
                <w:sz w:val="20"/>
                <w:szCs w:val="20"/>
                <w:color w:val="auto"/>
              </w:rPr>
            </w:pPr>
            <w:r>
              <w:rPr>
                <w:rFonts w:ascii="Arial" w:cs="Arial" w:eastAsia="Arial" w:hAnsi="Arial"/>
                <w:sz w:val="14"/>
                <w:szCs w:val="14"/>
                <w:color w:val="auto"/>
              </w:rPr>
              <w:t>Current debt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37,380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30,393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03"/>
        </w:trPr>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Non-current debt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171,838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147,968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115,941</w:t>
            </w:r>
          </w:p>
        </w:tc>
      </w:tr>
      <w:tr>
        <w:trPr>
          <w:trHeight w:val="203"/>
        </w:trPr>
        <w:tc>
          <w:tcPr>
            <w:tcW w:w="3500" w:type="dxa"/>
            <w:vAlign w:val="bottom"/>
            <w:gridSpan w:val="5"/>
          </w:tcPr>
          <w:p>
            <w:pPr>
              <w:spacing w:after="0"/>
              <w:rPr>
                <w:sz w:val="20"/>
                <w:szCs w:val="20"/>
                <w:color w:val="auto"/>
              </w:rPr>
            </w:pPr>
            <w:r>
              <w:rPr>
                <w:rFonts w:ascii="Arial" w:cs="Arial" w:eastAsia="Arial" w:hAnsi="Arial"/>
                <w:sz w:val="14"/>
                <w:szCs w:val="14"/>
                <w:color w:val="auto"/>
              </w:rPr>
              <w:t>Total debt (gross of deferred financing costs)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209,218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167,043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134,501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148,535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130,941</w:t>
            </w:r>
          </w:p>
        </w:tc>
      </w:tr>
      <w:tr>
        <w:trPr>
          <w:trHeight w:val="203"/>
        </w:trPr>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Working capital (deficit)</w:t>
            </w:r>
            <w:r>
              <w:rPr>
                <w:rFonts w:ascii="Arial" w:cs="Arial" w:eastAsia="Arial" w:hAnsi="Arial"/>
                <w:sz w:val="7"/>
                <w:szCs w:val="7"/>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(84,138)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(56,047)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(35,581)</w:t>
            </w:r>
          </w:p>
        </w:tc>
      </w:tr>
      <w:tr>
        <w:trPr>
          <w:trHeight w:val="203"/>
        </w:trPr>
        <w:tc>
          <w:tcPr>
            <w:tcW w:w="3500" w:type="dxa"/>
            <w:vAlign w:val="bottom"/>
            <w:gridSpan w:val="5"/>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139,616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179,979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181,382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146,890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138,951</w:t>
            </w:r>
          </w:p>
        </w:tc>
      </w:tr>
      <w:tr>
        <w:trPr>
          <w:trHeight w:val="189"/>
        </w:trPr>
        <w:tc>
          <w:tcPr>
            <w:tcW w:w="1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88"/>
              </w:rPr>
              <w:t>Statement of cash flows</w:t>
            </w:r>
          </w:p>
        </w:tc>
        <w:tc>
          <w:tcPr>
            <w:tcW w:w="206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6"/>
        </w:trPr>
        <w:tc>
          <w:tcPr>
            <w:tcW w:w="3500" w:type="dxa"/>
            <w:vAlign w:val="bottom"/>
            <w:gridSpan w:val="5"/>
          </w:tcPr>
          <w:p>
            <w:pPr>
              <w:spacing w:after="0"/>
              <w:rPr>
                <w:sz w:val="20"/>
                <w:szCs w:val="20"/>
                <w:color w:val="auto"/>
              </w:rPr>
            </w:pPr>
            <w:r>
              <w:rPr>
                <w:rFonts w:ascii="Arial" w:cs="Arial" w:eastAsia="Arial" w:hAnsi="Arial"/>
                <w:sz w:val="14"/>
                <w:szCs w:val="14"/>
                <w:color w:val="auto"/>
              </w:rPr>
              <w:t>Cash provided by / (used in):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3500" w:type="dxa"/>
            <w:vAlign w:val="bottom"/>
            <w:gridSpan w:val="5"/>
            <w:shd w:val="clear" w:color="auto" w:fill="CCEEFF"/>
          </w:tcPr>
          <w:p>
            <w:pPr>
              <w:ind w:left="60"/>
              <w:spacing w:after="0"/>
              <w:rPr>
                <w:sz w:val="20"/>
                <w:szCs w:val="20"/>
                <w:color w:val="auto"/>
              </w:rPr>
            </w:pPr>
            <w:r>
              <w:rPr>
                <w:rFonts w:ascii="Arial" w:cs="Arial" w:eastAsia="Arial" w:hAnsi="Arial"/>
                <w:sz w:val="14"/>
                <w:szCs w:val="14"/>
                <w:color w:val="auto"/>
              </w:rPr>
              <w:t>Operating activities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24,607</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32,644</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30,188</w:t>
            </w: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28,574</w:t>
            </w:r>
          </w:p>
        </w:tc>
      </w:tr>
      <w:tr>
        <w:trPr>
          <w:trHeight w:val="203"/>
        </w:trPr>
        <w:tc>
          <w:tcPr>
            <w:tcW w:w="3500" w:type="dxa"/>
            <w:vAlign w:val="bottom"/>
            <w:gridSpan w:val="5"/>
          </w:tcPr>
          <w:p>
            <w:pPr>
              <w:ind w:left="60"/>
              <w:spacing w:after="0"/>
              <w:rPr>
                <w:sz w:val="20"/>
                <w:szCs w:val="20"/>
                <w:color w:val="auto"/>
              </w:rPr>
            </w:pPr>
            <w:r>
              <w:rPr>
                <w:rFonts w:ascii="Arial" w:cs="Arial" w:eastAsia="Arial" w:hAnsi="Arial"/>
                <w:sz w:val="14"/>
                <w:szCs w:val="14"/>
                <w:color w:val="auto"/>
              </w:rPr>
              <w:t>Investing activities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(51,929)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(64,855)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(42,861)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(29,710)</w:t>
            </w:r>
          </w:p>
        </w:tc>
      </w:tr>
      <w:tr>
        <w:trPr>
          <w:trHeight w:val="203"/>
        </w:trPr>
        <w:tc>
          <w:tcPr>
            <w:tcW w:w="3500" w:type="dxa"/>
            <w:vAlign w:val="bottom"/>
            <w:gridSpan w:val="5"/>
            <w:shd w:val="clear" w:color="auto" w:fill="CCEEFF"/>
          </w:tcPr>
          <w:p>
            <w:pPr>
              <w:ind w:left="6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26,008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(27,961)</w:t>
            </w:r>
          </w:p>
        </w:tc>
      </w:tr>
      <w:tr>
        <w:trPr>
          <w:trHeight w:val="189"/>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Other Information</w:t>
            </w:r>
          </w:p>
        </w:tc>
        <w:tc>
          <w:tcPr>
            <w:tcW w:w="234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EBIT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10,312</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24,169</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20,598</w:t>
            </w: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35,562</w:t>
            </w:r>
          </w:p>
        </w:tc>
      </w:tr>
      <w:tr>
        <w:trPr>
          <w:trHeight w:val="203"/>
        </w:trPr>
        <w:tc>
          <w:tcPr>
            <w:tcW w:w="3500" w:type="dxa"/>
            <w:vAlign w:val="bottom"/>
            <w:gridSpan w:val="5"/>
          </w:tcPr>
          <w:p>
            <w:pPr>
              <w:spacing w:after="0"/>
              <w:rPr>
                <w:sz w:val="20"/>
                <w:szCs w:val="20"/>
                <w:color w:val="auto"/>
              </w:rPr>
            </w:pPr>
            <w:r>
              <w:rPr>
                <w:rFonts w:ascii="Arial" w:cs="Arial" w:eastAsia="Arial" w:hAnsi="Arial"/>
                <w:sz w:val="14"/>
                <w:szCs w:val="14"/>
                <w:color w:val="auto"/>
              </w:rPr>
              <w:t>EBITDA</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33,059</w:t>
            </w:r>
          </w:p>
        </w:tc>
        <w:tc>
          <w:tcPr>
            <w:tcW w:w="4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46,444</w:t>
            </w:r>
          </w:p>
        </w:tc>
        <w:tc>
          <w:tcPr>
            <w:tcW w:w="4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57,294</w:t>
            </w:r>
          </w:p>
        </w:tc>
        <w:tc>
          <w:tcPr>
            <w:tcW w:w="100" w:type="dxa"/>
            <w:vAlign w:val="bottom"/>
          </w:tcPr>
          <w:p>
            <w:pPr>
              <w:jc w:val="right"/>
              <w:spacing w:after="0"/>
              <w:rPr>
                <w:sz w:val="20"/>
                <w:szCs w:val="20"/>
                <w:color w:val="auto"/>
              </w:rPr>
            </w:pPr>
            <w:r>
              <w:rPr>
                <w:rFonts w:ascii="Arial" w:cs="Arial" w:eastAsia="Arial" w:hAnsi="Arial"/>
                <w:sz w:val="7"/>
                <w:szCs w:val="7"/>
                <w:color w:val="auto"/>
                <w:w w:val="92"/>
              </w:rPr>
              <w:t>(1)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36,287</w:t>
            </w:r>
          </w:p>
        </w:tc>
        <w:tc>
          <w:tcPr>
            <w:tcW w:w="4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50,124</w:t>
            </w:r>
          </w:p>
        </w:tc>
      </w:tr>
      <w:tr>
        <w:trPr>
          <w:trHeight w:val="203"/>
        </w:trPr>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Debt to EBITDA Ratio</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203"/>
        </w:trPr>
        <w:tc>
          <w:tcPr>
            <w:tcW w:w="3500" w:type="dxa"/>
            <w:vAlign w:val="bottom"/>
            <w:gridSpan w:val="5"/>
          </w:tcPr>
          <w:p>
            <w:pPr>
              <w:spacing w:after="0"/>
              <w:rPr>
                <w:sz w:val="20"/>
                <w:szCs w:val="20"/>
                <w:color w:val="auto"/>
              </w:rPr>
            </w:pPr>
            <w:r>
              <w:rPr>
                <w:rFonts w:ascii="Arial" w:cs="Arial" w:eastAsia="Arial" w:hAnsi="Arial"/>
                <w:sz w:val="14"/>
                <w:szCs w:val="14"/>
                <w:color w:val="auto"/>
              </w:rPr>
              <w:t>Capital expenditure (including acquisitions)</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47,722</w:t>
            </w:r>
          </w:p>
        </w:tc>
        <w:tc>
          <w:tcPr>
            <w:tcW w:w="4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56,827</w:t>
            </w:r>
          </w:p>
        </w:tc>
        <w:tc>
          <w:tcPr>
            <w:tcW w:w="4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76,708</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49,166</w:t>
            </w:r>
          </w:p>
        </w:tc>
        <w:tc>
          <w:tcPr>
            <w:tcW w:w="4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53,119</w:t>
            </w:r>
          </w:p>
        </w:tc>
      </w:tr>
      <w:tr>
        <w:trPr>
          <w:trHeight w:val="203"/>
        </w:trPr>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500" w:type="dxa"/>
            <w:vAlign w:val="bottom"/>
            <w:gridSpan w:val="5"/>
          </w:tcPr>
          <w:p>
            <w:pPr>
              <w:spacing w:after="0"/>
              <w:rPr>
                <w:sz w:val="20"/>
                <w:szCs w:val="20"/>
                <w:color w:val="auto"/>
              </w:rPr>
            </w:pPr>
            <w:r>
              <w:rPr>
                <w:rFonts w:ascii="Arial" w:cs="Arial" w:eastAsia="Arial" w:hAnsi="Arial"/>
                <w:sz w:val="14"/>
                <w:szCs w:val="14"/>
                <w:color w:val="auto"/>
              </w:rPr>
              <w:t>Shares outstanding</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21,718,140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22,920,634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22,931,881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23,178,307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23,334,892</w:t>
            </w:r>
          </w:p>
        </w:tc>
      </w:tr>
      <w:tr>
        <w:trPr>
          <w:trHeight w:val="203"/>
        </w:trPr>
        <w:tc>
          <w:tcPr>
            <w:tcW w:w="3500" w:type="dxa"/>
            <w:vAlign w:val="bottom"/>
            <w:gridSpan w:val="5"/>
            <w:shd w:val="clear" w:color="auto" w:fill="CCEEFF"/>
          </w:tcPr>
          <w:p>
            <w:pPr>
              <w:ind w:left="60"/>
              <w:spacing w:after="0"/>
              <w:rPr>
                <w:sz w:val="20"/>
                <w:szCs w:val="20"/>
                <w:color w:val="auto"/>
              </w:rPr>
            </w:pPr>
            <w:r>
              <w:rPr>
                <w:rFonts w:ascii="Arial" w:cs="Arial" w:eastAsia="Arial" w:hAnsi="Arial"/>
                <w:sz w:val="14"/>
                <w:szCs w:val="14"/>
                <w:color w:val="auto"/>
              </w:rPr>
              <w:t>Weighted average - basic</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22,631,754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22,991,277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23,041,190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23,320,048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23,293,696</w:t>
            </w:r>
          </w:p>
        </w:tc>
      </w:tr>
      <w:tr>
        <w:trPr>
          <w:trHeight w:val="203"/>
        </w:trPr>
        <w:tc>
          <w:tcPr>
            <w:tcW w:w="3500" w:type="dxa"/>
            <w:vAlign w:val="bottom"/>
            <w:gridSpan w:val="5"/>
          </w:tcPr>
          <w:p>
            <w:pPr>
              <w:ind w:left="60"/>
              <w:spacing w:after="0"/>
              <w:rPr>
                <w:sz w:val="20"/>
                <w:szCs w:val="20"/>
                <w:color w:val="auto"/>
              </w:rPr>
            </w:pPr>
            <w:r>
              <w:rPr>
                <w:rFonts w:ascii="Arial" w:cs="Arial" w:eastAsia="Arial" w:hAnsi="Arial"/>
                <w:sz w:val="14"/>
                <w:szCs w:val="14"/>
                <w:color w:val="auto"/>
              </w:rPr>
              <w:t>Weighted average - diluted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22,784,122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23,208,991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23,247,969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23,521,157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23,495,618</w:t>
            </w:r>
          </w:p>
        </w:tc>
      </w:tr>
      <w:tr>
        <w:trPr>
          <w:trHeight w:val="203"/>
        </w:trPr>
        <w:tc>
          <w:tcPr>
            <w:tcW w:w="35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Number of employees at 12/31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w:t>
            </w:r>
          </w:p>
        </w:tc>
      </w:tr>
    </w:tbl>
    <w:p>
      <w:pPr>
        <w:spacing w:after="0" w:line="103" w:lineRule="exact"/>
        <w:rPr>
          <w:sz w:val="20"/>
          <w:szCs w:val="20"/>
          <w:color w:val="auto"/>
        </w:rPr>
      </w:pPr>
    </w:p>
    <w:p>
      <w:pPr>
        <w:ind w:left="640" w:right="340" w:hanging="320"/>
        <w:spacing w:after="0" w:line="230"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2017 includes gain on sale of assets amounting to $9.4 million and casualty loss recovery of $9.2 million. 2015 includes gain on sale of assets amounting to $11.0 million.</w:t>
      </w:r>
    </w:p>
    <w:p>
      <w:pPr>
        <w:ind w:left="640" w:right="280" w:hanging="320"/>
        <w:spacing w:after="0" w:line="238"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 xml:space="preserve">Certain 2017 and 2016 balances included the restatement impact as a result of a prior period financial statement correction of immaterial errors (see </w:t>
      </w:r>
      <w:r>
        <w:rPr>
          <w:rFonts w:ascii="Arial" w:cs="Arial" w:eastAsia="Arial" w:hAnsi="Arial"/>
          <w:sz w:val="13"/>
          <w:szCs w:val="13"/>
          <w:i w:val="1"/>
          <w:iCs w:val="1"/>
          <w:color w:val="auto"/>
        </w:rPr>
        <w:t>Note 2 –</w:t>
      </w:r>
      <w:r>
        <w:rPr>
          <w:rFonts w:ascii="Arial" w:cs="Arial" w:eastAsia="Arial" w:hAnsi="Arial"/>
          <w:sz w:val="13"/>
          <w:szCs w:val="13"/>
          <w:color w:val="auto"/>
        </w:rPr>
        <w:t xml:space="preserve"> </w:t>
      </w:r>
      <w:r>
        <w:rPr>
          <w:rFonts w:ascii="Arial" w:cs="Arial" w:eastAsia="Arial" w:hAnsi="Arial"/>
          <w:sz w:val="13"/>
          <w:szCs w:val="13"/>
          <w:i w:val="1"/>
          <w:iCs w:val="1"/>
          <w:color w:val="auto"/>
        </w:rPr>
        <w:t>Summary of Significant Accounting Policies – Prior Period Financial Statement Correction of Immaterial Errors</w:t>
      </w:r>
      <w:r>
        <w:rPr>
          <w:rFonts w:ascii="Arial" w:cs="Arial" w:eastAsia="Arial" w:hAnsi="Arial"/>
          <w:sz w:val="13"/>
          <w:szCs w:val="13"/>
          <w:color w:val="auto"/>
        </w:rPr>
        <w:t>). Certain 2015 balances included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restatement impact as a result of a change in accounting principle (see </w:t>
      </w:r>
      <w:r>
        <w:rPr>
          <w:rFonts w:ascii="Arial" w:cs="Arial" w:eastAsia="Arial" w:hAnsi="Arial"/>
          <w:sz w:val="13"/>
          <w:szCs w:val="13"/>
          <w:i w:val="1"/>
          <w:iCs w:val="1"/>
          <w:color w:val="auto"/>
        </w:rPr>
        <w:t>Note 2 – Summary of Significant Accounting Policies – Accounting Changes</w:t>
      </w:r>
      <w:r>
        <w:rPr>
          <w:rFonts w:ascii="Arial" w:cs="Arial" w:eastAsia="Arial" w:hAnsi="Arial"/>
          <w:sz w:val="13"/>
          <w:szCs w:val="13"/>
          <w:color w:val="auto"/>
        </w:rPr>
        <w:t>).</w:t>
      </w:r>
    </w:p>
    <w:p>
      <w:pPr>
        <w:ind w:left="640" w:right="200" w:hanging="320"/>
        <w:spacing w:after="0" w:line="221"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2 – Summary of Significant Accounting Policies – Prior Period Financial Statements Correction of Immaterial Errors</w:t>
      </w:r>
      <w:r>
        <w:rPr>
          <w:rFonts w:ascii="Arial" w:cs="Arial" w:eastAsia="Arial" w:hAnsi="Arial"/>
          <w:sz w:val="14"/>
          <w:szCs w:val="14"/>
          <w:color w:val="auto"/>
        </w:rPr>
        <w:t xml:space="preserve"> of the 2019 10-K for the prior period adjustments for accounting for accrued sales tax deemed not material.</w:t>
      </w:r>
    </w:p>
    <w:p>
      <w:pPr>
        <w:ind w:left="640" w:right="560" w:hanging="320"/>
        <w:spacing w:after="0" w:line="237"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Typically, our working capital (deficit) is negative as we receive revenue from our cinema business ahead of the time that we have to pay our associated liabilities. We use the money we receive to pay down our borrowings in the first instance.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Both EBIT and EBITDA are non-U.S. GAAP measures and are presented for informational purposes. They should not be construed as an alternative to net earnings (loss), as an indicator of operating performance or as an alternative to cash flow provided by operating activities as a measure of liquidity (as determined in accordance with U.S. GAAP). These measures should be reviewed in conjunction with the relevant U.S. GAAP financial measures. EBIT and EBITDA as we have calculated them may not be comparable to similarly titled measures reported by other companies.</w:t>
      </w:r>
    </w:p>
    <w:p>
      <w:pPr>
        <w:spacing w:after="0" w:line="18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EBIT presented above represents net income (loss) adjusted for interest expense (net of interest income), income tax expense and an adjustment of interest expense for discontinued operations, if any. EBIT is useful in evaluating our operating results for the following reasons:</w:t>
      </w:r>
    </w:p>
    <w:p>
      <w:pPr>
        <w:spacing w:after="0" w:line="62" w:lineRule="exact"/>
        <w:rPr>
          <w:sz w:val="20"/>
          <w:szCs w:val="20"/>
          <w:color w:val="auto"/>
        </w:rPr>
      </w:pPr>
    </w:p>
    <w:p>
      <w:pPr>
        <w:ind w:left="640" w:right="300" w:hanging="320"/>
        <w:spacing w:after="0" w:line="198" w:lineRule="auto"/>
        <w:tabs>
          <w:tab w:leader="none" w:pos="64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EBIT removes the impact of the varying tax rates and tax regimes in the jurisdictions where we operate and the impact of tax timing differences that may vary from time to time and from jurisdiction-to-jurisdiction</w:t>
      </w:r>
    </w:p>
    <w:p>
      <w:pPr>
        <w:ind w:left="640" w:hanging="320"/>
        <w:spacing w:after="0" w:line="223" w:lineRule="auto"/>
        <w:tabs>
          <w:tab w:leader="none" w:pos="64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EBIT removes the impact from our effective tax rate of factors not directly related to our business operations.</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EBIT removes the impact of our historically significant net loss carry-forwards.</w:t>
      </w:r>
    </w:p>
    <w:p>
      <w:pPr>
        <w:spacing w:after="0" w:line="202" w:lineRule="exact"/>
        <w:rPr>
          <w:rFonts w:ascii="Arial" w:cs="Arial" w:eastAsia="Arial" w:hAnsi="Arial"/>
          <w:sz w:val="24"/>
          <w:szCs w:val="24"/>
          <w:color w:val="auto"/>
          <w:vertAlign w:val="superscript"/>
        </w:rPr>
      </w:pPr>
    </w:p>
    <w:p>
      <w:pPr>
        <w:ind w:left="4880" w:hanging="156"/>
        <w:spacing w:after="0"/>
        <w:tabs>
          <w:tab w:leader="none" w:pos="4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35" w:name="page36"/>
    <w:bookmarkEnd w:id="35"/>
    <w:p>
      <w:pPr>
        <w:ind w:left="640" w:right="680" w:hanging="320"/>
        <w:spacing w:after="0" w:line="198" w:lineRule="auto"/>
        <w:tabs>
          <w:tab w:leader="none" w:pos="6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EBIT allows a better performance comparison between RDI and other companies. For example, it allows us to compare ourselves with other companies that may have more or less debt than we do.</w:t>
      </w:r>
    </w:p>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define EBITDA as net income adjusted for interest expense (net of interest income), income tax expense, depreciation and amortization expense, and an adjustment of interest expense, depreciation, and amortization for discontinued operations, if any. EBITDA is useful principally for the following reasons:</w:t>
      </w:r>
    </w:p>
    <w:p>
      <w:pPr>
        <w:spacing w:after="0" w:line="62" w:lineRule="exact"/>
        <w:rPr>
          <w:sz w:val="20"/>
          <w:szCs w:val="20"/>
          <w:color w:val="auto"/>
        </w:rPr>
      </w:pPr>
    </w:p>
    <w:p>
      <w:pPr>
        <w:ind w:left="640" w:right="140" w:hanging="320"/>
        <w:spacing w:after="0" w:line="221" w:lineRule="auto"/>
        <w:tabs>
          <w:tab w:leader="none" w:pos="64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EBITDA is an industry comparative measure of financial performance. Analysts and financial commentators who report on the cinema exhibition and real estate industries often use EBITDA to determine the valuation of a company in such industries.</w:t>
      </w:r>
    </w:p>
    <w:p>
      <w:pPr>
        <w:spacing w:after="0" w:line="81" w:lineRule="exact"/>
        <w:rPr>
          <w:rFonts w:ascii="Arial" w:cs="Arial" w:eastAsia="Arial" w:hAnsi="Arial"/>
          <w:sz w:val="26"/>
          <w:szCs w:val="26"/>
          <w:color w:val="auto"/>
          <w:vertAlign w:val="superscript"/>
        </w:rPr>
      </w:pPr>
    </w:p>
    <w:p>
      <w:pPr>
        <w:ind w:left="640" w:right="300" w:hanging="320"/>
        <w:spacing w:after="0" w:line="198" w:lineRule="auto"/>
        <w:tabs>
          <w:tab w:leader="none" w:pos="6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EBITDA is a measure used by financial institutions to determine the credit rating of companies in cinema exhibition and real estate industries.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EBIT and EBITDA to net income is presented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 in thousands)</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189"/>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 attributable to RDI</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(26,429)</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14,034</w:t>
            </w:r>
          </w:p>
        </w:tc>
        <w:tc>
          <w:tcPr>
            <w:tcW w:w="80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30,865</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23,110</w:t>
            </w:r>
          </w:p>
        </w:tc>
      </w:tr>
      <w:tr>
        <w:trPr>
          <w:trHeight w:val="203"/>
        </w:trPr>
        <w:tc>
          <w:tcPr>
            <w:tcW w:w="3540" w:type="dxa"/>
            <w:vAlign w:val="bottom"/>
            <w:gridSpan w:val="2"/>
          </w:tcPr>
          <w:p>
            <w:pPr>
              <w:ind w:left="60"/>
              <w:spacing w:after="0"/>
              <w:rPr>
                <w:sz w:val="20"/>
                <w:szCs w:val="20"/>
                <w:color w:val="auto"/>
              </w:rPr>
            </w:pPr>
            <w:r>
              <w:rPr>
                <w:rFonts w:ascii="Arial" w:cs="Arial" w:eastAsia="Arial" w:hAnsi="Arial"/>
                <w:sz w:val="14"/>
                <w:szCs w:val="14"/>
                <w:color w:val="auto"/>
              </w:rPr>
              <w:t>Add: Interest expense, net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7,904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6,837</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6,194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6,782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7,304</w:t>
            </w:r>
          </w:p>
        </w:tc>
      </w:tr>
      <w:tr>
        <w:trPr>
          <w:trHeight w:val="203"/>
        </w:trPr>
        <w:tc>
          <w:tcPr>
            <w:tcW w:w="3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Add: Income tax (benefit) expense</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28,837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3,298</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5,148</w:t>
            </w:r>
          </w:p>
        </w:tc>
      </w:tr>
      <w:tr>
        <w:trPr>
          <w:trHeight w:val="183"/>
        </w:trPr>
        <w:tc>
          <w:tcPr>
            <w:tcW w:w="3540" w:type="dxa"/>
            <w:vAlign w:val="bottom"/>
            <w:gridSpan w:val="2"/>
          </w:tcPr>
          <w:p>
            <w:pPr>
              <w:spacing w:after="0"/>
              <w:rPr>
                <w:sz w:val="20"/>
                <w:szCs w:val="20"/>
                <w:color w:val="auto"/>
              </w:rPr>
            </w:pPr>
            <w:r>
              <w:rPr>
                <w:rFonts w:ascii="Arial" w:cs="Arial" w:eastAsia="Arial" w:hAnsi="Arial"/>
                <w:sz w:val="14"/>
                <w:szCs w:val="14"/>
                <w:color w:val="auto"/>
              </w:rPr>
              <w:t>EBIT</w:t>
            </w: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10,312</w:t>
            </w:r>
          </w:p>
        </w:tc>
        <w:tc>
          <w:tcPr>
            <w:tcW w:w="80" w:type="dxa"/>
            <w:vAlign w:val="bottom"/>
          </w:tcPr>
          <w:p>
            <w:pPr>
              <w:spacing w:after="0"/>
              <w:rPr>
                <w:sz w:val="15"/>
                <w:szCs w:val="15"/>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24,169</w:t>
            </w:r>
          </w:p>
        </w:tc>
        <w:tc>
          <w:tcPr>
            <w:tcW w:w="80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40,352</w:t>
            </w:r>
          </w:p>
        </w:tc>
        <w:tc>
          <w:tcPr>
            <w:tcW w:w="80" w:type="dxa"/>
            <w:vAlign w:val="bottom"/>
          </w:tcPr>
          <w:p>
            <w:pPr>
              <w:spacing w:after="0"/>
              <w:rPr>
                <w:sz w:val="15"/>
                <w:szCs w:val="15"/>
                <w:color w:val="auto"/>
              </w:rPr>
            </w:pP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20,598</w:t>
            </w:r>
          </w:p>
        </w:tc>
        <w:tc>
          <w:tcPr>
            <w:tcW w:w="8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35,562</w:t>
            </w:r>
          </w:p>
        </w:tc>
      </w:tr>
      <w:tr>
        <w:trPr>
          <w:trHeight w:val="203"/>
        </w:trPr>
        <w:tc>
          <w:tcPr>
            <w:tcW w:w="3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Add: Depreciation and amortization</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22,747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22,275</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16,942</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15,689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14,562</w:t>
            </w:r>
          </w:p>
        </w:tc>
      </w:tr>
      <w:tr>
        <w:trPr>
          <w:trHeight w:val="169"/>
        </w:trPr>
        <w:tc>
          <w:tcPr>
            <w:tcW w:w="3460" w:type="dxa"/>
            <w:vAlign w:val="bottom"/>
          </w:tcPr>
          <w:p>
            <w:pPr>
              <w:spacing w:after="0"/>
              <w:rPr>
                <w:sz w:val="20"/>
                <w:szCs w:val="20"/>
                <w:color w:val="auto"/>
              </w:rPr>
            </w:pPr>
            <w:r>
              <w:rPr>
                <w:rFonts w:ascii="Arial" w:cs="Arial" w:eastAsia="Arial" w:hAnsi="Arial"/>
                <w:sz w:val="14"/>
                <w:szCs w:val="14"/>
                <w:color w:val="auto"/>
              </w:rPr>
              <w:t>EBITDA</w:t>
            </w:r>
          </w:p>
        </w:tc>
        <w:tc>
          <w:tcPr>
            <w:tcW w:w="8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33,059</w:t>
            </w:r>
          </w:p>
        </w:tc>
        <w:tc>
          <w:tcPr>
            <w:tcW w:w="8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46,444</w:t>
            </w:r>
          </w:p>
        </w:tc>
        <w:tc>
          <w:tcPr>
            <w:tcW w:w="80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57,294</w:t>
            </w:r>
          </w:p>
        </w:tc>
        <w:tc>
          <w:tcPr>
            <w:tcW w:w="80" w:type="dxa"/>
            <w:vAlign w:val="bottom"/>
          </w:tcPr>
          <w:p>
            <w:pPr>
              <w:spacing w:after="0"/>
              <w:rPr>
                <w:sz w:val="14"/>
                <w:szCs w:val="14"/>
                <w:color w:val="auto"/>
              </w:rPr>
            </w:pP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36,287</w:t>
            </w:r>
          </w:p>
        </w:tc>
        <w:tc>
          <w:tcPr>
            <w:tcW w:w="8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50,124</w:t>
            </w:r>
          </w:p>
        </w:tc>
      </w:tr>
      <w:tr>
        <w:trPr>
          <w:trHeight w:val="27"/>
        </w:trPr>
        <w:tc>
          <w:tcPr>
            <w:tcW w:w="3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36" w:name="page37"/>
    <w:bookmarkEnd w:id="36"/>
    <w:p>
      <w:pPr>
        <w:spacing w:after="0"/>
        <w:rPr>
          <w:sz w:val="20"/>
          <w:szCs w:val="20"/>
          <w:color w:val="auto"/>
        </w:rPr>
      </w:pPr>
      <w:r>
        <w:rPr>
          <w:rFonts w:ascii="Arial" w:cs="Arial" w:eastAsia="Arial" w:hAnsi="Arial"/>
          <w:sz w:val="19"/>
          <w:szCs w:val="19"/>
          <w:b w:val="1"/>
          <w:bCs w:val="1"/>
          <w:u w:val="single" w:color="auto"/>
          <w:color w:val="auto"/>
        </w:rPr>
        <w:t>Item 7 –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167640</wp:posOffset>
            </wp:positionV>
            <wp:extent cx="6326505"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26505" cy="291465"/>
                    </a:xfrm>
                    <a:prstGeom prst="rect">
                      <a:avLst/>
                    </a:prstGeom>
                    <a:noFill/>
                  </pic:spPr>
                </pic:pic>
              </a:graphicData>
            </a:graphic>
          </wp:anchor>
        </w:drawing>
      </w:r>
    </w:p>
    <w:p>
      <w:pPr>
        <w:spacing w:after="0" w:line="257" w:lineRule="exact"/>
        <w:rPr>
          <w:sz w:val="20"/>
          <w:szCs w:val="20"/>
          <w:color w:val="auto"/>
        </w:rPr>
      </w:pPr>
    </w:p>
    <w:p>
      <w:pPr>
        <w:ind w:left="240" w:right="280"/>
        <w:spacing w:after="0" w:line="230" w:lineRule="auto"/>
        <w:rPr>
          <w:sz w:val="20"/>
          <w:szCs w:val="20"/>
          <w:color w:val="auto"/>
        </w:rPr>
      </w:pPr>
      <w:r>
        <w:rPr>
          <w:rFonts w:ascii="Arial" w:cs="Arial" w:eastAsia="Arial" w:hAnsi="Arial"/>
          <w:sz w:val="13"/>
          <w:szCs w:val="13"/>
          <w:i w:val="1"/>
          <w:iCs w:val="1"/>
          <w:color w:val="auto"/>
        </w:rPr>
        <w:t>This MD&amp;A should be read in conjunction with the accompanying consolidated financial statements included in Part II, Item 8 (Financial Statements and Supplementary Data). The foregoing discussions and analyses contain certain forward-looking statements. Please refer to the “Forward-Looking Statements” included as a preface in Part I, Item 1A – Risk Factors of this 2019 Form 10-K.</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12"/>
          </w:tcPr>
          <w:p>
            <w:pPr>
              <w:ind w:left="120"/>
              <w:spacing w:after="0"/>
              <w:rPr>
                <w:sz w:val="20"/>
                <w:szCs w:val="20"/>
                <w:color w:val="auto"/>
              </w:rPr>
            </w:pPr>
            <w:r>
              <w:rPr>
                <w:rFonts w:ascii="Arial" w:cs="Arial" w:eastAsia="Arial" w:hAnsi="Arial"/>
                <w:sz w:val="14"/>
                <w:szCs w:val="14"/>
                <w:b w:val="1"/>
                <w:bCs w:val="1"/>
                <w:color w:val="auto"/>
              </w:rPr>
              <w:t>INDEX</w:t>
            </w:r>
          </w:p>
        </w:tc>
        <w:tc>
          <w:tcPr>
            <w:tcW w:w="3020" w:type="dxa"/>
            <w:vAlign w:val="bottom"/>
            <w:gridSpan w:val="3"/>
          </w:tcPr>
          <w:p>
            <w:pPr>
              <w:jc w:val="center"/>
              <w:ind w:left="2352"/>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6920" w:type="dxa"/>
            <w:vAlign w:val="bottom"/>
            <w:gridSpan w:val="12"/>
            <w:shd w:val="clear" w:color="auto" w:fill="CCEEFF"/>
          </w:tcPr>
          <w:p>
            <w:pPr>
              <w:ind w:left="120"/>
              <w:spacing w:after="0" w:line="169" w:lineRule="exact"/>
              <w:rPr>
                <w:rFonts w:ascii="Arial" w:cs="Arial" w:eastAsia="Arial" w:hAnsi="Arial"/>
                <w:sz w:val="18"/>
                <w:szCs w:val="18"/>
                <w:color w:val="0000EE"/>
              </w:rPr>
            </w:pPr>
            <w:hyperlink w:anchor="page37">
              <w:r>
                <w:rPr>
                  <w:rFonts w:ascii="Arial" w:cs="Arial" w:eastAsia="Arial" w:hAnsi="Arial"/>
                  <w:sz w:val="18"/>
                  <w:szCs w:val="18"/>
                  <w:color w:val="0000EE"/>
                </w:rPr>
                <w:t>Business Overview</w:t>
              </w:r>
            </w:hyperlink>
          </w:p>
        </w:tc>
        <w:tc>
          <w:tcPr>
            <w:tcW w:w="2880" w:type="dxa"/>
            <w:vAlign w:val="bottom"/>
            <w:gridSpan w:val="2"/>
            <w:shd w:val="clear" w:color="auto" w:fill="CCEEFF"/>
          </w:tcPr>
          <w:p>
            <w:pPr>
              <w:jc w:val="center"/>
              <w:ind w:left="2492"/>
              <w:spacing w:after="0" w:line="169" w:lineRule="exact"/>
              <w:rPr>
                <w:sz w:val="20"/>
                <w:szCs w:val="20"/>
                <w:color w:val="auto"/>
              </w:rPr>
            </w:pPr>
            <w:r>
              <w:rPr>
                <w:rFonts w:ascii="Arial" w:cs="Arial" w:eastAsia="Arial" w:hAnsi="Arial"/>
                <w:sz w:val="18"/>
                <w:szCs w:val="18"/>
                <w:color w:val="auto"/>
                <w:w w:val="89"/>
              </w:rPr>
              <w:t>37</w:t>
            </w:r>
          </w:p>
        </w:tc>
        <w:tc>
          <w:tcPr>
            <w:tcW w:w="140" w:type="dxa"/>
            <w:vAlign w:val="bottom"/>
            <w:shd w:val="clear" w:color="auto" w:fill="CCEEFF"/>
          </w:tcPr>
          <w:p>
            <w:pPr>
              <w:spacing w:after="0"/>
              <w:rPr>
                <w:sz w:val="14"/>
                <w:szCs w:val="14"/>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920" w:type="dxa"/>
            <w:vAlign w:val="bottom"/>
            <w:gridSpan w:val="12"/>
          </w:tcPr>
          <w:p>
            <w:pPr>
              <w:ind w:left="1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Recent Developments</w:t>
              </w:r>
            </w:hyperlink>
          </w:p>
        </w:tc>
        <w:tc>
          <w:tcPr>
            <w:tcW w:w="2880" w:type="dxa"/>
            <w:vAlign w:val="bottom"/>
            <w:gridSpan w:val="2"/>
          </w:tcPr>
          <w:p>
            <w:pPr>
              <w:jc w:val="center"/>
              <w:ind w:left="2492"/>
              <w:spacing w:after="0" w:line="176" w:lineRule="exact"/>
              <w:rPr>
                <w:sz w:val="20"/>
                <w:szCs w:val="20"/>
                <w:color w:val="auto"/>
              </w:rPr>
            </w:pPr>
            <w:r>
              <w:rPr>
                <w:rFonts w:ascii="Arial" w:cs="Arial" w:eastAsia="Arial" w:hAnsi="Arial"/>
                <w:sz w:val="18"/>
                <w:szCs w:val="18"/>
                <w:color w:val="auto"/>
                <w:w w:val="89"/>
              </w:rPr>
              <w:t>39</w:t>
            </w:r>
          </w:p>
        </w:tc>
        <w:tc>
          <w:tcPr>
            <w:tcW w:w="14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6920" w:type="dxa"/>
            <w:vAlign w:val="bottom"/>
            <w:gridSpan w:val="12"/>
            <w:shd w:val="clear" w:color="auto" w:fill="CCEEFF"/>
          </w:tcPr>
          <w:p>
            <w:pPr>
              <w:ind w:left="1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Results of Operations</w:t>
              </w:r>
            </w:hyperlink>
          </w:p>
        </w:tc>
        <w:tc>
          <w:tcPr>
            <w:tcW w:w="2880" w:type="dxa"/>
            <w:vAlign w:val="bottom"/>
            <w:gridSpan w:val="2"/>
            <w:shd w:val="clear" w:color="auto" w:fill="CCEEFF"/>
          </w:tcPr>
          <w:p>
            <w:pPr>
              <w:jc w:val="center"/>
              <w:ind w:left="2492"/>
              <w:spacing w:after="0" w:line="176" w:lineRule="exact"/>
              <w:rPr>
                <w:sz w:val="20"/>
                <w:szCs w:val="20"/>
                <w:color w:val="auto"/>
              </w:rPr>
            </w:pPr>
            <w:r>
              <w:rPr>
                <w:rFonts w:ascii="Arial" w:cs="Arial" w:eastAsia="Arial" w:hAnsi="Arial"/>
                <w:sz w:val="18"/>
                <w:szCs w:val="18"/>
                <w:color w:val="auto"/>
                <w:w w:val="89"/>
              </w:rPr>
              <w:t>44</w:t>
            </w:r>
          </w:p>
        </w:tc>
        <w:tc>
          <w:tcPr>
            <w:tcW w:w="14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920" w:type="dxa"/>
            <w:vAlign w:val="bottom"/>
            <w:gridSpan w:val="12"/>
          </w:tcPr>
          <w:p>
            <w:pPr>
              <w:ind w:left="12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Business Segment Results – 2019 vs. 2018</w:t>
              </w:r>
            </w:hyperlink>
          </w:p>
        </w:tc>
        <w:tc>
          <w:tcPr>
            <w:tcW w:w="2880" w:type="dxa"/>
            <w:vAlign w:val="bottom"/>
            <w:gridSpan w:val="2"/>
          </w:tcPr>
          <w:p>
            <w:pPr>
              <w:jc w:val="center"/>
              <w:ind w:left="2492"/>
              <w:spacing w:after="0" w:line="176" w:lineRule="exact"/>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6920" w:type="dxa"/>
            <w:vAlign w:val="bottom"/>
            <w:gridSpan w:val="12"/>
            <w:shd w:val="clear" w:color="auto" w:fill="CCEEFF"/>
          </w:tcPr>
          <w:p>
            <w:pPr>
              <w:ind w:left="12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Non-Segment Results – 2019 vs. 2018</w:t>
              </w:r>
            </w:hyperlink>
          </w:p>
        </w:tc>
        <w:tc>
          <w:tcPr>
            <w:tcW w:w="2880" w:type="dxa"/>
            <w:vAlign w:val="bottom"/>
            <w:gridSpan w:val="2"/>
            <w:shd w:val="clear" w:color="auto" w:fill="CCEEFF"/>
          </w:tcPr>
          <w:p>
            <w:pPr>
              <w:jc w:val="center"/>
              <w:ind w:left="2492"/>
              <w:spacing w:after="0" w:line="176" w:lineRule="exact"/>
              <w:rPr>
                <w:sz w:val="20"/>
                <w:szCs w:val="20"/>
                <w:color w:val="auto"/>
              </w:rPr>
            </w:pPr>
            <w:r>
              <w:rPr>
                <w:rFonts w:ascii="Arial" w:cs="Arial" w:eastAsia="Arial" w:hAnsi="Arial"/>
                <w:sz w:val="18"/>
                <w:szCs w:val="18"/>
                <w:color w:val="auto"/>
                <w:w w:val="89"/>
              </w:rPr>
              <w:t>52</w:t>
            </w:r>
          </w:p>
        </w:tc>
        <w:tc>
          <w:tcPr>
            <w:tcW w:w="140" w:type="dxa"/>
            <w:vAlign w:val="bottom"/>
            <w:shd w:val="clear" w:color="auto" w:fill="CCEEFF"/>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920" w:type="dxa"/>
            <w:vAlign w:val="bottom"/>
            <w:gridSpan w:val="12"/>
          </w:tcPr>
          <w:p>
            <w:pPr>
              <w:ind w:left="1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Business Segment Results – 2018 vs. 2017</w:t>
              </w:r>
            </w:hyperlink>
          </w:p>
        </w:tc>
        <w:tc>
          <w:tcPr>
            <w:tcW w:w="2880" w:type="dxa"/>
            <w:vAlign w:val="bottom"/>
            <w:gridSpan w:val="2"/>
          </w:tcPr>
          <w:p>
            <w:pPr>
              <w:jc w:val="center"/>
              <w:ind w:left="2492"/>
              <w:spacing w:after="0" w:line="176" w:lineRule="exact"/>
              <w:rPr>
                <w:sz w:val="20"/>
                <w:szCs w:val="20"/>
                <w:color w:val="auto"/>
              </w:rPr>
            </w:pPr>
            <w:r>
              <w:rPr>
                <w:rFonts w:ascii="Arial" w:cs="Arial" w:eastAsia="Arial" w:hAnsi="Arial"/>
                <w:sz w:val="18"/>
                <w:szCs w:val="18"/>
                <w:color w:val="auto"/>
                <w:w w:val="89"/>
              </w:rPr>
              <w:t>53</w:t>
            </w:r>
          </w:p>
        </w:tc>
        <w:tc>
          <w:tcPr>
            <w:tcW w:w="14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6920" w:type="dxa"/>
            <w:vAlign w:val="bottom"/>
            <w:gridSpan w:val="12"/>
            <w:shd w:val="clear" w:color="auto" w:fill="CCEEFF"/>
          </w:tcPr>
          <w:p>
            <w:pPr>
              <w:ind w:left="12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Non-Segment Results – 2018 vs. 2017</w:t>
              </w:r>
            </w:hyperlink>
          </w:p>
        </w:tc>
        <w:tc>
          <w:tcPr>
            <w:tcW w:w="2880" w:type="dxa"/>
            <w:vAlign w:val="bottom"/>
            <w:gridSpan w:val="2"/>
            <w:shd w:val="clear" w:color="auto" w:fill="CCEEFF"/>
          </w:tcPr>
          <w:p>
            <w:pPr>
              <w:jc w:val="center"/>
              <w:ind w:left="2492"/>
              <w:spacing w:after="0" w:line="176" w:lineRule="exact"/>
              <w:rPr>
                <w:sz w:val="20"/>
                <w:szCs w:val="20"/>
                <w:color w:val="auto"/>
              </w:rPr>
            </w:pPr>
            <w:r>
              <w:rPr>
                <w:rFonts w:ascii="Arial" w:cs="Arial" w:eastAsia="Arial" w:hAnsi="Arial"/>
                <w:sz w:val="18"/>
                <w:szCs w:val="18"/>
                <w:color w:val="auto"/>
                <w:w w:val="89"/>
              </w:rPr>
              <w:t>59</w:t>
            </w:r>
          </w:p>
        </w:tc>
        <w:tc>
          <w:tcPr>
            <w:tcW w:w="14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920" w:type="dxa"/>
            <w:vAlign w:val="bottom"/>
            <w:gridSpan w:val="12"/>
          </w:tcPr>
          <w:p>
            <w:pPr>
              <w:ind w:left="1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Liquidity and Capital Resources</w:t>
              </w:r>
            </w:hyperlink>
          </w:p>
        </w:tc>
        <w:tc>
          <w:tcPr>
            <w:tcW w:w="2880" w:type="dxa"/>
            <w:vAlign w:val="bottom"/>
            <w:gridSpan w:val="2"/>
          </w:tcPr>
          <w:p>
            <w:pPr>
              <w:jc w:val="center"/>
              <w:ind w:left="2492"/>
              <w:spacing w:after="0" w:line="176" w:lineRule="exact"/>
              <w:rPr>
                <w:sz w:val="20"/>
                <w:szCs w:val="20"/>
                <w:color w:val="auto"/>
              </w:rPr>
            </w:pPr>
            <w:r>
              <w:rPr>
                <w:rFonts w:ascii="Arial" w:cs="Arial" w:eastAsia="Arial" w:hAnsi="Arial"/>
                <w:sz w:val="18"/>
                <w:szCs w:val="18"/>
                <w:color w:val="auto"/>
                <w:w w:val="89"/>
              </w:rPr>
              <w:t>60</w:t>
            </w:r>
          </w:p>
        </w:tc>
        <w:tc>
          <w:tcPr>
            <w:tcW w:w="14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6920" w:type="dxa"/>
            <w:vAlign w:val="bottom"/>
            <w:gridSpan w:val="12"/>
            <w:shd w:val="clear" w:color="auto" w:fill="CCEEFF"/>
          </w:tcPr>
          <w:p>
            <w:pPr>
              <w:ind w:left="1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Contractual Obligations, Commitments and Contingencies</w:t>
              </w:r>
            </w:hyperlink>
          </w:p>
        </w:tc>
        <w:tc>
          <w:tcPr>
            <w:tcW w:w="2880" w:type="dxa"/>
            <w:vAlign w:val="bottom"/>
            <w:gridSpan w:val="2"/>
            <w:shd w:val="clear" w:color="auto" w:fill="CCEEFF"/>
          </w:tcPr>
          <w:p>
            <w:pPr>
              <w:jc w:val="center"/>
              <w:ind w:left="2492"/>
              <w:spacing w:after="0" w:line="176" w:lineRule="exact"/>
              <w:rPr>
                <w:sz w:val="20"/>
                <w:szCs w:val="20"/>
                <w:color w:val="auto"/>
              </w:rPr>
            </w:pPr>
            <w:r>
              <w:rPr>
                <w:rFonts w:ascii="Arial" w:cs="Arial" w:eastAsia="Arial" w:hAnsi="Arial"/>
                <w:sz w:val="18"/>
                <w:szCs w:val="18"/>
                <w:color w:val="auto"/>
                <w:w w:val="89"/>
              </w:rPr>
              <w:t>62</w:t>
            </w:r>
          </w:p>
        </w:tc>
        <w:tc>
          <w:tcPr>
            <w:tcW w:w="140" w:type="dxa"/>
            <w:vAlign w:val="bottom"/>
            <w:shd w:val="clear" w:color="auto" w:fill="CCEEFF"/>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920" w:type="dxa"/>
            <w:vAlign w:val="bottom"/>
            <w:gridSpan w:val="12"/>
          </w:tcPr>
          <w:p>
            <w:pPr>
              <w:ind w:left="1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Financial Risk Management</w:t>
              </w:r>
            </w:hyperlink>
          </w:p>
        </w:tc>
        <w:tc>
          <w:tcPr>
            <w:tcW w:w="2880" w:type="dxa"/>
            <w:vAlign w:val="bottom"/>
            <w:gridSpan w:val="2"/>
          </w:tcPr>
          <w:p>
            <w:pPr>
              <w:jc w:val="center"/>
              <w:ind w:left="2492"/>
              <w:spacing w:after="0" w:line="176" w:lineRule="exact"/>
              <w:rPr>
                <w:sz w:val="20"/>
                <w:szCs w:val="20"/>
                <w:color w:val="auto"/>
              </w:rPr>
            </w:pPr>
            <w:r>
              <w:rPr>
                <w:rFonts w:ascii="Arial" w:cs="Arial" w:eastAsia="Arial" w:hAnsi="Arial"/>
                <w:sz w:val="18"/>
                <w:szCs w:val="18"/>
                <w:color w:val="auto"/>
                <w:w w:val="89"/>
              </w:rPr>
              <w:t>63</w:t>
            </w:r>
          </w:p>
        </w:tc>
        <w:tc>
          <w:tcPr>
            <w:tcW w:w="14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6920" w:type="dxa"/>
            <w:vAlign w:val="bottom"/>
            <w:gridSpan w:val="12"/>
            <w:shd w:val="clear" w:color="auto" w:fill="CCEEFF"/>
          </w:tcPr>
          <w:p>
            <w:pPr>
              <w:ind w:left="1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Critical Accounting Estimates</w:t>
              </w:r>
            </w:hyperlink>
          </w:p>
        </w:tc>
        <w:tc>
          <w:tcPr>
            <w:tcW w:w="2880" w:type="dxa"/>
            <w:vAlign w:val="bottom"/>
            <w:gridSpan w:val="2"/>
            <w:shd w:val="clear" w:color="auto" w:fill="CCEEFF"/>
          </w:tcPr>
          <w:p>
            <w:pPr>
              <w:jc w:val="center"/>
              <w:ind w:left="2492"/>
              <w:spacing w:after="0" w:line="176" w:lineRule="exact"/>
              <w:rPr>
                <w:sz w:val="20"/>
                <w:szCs w:val="20"/>
                <w:color w:val="auto"/>
              </w:rPr>
            </w:pPr>
            <w:r>
              <w:rPr>
                <w:rFonts w:ascii="Arial" w:cs="Arial" w:eastAsia="Arial" w:hAnsi="Arial"/>
                <w:sz w:val="18"/>
                <w:szCs w:val="18"/>
                <w:color w:val="auto"/>
                <w:w w:val="89"/>
              </w:rPr>
              <w:t>64</w:t>
            </w:r>
          </w:p>
        </w:tc>
        <w:tc>
          <w:tcPr>
            <w:tcW w:w="140" w:type="dxa"/>
            <w:vAlign w:val="bottom"/>
            <w:shd w:val="clear" w:color="auto" w:fill="CCEEFF"/>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80"/>
        <w:spacing w:after="0" w:line="340" w:lineRule="auto"/>
        <w:rPr>
          <w:sz w:val="20"/>
          <w:szCs w:val="20"/>
          <w:color w:val="auto"/>
        </w:rPr>
      </w:pPr>
      <w:r>
        <w:rPr>
          <w:rFonts w:ascii="Arial" w:cs="Arial" w:eastAsia="Arial" w:hAnsi="Arial"/>
          <w:sz w:val="16"/>
          <w:szCs w:val="16"/>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ind w:left="640" w:hanging="320"/>
        <w:spacing w:after="0" w:line="182" w:lineRule="auto"/>
        <w:tabs>
          <w:tab w:leader="none" w:pos="640" w:val="left"/>
        </w:tabs>
        <w:numPr>
          <w:ilvl w:val="0"/>
          <w:numId w:val="22"/>
        </w:numPr>
        <w:rPr>
          <w:rFonts w:ascii="Arial" w:cs="Arial" w:eastAsia="Arial" w:hAnsi="Arial"/>
          <w:sz w:val="27"/>
          <w:szCs w:val="27"/>
          <w:color w:val="auto"/>
          <w:vertAlign w:val="superscript"/>
        </w:rPr>
      </w:pPr>
      <w:r>
        <w:rPr>
          <w:rFonts w:ascii="Arial" w:cs="Arial" w:eastAsia="Arial" w:hAnsi="Arial"/>
          <w:sz w:val="17"/>
          <w:szCs w:val="17"/>
          <w:color w:val="auto"/>
        </w:rPr>
        <w:t>Cinema exhibition, through our 60 multiplex cinemas.</w:t>
      </w:r>
    </w:p>
    <w:p>
      <w:pPr>
        <w:spacing w:after="0" w:line="96" w:lineRule="exact"/>
        <w:rPr>
          <w:rFonts w:ascii="Arial" w:cs="Arial" w:eastAsia="Arial" w:hAnsi="Arial"/>
          <w:sz w:val="27"/>
          <w:szCs w:val="27"/>
          <w:color w:val="auto"/>
          <w:vertAlign w:val="superscript"/>
        </w:rPr>
      </w:pPr>
    </w:p>
    <w:p>
      <w:pPr>
        <w:ind w:left="640" w:hanging="320"/>
        <w:spacing w:after="0" w:line="186" w:lineRule="auto"/>
        <w:tabs>
          <w:tab w:leader="none" w:pos="64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Real estate, including real estate development and the rental of retail, commercial, and live theatre assets.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that these two business segments complement one another, as we can use the comparatively consistent cash flows generated by our cinema operations to fund the front-end cash demands of our real estate development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worldwide cinema exhibition businesses under various brands:</w:t>
      </w:r>
    </w:p>
    <w:p>
      <w:pPr>
        <w:ind w:left="640" w:hanging="320"/>
        <w:spacing w:after="0"/>
        <w:tabs>
          <w:tab w:leader="none" w:pos="6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in the U.S., under the Reading Cinemas, Angelika Film Centers, Consolidated Theatres, and City Cinemas.</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in Australia, under the Reading Cinemas, State Cinema, and the unconsolidated joint venture Event Cinemas.</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in New Zealand, under the Reading Cinemas, and the unconsolidated joint ventures Rialto Cinemas.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Strategy: Applying a Synergistic Approach</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the cinema exhibition business to be one that will likely continue to generate fairly consistent cash flows in the years ahead, even in a recessionary or inflationary environment. This is based on our belief that people will continue to spend a reasonable portion of their entertainment dollars on entertainment outside of the home and that, when compared to other forms of outside-the-home entertainment, movies continue to be a popular and competitively priced option. We believe that the advent of an array of streaming and mobile video services is more of a threat to the delivery of traditional in-home forms of entertainment (such as traditional cable and satellite providers) than it is to the exhibition industry. We believe that historically, our industry has benefited as the amount of quality product available for exhibition has increased. In the current situation, the amount of product coming to consumers is in some ways overwhelming. We believe that this means that cinema exhibition is going to be an increasingly important way for content providers to establish an identity for their product that will carry over into the streaming and mobile video market and aid consumers in their programming choices. We believe that our cinemas will be critical to provide the “Grand Opening” needed for product providers attempting to compete in the streaming market. This being the case, we likewise believe that the entire cinema-going experience needs to be special to provide this “Grand Opening” feel. Acting on that belief, we have focused in recent periods on the upgrading of our cinemas to feature luxury lounge seating, state-of-the-art sound, large format screens, and enhanced food and beverage. We have invested in technology to make our reservation system more user friendly and to encourage customer loyalty.</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believe the cinema exhibition business to be a well-established business with most markets either adequately screened or over-screened and we see growth in our cinema exhibition business coming principally from (i) the enhancement of our existing cinemas (for example, by the addition of luxury recliner seating and expanding our food and beverage program), (ii) the development in select markets of specialty cinemas and where applicable, new cinemas in underserved markets, and (iii) the opportunistic acquisition of already existing cinemas. From time to time, we might invest in the securities of other companies, where we believe the business or assets of those companies to be attractive or to offer synergies to our existing entertainment and real estate businesses. We continue to focus on the development and redevelopment of our existing assets (particularly our real estate assets in (i) New York, (ii) Brisbane and Sydney in Australia, and (iii) Wellington, New Zealand, and our Angelika Film Center chain), as well as to continue to 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5" w:right="979" w:bottom="1440" w:gutter="0" w:footer="0" w:header="0"/>
        </w:sectPr>
      </w:pPr>
    </w:p>
    <w:bookmarkStart w:id="37" w:name="page38"/>
    <w:bookmarkEnd w:id="37"/>
    <w:p>
      <w:pPr>
        <w:ind w:right="40"/>
        <w:spacing w:after="0" w:line="277" w:lineRule="auto"/>
        <w:rPr>
          <w:sz w:val="20"/>
          <w:szCs w:val="20"/>
          <w:color w:val="auto"/>
        </w:rPr>
      </w:pPr>
      <w:r>
        <w:rPr>
          <w:rFonts w:ascii="Arial" w:cs="Arial" w:eastAsia="Arial" w:hAnsi="Arial"/>
          <w:sz w:val="18"/>
          <w:szCs w:val="18"/>
          <w:color w:val="auto"/>
        </w:rPr>
        <w:t>opportunistic in identifying and endeavoring to acquire undervalued assets, particularly assets with proven cash flow and that we believe to be resistant to recessionary trends.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see ourselves principally as a geographically diversified real estate and cinema exhibition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cash-generating cinema operations and our cash-consuming real estate investment and development activities. We believe that, by blending the cash generating capabilities of a cinema operation with the investment and development opportunities of our real estate operations, our business strategy is unique among public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Performance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Two key performance indicators utilized by management are EBITDA and Food and Beverage SPP.</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Item 6 – Selected Financial Data, we discuss EBITDA (and EBIT) and explain in detail how it can be read in conjunction with other GAAP measurements.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Another key performance indicator that we analyze is SPP. SPP is food and beverage spend per patron. One of our strategic priorities is upgrading the food and beverage menu at a number of our U.S. cinemas. We use SPP as a measure of our performance as compared to the performance of our competitors, as well as a measure of the performance of our food and beverage operations. While ultimately, the profitability of our food and beverage operations depends on a variety of factors, including labor cost and cost of goods sold, we think that this calculation is important to show how well we are doing on a top line basis. We provide certain SPP data in our Cinema Exhibition operating results discussion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Outlook</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the time of the filing of this Annual Report on Form 10-K, the developing coronavirus outbreak has reached the United States, Australia and New Zealand and could cause patrons to avoid our cinemas and retail centers and, in the United States, our live theatres or other public places where large crowds are in attendance. Outbreaks of the coronavirus have caused cinemas, retail businesses and other public assembly venues to close in certain parts of the world. As the coronavirus spreads in the United States, Australia, and New Zealand, the Company may elect on a voluntary basis to close some of our cinemas or portions of our cinemas, or governmental officials may order such closures. For example, New York has ordered theaters closed indefinitely starting March 17, 2020. Certain major studios have announced the delayed release of major motion pictures to later in the year. At a minimum, the delayed releases of major motion pictures will push revenues into later quarters, will potentially reduce our full year revenues and may accelerate the Company’s decisions to consider reduction of operational levels at our cinemas. In addition, we expect that the spread of the coronavirus may adversely impact the retail businesses of our tenants which, in turn, would likely result in an increase in the number of tenant defaults under their respective lease agreement and/or requests for rent reduction or rent abatement</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outbreaks are at an early stage in the United States, Australia, and New Zealand, but we could experience material adverse impacts on our cinema exhibition and real estate businesses for the duration of any such outbreaks.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Exhibition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Along with most of our industry, we have completed the conversion of all of our U.S., Australia, and New Zealand cinema operations to digital exhibition. We believe that a substantial part of this cost of conversion has been or will be recovered by the receipt of “virtual print fees” paid by film distributors for the use of such digital projection equipment.</w:t>
      </w:r>
    </w:p>
    <w:p>
      <w:pPr>
        <w:spacing w:after="0" w:line="18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in-home and mobile segment of the entertainment industry has experienced significant leaps in recent years in both the quality and affordability of in-home entertainment systems and in the accessibility to and quality of entertainment programming through alternative film distribution channels, such as network, cable, satellite, internet distribution channels, and Blu-ray/DVD. The success of these alternative distribution channels puts additional pressure on film distributors to reduce and/or eliminate the length of time between theatrical and secondary release dates. These are issues common to both our U.S. and international cinema operations. However, the sheer quantity of programing now being offered and the multiplicity of channels through which it is being offered has increased the importance of product branding. We believe that the in-theater movie experience will become increasingly important as a way to brand and promote programming to be distributed through these alternative channels. However, we further believe that to serve this function, the in-theater experience has to be truly special. Accordingly, over the past three years, we have invested heavily in upgrading our cinemas with luxury recliner seating, large format screens, state-of-the-art sound and enhanced food and beverage service.</w:t>
      </w:r>
    </w:p>
    <w:p>
      <w:pPr>
        <w:spacing w:after="0" w:line="16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Also, while MoviePass ultimately went bankrupt, the MoviePass experiment has led to the adoption of various discount and loyalty programs in our industry. To meet this, we too have adopted a variety of discount programs as the industry sorts itself out in this regard.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Below is a summary discussion of the competitive aspects of our two cinema exhibition markets:</w:t>
      </w:r>
    </w:p>
    <w:p>
      <w:pPr>
        <w:spacing w:after="0" w:line="100" w:lineRule="exact"/>
        <w:rPr>
          <w:sz w:val="20"/>
          <w:szCs w:val="20"/>
          <w:color w:val="auto"/>
        </w:rPr>
      </w:pPr>
    </w:p>
    <w:p>
      <w:pPr>
        <w:ind w:left="640" w:right="100" w:hanging="320"/>
        <w:spacing w:after="0" w:line="238" w:lineRule="auto"/>
        <w:tabs>
          <w:tab w:leader="none" w:pos="64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b w:val="1"/>
          <w:bCs w:val="1"/>
          <w:color w:val="auto"/>
        </w:rPr>
        <w:t>North America</w:t>
      </w:r>
      <w:r>
        <w:rPr>
          <w:rFonts w:ascii="Arial" w:cs="Arial" w:eastAsia="Arial" w:hAnsi="Arial"/>
          <w:sz w:val="17"/>
          <w:szCs w:val="17"/>
          <w:color w:val="auto"/>
        </w:rPr>
        <w:t>: We face strong competition in North America as distributors may find it more commercially appealing to deal</w:t>
      </w:r>
      <w:r>
        <w:rPr>
          <w:rFonts w:ascii="Arial" w:cs="Arial" w:eastAsia="Arial" w:hAnsi="Arial"/>
          <w:sz w:val="17"/>
          <w:szCs w:val="17"/>
          <w:b w:val="1"/>
          <w:bCs w:val="1"/>
          <w:color w:val="auto"/>
        </w:rPr>
        <w:t xml:space="preserve"> </w:t>
      </w:r>
      <w:r>
        <w:rPr>
          <w:rFonts w:ascii="Arial" w:cs="Arial" w:eastAsia="Arial" w:hAnsi="Arial"/>
          <w:sz w:val="17"/>
          <w:szCs w:val="17"/>
          <w:color w:val="auto"/>
        </w:rPr>
        <w:t>with major exhibitors, rather than to deal with independent exhibitors such as ourselves. This competitive disadvantage has increased significantly in recent periods, with the development of mega-circuits such as AMC, Cineworld (the recent owners of Regal), and Cinemark who are able to offer distributors access to screens on a truly nationwide basis, or, on the other hand, to limit access if their desires with respect to film supply are not satisfied.</w:t>
      </w:r>
    </w:p>
    <w:p>
      <w:pPr>
        <w:spacing w:after="0" w:line="83" w:lineRule="exact"/>
        <w:rPr>
          <w:rFonts w:ascii="Arial" w:cs="Arial" w:eastAsia="Arial" w:hAnsi="Arial"/>
          <w:sz w:val="28"/>
          <w:szCs w:val="28"/>
          <w:color w:val="auto"/>
          <w:vertAlign w:val="superscript"/>
        </w:rPr>
      </w:pPr>
    </w:p>
    <w:p>
      <w:pPr>
        <w:ind w:left="640" w:right="60"/>
        <w:spacing w:after="0" w:line="254" w:lineRule="auto"/>
        <w:rPr>
          <w:rFonts w:ascii="Arial" w:cs="Arial" w:eastAsia="Arial" w:hAnsi="Arial"/>
          <w:sz w:val="28"/>
          <w:szCs w:val="28"/>
          <w:color w:val="auto"/>
          <w:vertAlign w:val="superscript"/>
        </w:rPr>
      </w:pPr>
      <w:r>
        <w:rPr>
          <w:rFonts w:ascii="Arial" w:cs="Arial" w:eastAsia="Arial" w:hAnsi="Arial"/>
          <w:sz w:val="18"/>
          <w:szCs w:val="18"/>
          <w:color w:val="auto"/>
        </w:rPr>
        <w:t>In 2017, AMC completed its acquisition of Carmike Cinemas, making AMC the largest circuit in the U.S. and when considered with its parent, Dalian Wanda, the largest exhibitor in the world. Cineworld, a major European cinema circuit operator, acquired Regal in 2018 and announced at the end of 2019 its plans to acquire Canada’s Cineplex. The restructuring and consolidation undertaken in the industry is decreasing the number of exhibitors in the market, and the emergence of increasingly attractive in-home and mobile entertainment alternatives and the continued growth of in-home and mobile viewing options is resulting in pressure for shortened release windows and a quicker release to other competitive distribution channels such as cable and streaming video.</w:t>
      </w:r>
    </w:p>
    <w:p>
      <w:pPr>
        <w:spacing w:after="0" w:line="55" w:lineRule="exact"/>
        <w:rPr>
          <w:rFonts w:ascii="Arial" w:cs="Arial" w:eastAsia="Arial" w:hAnsi="Arial"/>
          <w:sz w:val="28"/>
          <w:szCs w:val="28"/>
          <w:color w:val="auto"/>
          <w:vertAlign w:val="superscript"/>
        </w:rPr>
      </w:pPr>
    </w:p>
    <w:p>
      <w:pPr>
        <w:ind w:left="640" w:right="80" w:hanging="320"/>
        <w:spacing w:after="0" w:line="250" w:lineRule="auto"/>
        <w:tabs>
          <w:tab w:leader="none" w:pos="64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b w:val="1"/>
          <w:bCs w:val="1"/>
          <w:color w:val="auto"/>
        </w:rPr>
        <w:t>Australia/New Zealand</w:t>
      </w:r>
      <w:r>
        <w:rPr>
          <w:rFonts w:ascii="Arial" w:cs="Arial" w:eastAsia="Arial" w:hAnsi="Arial"/>
          <w:sz w:val="17"/>
          <w:szCs w:val="17"/>
          <w:color w:val="auto"/>
        </w:rPr>
        <w:t>: The cinema exhibition industry in Australia and New Zealand is highly concentrated in that Event</w:t>
      </w:r>
      <w:r>
        <w:rPr>
          <w:rFonts w:ascii="Arial" w:cs="Arial" w:eastAsia="Arial" w:hAnsi="Arial"/>
          <w:sz w:val="17"/>
          <w:szCs w:val="17"/>
          <w:b w:val="1"/>
          <w:bCs w:val="1"/>
          <w:color w:val="auto"/>
        </w:rPr>
        <w:t xml:space="preserve"> </w:t>
      </w:r>
      <w:r>
        <w:rPr>
          <w:rFonts w:ascii="Arial" w:cs="Arial" w:eastAsia="Arial" w:hAnsi="Arial"/>
          <w:sz w:val="17"/>
          <w:szCs w:val="17"/>
          <w:color w:val="auto"/>
        </w:rPr>
        <w:t>Cinemas, Village, and Hoyts (the “Major Exhibitors”) control approximately 72% of the cinema box office in Australia, while Event Cinemas and Hoyts control approximately 56% of New Zealand’s cinema box office. The industry is also somewhat vertically integrated in that one of the Major Exhibitors, Roadshow Film Distributors (part of Village), also serves as a distributor of film in Australia and New Zealand for Warner Bros.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built a number of new multiplexes as joint venture partners or under shared facility arrangements and have historically not engaged in head-to-head competition.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discussion of our view as to the competitive aspects of the markets where we own real estate properties is as follows:</w:t>
      </w:r>
    </w:p>
    <w:p>
      <w:pPr>
        <w:spacing w:after="0" w:line="111" w:lineRule="exact"/>
        <w:rPr>
          <w:sz w:val="20"/>
          <w:szCs w:val="20"/>
          <w:color w:val="auto"/>
        </w:rPr>
      </w:pPr>
    </w:p>
    <w:p>
      <w:pPr>
        <w:ind w:left="640" w:hanging="320"/>
        <w:spacing w:after="0" w:line="246" w:lineRule="auto"/>
        <w:tabs>
          <w:tab w:leader="none" w:pos="64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b w:val="1"/>
          <w:bCs w:val="1"/>
          <w:color w:val="auto"/>
        </w:rPr>
        <w:t>North America</w:t>
      </w:r>
      <w:r>
        <w:rPr>
          <w:rFonts w:ascii="Arial" w:cs="Arial" w:eastAsia="Arial" w:hAnsi="Arial"/>
          <w:sz w:val="17"/>
          <w:szCs w:val="17"/>
          <w:color w:val="auto"/>
        </w:rPr>
        <w:t>: We believe that U.S. retail real estate owners will continue to reuse the space vacated by anchor retailers to</w:t>
      </w:r>
      <w:r>
        <w:rPr>
          <w:rFonts w:ascii="Arial" w:cs="Arial" w:eastAsia="Arial" w:hAnsi="Arial"/>
          <w:sz w:val="17"/>
          <w:szCs w:val="17"/>
          <w:b w:val="1"/>
          <w:bCs w:val="1"/>
          <w:color w:val="auto"/>
        </w:rPr>
        <w:t xml:space="preserve"> </w:t>
      </w:r>
      <w:r>
        <w:rPr>
          <w:rFonts w:ascii="Arial" w:cs="Arial" w:eastAsia="Arial" w:hAnsi="Arial"/>
          <w:sz w:val="17"/>
          <w:szCs w:val="17"/>
          <w:color w:val="auto"/>
        </w:rPr>
        <w:t>offer a variety of entertainment options and ultimately enhance the customer experience. Online marketplaces will offer a platform to brands, designers, and artists to find physical retail space for a short duration. This will likely spur a broader subleasing phenomenon. Subleasing will likely be bigger than leasing, however, physical stores will remain, although their form and functionality will continue to evolve. Credit availability may be a concern going forward, due to, among other things, the continued low Commercial Mortgage-Backed Securities (CMBS) issuances and banks tightening the lending standards across all commercial real estate loan categories due to increased federal scrutiny.</w:t>
      </w:r>
    </w:p>
    <w:p>
      <w:pPr>
        <w:spacing w:after="0" w:line="78" w:lineRule="exact"/>
        <w:rPr>
          <w:rFonts w:ascii="Arial" w:cs="Arial" w:eastAsia="Arial" w:hAnsi="Arial"/>
          <w:sz w:val="28"/>
          <w:szCs w:val="28"/>
          <w:color w:val="auto"/>
          <w:vertAlign w:val="superscript"/>
        </w:rPr>
      </w:pPr>
    </w:p>
    <w:p>
      <w:pPr>
        <w:ind w:left="640" w:right="20"/>
        <w:spacing w:after="0" w:line="296" w:lineRule="auto"/>
        <w:rPr>
          <w:rFonts w:ascii="Arial" w:cs="Arial" w:eastAsia="Arial" w:hAnsi="Arial"/>
          <w:sz w:val="28"/>
          <w:szCs w:val="28"/>
          <w:color w:val="auto"/>
          <w:vertAlign w:val="superscript"/>
        </w:rPr>
      </w:pPr>
      <w:r>
        <w:rPr>
          <w:rFonts w:ascii="Arial" w:cs="Arial" w:eastAsia="Arial" w:hAnsi="Arial"/>
          <w:sz w:val="16"/>
          <w:szCs w:val="16"/>
          <w:color w:val="auto"/>
        </w:rPr>
        <w:t>Demand for office space is likely to reduce as corporations adapt to employees’ “live, work, and play” behavior and leverage technology to automate tasks. The leasing of large office spaces and subleasing them on demand for a wide variety of short-term rentals, ranging from day offices, hourly use of office space or meeting rooms, to virtual offices and other uses, continues to be a growing trend. In essence, office space demand will tilt in favor of open, flexible, co-sharing spaces and the per-employee office space requirement is likely to shrink, as there will be a higher demand for dynamically configurable spaces.</w:t>
      </w:r>
    </w:p>
    <w:p>
      <w:pPr>
        <w:spacing w:after="0" w:line="39" w:lineRule="exact"/>
        <w:rPr>
          <w:rFonts w:ascii="Arial" w:cs="Arial" w:eastAsia="Arial" w:hAnsi="Arial"/>
          <w:sz w:val="28"/>
          <w:szCs w:val="28"/>
          <w:color w:val="auto"/>
          <w:vertAlign w:val="superscript"/>
        </w:rPr>
      </w:pPr>
    </w:p>
    <w:p>
      <w:pPr>
        <w:ind w:left="640" w:right="580"/>
        <w:spacing w:after="0" w:line="277" w:lineRule="auto"/>
        <w:rPr>
          <w:rFonts w:ascii="Arial" w:cs="Arial" w:eastAsia="Arial" w:hAnsi="Arial"/>
          <w:sz w:val="28"/>
          <w:szCs w:val="28"/>
          <w:color w:val="auto"/>
          <w:vertAlign w:val="superscript"/>
        </w:rPr>
      </w:pPr>
      <w:r>
        <w:rPr>
          <w:rFonts w:ascii="Arial" w:cs="Arial" w:eastAsia="Arial" w:hAnsi="Arial"/>
          <w:sz w:val="18"/>
          <w:szCs w:val="18"/>
          <w:color w:val="auto"/>
        </w:rPr>
        <w:t>Our U.S. business plan is aligned with these real estate trends – to expand our U.S. cinema offering, offer premium retail locations, and versatile office product.</w:t>
      </w:r>
    </w:p>
    <w:p>
      <w:pPr>
        <w:spacing w:after="0" w:line="31" w:lineRule="exact"/>
        <w:rPr>
          <w:rFonts w:ascii="Arial" w:cs="Arial" w:eastAsia="Arial" w:hAnsi="Arial"/>
          <w:sz w:val="28"/>
          <w:szCs w:val="28"/>
          <w:color w:val="auto"/>
          <w:vertAlign w:val="superscript"/>
        </w:rPr>
      </w:pPr>
    </w:p>
    <w:p>
      <w:pPr>
        <w:ind w:left="640" w:hanging="320"/>
        <w:spacing w:after="0" w:line="262" w:lineRule="auto"/>
        <w:tabs>
          <w:tab w:leader="none" w:pos="64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b w:val="1"/>
          <w:bCs w:val="1"/>
          <w:color w:val="auto"/>
        </w:rPr>
        <w:t>Australia and New Zealand</w:t>
      </w:r>
      <w:r>
        <w:rPr>
          <w:rFonts w:ascii="Arial" w:cs="Arial" w:eastAsia="Arial" w:hAnsi="Arial"/>
          <w:sz w:val="16"/>
          <w:szCs w:val="16"/>
          <w:color w:val="auto"/>
        </w:rPr>
        <w:t>: Over the past few years, there has been a noted stabilization in real estate market activity resulting</w:t>
      </w:r>
      <w:r>
        <w:rPr>
          <w:rFonts w:ascii="Arial" w:cs="Arial" w:eastAsia="Arial" w:hAnsi="Arial"/>
          <w:sz w:val="16"/>
          <w:szCs w:val="16"/>
          <w:b w:val="1"/>
          <w:bCs w:val="1"/>
          <w:color w:val="auto"/>
        </w:rPr>
        <w:t xml:space="preserve"> </w:t>
      </w:r>
      <w:r>
        <w:rPr>
          <w:rFonts w:ascii="Arial" w:cs="Arial" w:eastAsia="Arial" w:hAnsi="Arial"/>
          <w:sz w:val="16"/>
          <w:szCs w:val="16"/>
          <w:color w:val="auto"/>
        </w:rPr>
        <w:t>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and we have a number of projects commencing in the near to medium term. Once developed, we remain optimistic that our Australian and New Zealand holdings will continue to provide value and cash flows to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Recent developments in our two business segments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Cinema Exhibition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Our cinema revenue consists primarily of admissions, food and beverage, advertising, and theater rentals. Cinema operating expense consists of the costs directly attributable to the operation of the cinemas, including film rent expense, operating costs, and occupancy costs. Cinema revenue and expense fluctuate with the availability of quality first run films and the numbers of weeks such first run films stay in the market. For a breakdown of our current cinema assets that we own and/or manage, please see Part I, Item 1 – </w:t>
      </w:r>
      <w:r>
        <w:rPr>
          <w:rFonts w:ascii="Arial" w:cs="Arial" w:eastAsia="Arial" w:hAnsi="Arial"/>
          <w:sz w:val="18"/>
          <w:szCs w:val="18"/>
          <w:i w:val="1"/>
          <w:iCs w:val="1"/>
          <w:color w:val="auto"/>
        </w:rPr>
        <w:t>Our Business</w:t>
      </w:r>
      <w:r>
        <w:rPr>
          <w:rFonts w:ascii="Arial" w:cs="Arial" w:eastAsia="Arial" w:hAnsi="Arial"/>
          <w:sz w:val="18"/>
          <w:szCs w:val="18"/>
          <w:color w:val="auto"/>
        </w:rPr>
        <w:t xml:space="preserve"> of this 2019 Form 10-K.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9" w:name="page40"/>
    <w:bookmarkEnd w:id="39"/>
    <w:p>
      <w:pPr>
        <w:ind w:right="240"/>
        <w:spacing w:after="0" w:line="277" w:lineRule="auto"/>
        <w:rPr>
          <w:sz w:val="20"/>
          <w:szCs w:val="20"/>
          <w:color w:val="auto"/>
        </w:rPr>
      </w:pPr>
      <w:r>
        <w:rPr>
          <w:rFonts w:ascii="Arial" w:cs="Arial" w:eastAsia="Arial" w:hAnsi="Arial"/>
          <w:sz w:val="18"/>
          <w:szCs w:val="18"/>
          <w:color w:val="auto"/>
        </w:rPr>
        <w:t>While our capital projects in recent years have been focused on growing our real estate segment, we have also maintained our focus on improving and enhancing our cinema exhibition portfolio, as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Additions and Enhancements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Here are the additions to our cinema portfolio in 2018 and 2019</w:t>
      </w:r>
    </w:p>
    <w:p>
      <w:pPr>
        <w:spacing w:after="0" w:line="104" w:lineRule="exact"/>
        <w:rPr>
          <w:sz w:val="20"/>
          <w:szCs w:val="20"/>
          <w:color w:val="auto"/>
        </w:rPr>
      </w:pPr>
    </w:p>
    <w:p>
      <w:pPr>
        <w:ind w:left="640" w:right="40" w:hanging="320"/>
        <w:spacing w:after="0" w:line="207" w:lineRule="auto"/>
        <w:tabs>
          <w:tab w:leader="none" w:pos="64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i w:val="1"/>
          <w:iCs w:val="1"/>
          <w:u w:val="single" w:color="auto"/>
          <w:color w:val="auto"/>
        </w:rPr>
        <w:t>Launched our first dine-in concept “Spotlight”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On March 30, 2018 we finished the conversion of one wing</w:t>
      </w:r>
      <w:r>
        <w:rPr>
          <w:rFonts w:ascii="Arial" w:cs="Arial" w:eastAsia="Arial" w:hAnsi="Arial"/>
          <w:sz w:val="17"/>
          <w:szCs w:val="17"/>
          <w:i w:val="1"/>
          <w:iCs w:val="1"/>
          <w:color w:val="auto"/>
        </w:rPr>
        <w:t xml:space="preserve"> </w:t>
      </w:r>
      <w:r>
        <w:rPr>
          <w:rFonts w:ascii="Arial" w:cs="Arial" w:eastAsia="Arial" w:hAnsi="Arial"/>
          <w:sz w:val="17"/>
          <w:szCs w:val="17"/>
          <w:color w:val="auto"/>
        </w:rPr>
        <w:t>(six auditoriums) at our Reading Cinemas in Murrieta, California (Cal Oaks) to our dine-in concept brand, “Spotlight.”</w:t>
      </w:r>
    </w:p>
    <w:p>
      <w:pPr>
        <w:spacing w:after="0" w:line="80" w:lineRule="exact"/>
        <w:rPr>
          <w:rFonts w:ascii="Arial" w:cs="Arial" w:eastAsia="Arial" w:hAnsi="Arial"/>
          <w:sz w:val="28"/>
          <w:szCs w:val="28"/>
          <w:color w:val="auto"/>
          <w:vertAlign w:val="superscript"/>
        </w:rPr>
      </w:pPr>
    </w:p>
    <w:p>
      <w:pPr>
        <w:ind w:left="640" w:right="140" w:hanging="320"/>
        <w:spacing w:after="0" w:line="286"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Acquisition of a well-established Cinema in Devonport, Tasmania, Australia:</w:t>
      </w:r>
      <w:r>
        <w:rPr>
          <w:rFonts w:ascii="Arial" w:cs="Arial" w:eastAsia="Arial" w:hAnsi="Arial"/>
          <w:sz w:val="17"/>
          <w:szCs w:val="17"/>
          <w:i w:val="1"/>
          <w:iCs w:val="1"/>
          <w:color w:val="auto"/>
        </w:rPr>
        <w:t xml:space="preserve"> </w:t>
      </w:r>
      <w:r>
        <w:rPr>
          <w:rFonts w:ascii="Arial" w:cs="Arial" w:eastAsia="Arial" w:hAnsi="Arial"/>
          <w:sz w:val="17"/>
          <w:szCs w:val="17"/>
          <w:color w:val="auto"/>
        </w:rPr>
        <w:t>On January 30, 2019, we purchased the tenant’s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and other operating assets of a well-established four-screen cinema in Devonport, Tasmania, Australia, for $1.4 million (AU$1.95 million). We commenced trading from this new cinema site on January 30, 2019.</w:t>
      </w:r>
    </w:p>
    <w:p>
      <w:pPr>
        <w:spacing w:after="0" w:line="43" w:lineRule="exact"/>
        <w:rPr>
          <w:rFonts w:ascii="Arial" w:cs="Arial" w:eastAsia="Arial" w:hAnsi="Arial"/>
          <w:sz w:val="17"/>
          <w:szCs w:val="17"/>
          <w:color w:val="auto"/>
        </w:rPr>
      </w:pPr>
    </w:p>
    <w:p>
      <w:pPr>
        <w:ind w:left="640" w:right="200" w:hanging="320"/>
        <w:spacing w:after="0" w:line="263"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Leased a Cinema space in Lower Hutt, adjacent to Wellington,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To mitigate the ongoing temporary 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Reading Cinemas at Courtenay Central, we opened a three-screen cinema that trades as The Hutt Pop Up by Reading Cinemas in late June 2019.</w:t>
      </w:r>
    </w:p>
    <w:p>
      <w:pPr>
        <w:spacing w:after="0" w:line="62" w:lineRule="exact"/>
        <w:rPr>
          <w:rFonts w:ascii="Arial" w:cs="Arial" w:eastAsia="Arial" w:hAnsi="Arial"/>
          <w:sz w:val="18"/>
          <w:szCs w:val="18"/>
          <w:color w:val="auto"/>
        </w:rPr>
      </w:pPr>
    </w:p>
    <w:p>
      <w:pPr>
        <w:ind w:left="640" w:right="240" w:hanging="320"/>
        <w:spacing w:after="0" w:line="263"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Acquisition of a Dynamic Art Cinema in Hobart, Tasmania,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5, 2019, we acquired the iconic State</w:t>
      </w:r>
      <w:r>
        <w:rPr>
          <w:rFonts w:ascii="Arial" w:cs="Arial" w:eastAsia="Arial" w:hAnsi="Arial"/>
          <w:sz w:val="18"/>
          <w:szCs w:val="18"/>
          <w:i w:val="1"/>
          <w:iCs w:val="1"/>
          <w:color w:val="auto"/>
        </w:rPr>
        <w:t xml:space="preserve"> </w:t>
      </w:r>
      <w:r>
        <w:rPr>
          <w:rFonts w:ascii="Arial" w:cs="Arial" w:eastAsia="Arial" w:hAnsi="Arial"/>
          <w:sz w:val="18"/>
          <w:szCs w:val="18"/>
          <w:color w:val="auto"/>
        </w:rPr>
        <w:t>Cinema for $6.2 million (AU$9.0 million). This leasehold interest features 10 screens, a roof top cinema and bar, a large café, and bookstore.</w:t>
      </w:r>
    </w:p>
    <w:p>
      <w:pPr>
        <w:spacing w:after="0" w:line="62" w:lineRule="exact"/>
        <w:rPr>
          <w:rFonts w:ascii="Arial" w:cs="Arial" w:eastAsia="Arial" w:hAnsi="Arial"/>
          <w:sz w:val="18"/>
          <w:szCs w:val="18"/>
          <w:color w:val="auto"/>
        </w:rPr>
      </w:pPr>
    </w:p>
    <w:p>
      <w:pPr>
        <w:ind w:left="640" w:right="20" w:hanging="320"/>
        <w:spacing w:after="0" w:line="263"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Opened a new state-of-the-art six-screen Cinema</w:t>
      </w:r>
      <w:r>
        <w:rPr>
          <w:rFonts w:ascii="Arial" w:cs="Arial" w:eastAsia="Arial" w:hAnsi="Arial"/>
          <w:sz w:val="18"/>
          <w:szCs w:val="18"/>
          <w:i w:val="1"/>
          <w:iCs w:val="1"/>
          <w:color w:val="auto"/>
        </w:rPr>
        <w:t xml:space="preserve"> in Melbourne, Australia: </w:t>
      </w:r>
      <w:r>
        <w:rPr>
          <w:rFonts w:ascii="Arial" w:cs="Arial" w:eastAsia="Arial" w:hAnsi="Arial"/>
          <w:sz w:val="18"/>
          <w:szCs w:val="18"/>
          <w:color w:val="auto"/>
        </w:rPr>
        <w:t>On December 6, 2019, we opened a six-screen</w:t>
      </w:r>
      <w:r>
        <w:rPr>
          <w:rFonts w:ascii="Arial" w:cs="Arial" w:eastAsia="Arial" w:hAnsi="Arial"/>
          <w:sz w:val="18"/>
          <w:szCs w:val="18"/>
          <w:i w:val="1"/>
          <w:iCs w:val="1"/>
          <w:color w:val="auto"/>
        </w:rPr>
        <w:t xml:space="preserve"> </w:t>
      </w:r>
      <w:r>
        <w:rPr>
          <w:rFonts w:ascii="Arial" w:cs="Arial" w:eastAsia="Arial" w:hAnsi="Arial"/>
          <w:sz w:val="18"/>
          <w:szCs w:val="18"/>
          <w:color w:val="auto"/>
        </w:rPr>
        <w:t>Reading Cinemas in the Burwood Brickworks offering a TITAN LUXE with Dolby Atmos immersive sound, enhanced food and beverage offerings and full recliner seating in all auditoriums.</w:t>
      </w:r>
    </w:p>
    <w:p>
      <w:pPr>
        <w:spacing w:after="0" w:line="62" w:lineRule="exact"/>
        <w:rPr>
          <w:rFonts w:ascii="Arial" w:cs="Arial" w:eastAsia="Arial" w:hAnsi="Arial"/>
          <w:sz w:val="18"/>
          <w:szCs w:val="18"/>
          <w:color w:val="auto"/>
        </w:rPr>
      </w:pPr>
    </w:p>
    <w:p>
      <w:pPr>
        <w:ind w:left="640" w:hanging="320"/>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i w:val="1"/>
          <w:iCs w:val="1"/>
          <w:u w:val="single" w:color="auto"/>
          <w:color w:val="auto"/>
        </w:rPr>
        <w:t>U.S. Refurbishments: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2018 and 2019, we continued to invest in the refurbishment and enhancements of our existing cinemas,</w:t>
      </w:r>
    </w:p>
    <w:p>
      <w:pPr>
        <w:spacing w:after="0" w:line="46" w:lineRule="exact"/>
        <w:rPr>
          <w:rFonts w:ascii="Arial" w:cs="Arial" w:eastAsia="Arial" w:hAnsi="Arial"/>
          <w:sz w:val="16"/>
          <w:szCs w:val="16"/>
          <w:color w:val="auto"/>
        </w:rPr>
      </w:pPr>
    </w:p>
    <w:p>
      <w:pPr>
        <w:ind w:left="640" w:right="20"/>
        <w:spacing w:after="0" w:line="253" w:lineRule="auto"/>
        <w:rPr>
          <w:rFonts w:ascii="Arial" w:cs="Arial" w:eastAsia="Arial" w:hAnsi="Arial"/>
          <w:sz w:val="16"/>
          <w:szCs w:val="16"/>
          <w:color w:val="auto"/>
        </w:rPr>
      </w:pPr>
      <w:r>
        <w:rPr>
          <w:rFonts w:ascii="Arial" w:cs="Arial" w:eastAsia="Arial" w:hAnsi="Arial"/>
          <w:sz w:val="18"/>
          <w:szCs w:val="18"/>
          <w:color w:val="auto"/>
        </w:rPr>
        <w:t>as contemplated by our strategic plan. During this period, six locations had significant refurbishment work performed: our Cal Oaks and Rohnert Park locations in California, our Pearlridge, Mililani and Kahala (work commenced in late 2019) locations in Hawaii, and our Manville location in New Jersey. Also, during this period, we converted (or are in the process of converting), 20 of our 238 U.S. auditoriums to luxury recliner seating.</w:t>
      </w:r>
    </w:p>
    <w:p>
      <w:pPr>
        <w:spacing w:after="0" w:line="71" w:lineRule="exact"/>
        <w:rPr>
          <w:rFonts w:ascii="Arial" w:cs="Arial" w:eastAsia="Arial" w:hAnsi="Arial"/>
          <w:sz w:val="16"/>
          <w:szCs w:val="16"/>
          <w:color w:val="auto"/>
        </w:rPr>
      </w:pPr>
    </w:p>
    <w:p>
      <w:pPr>
        <w:ind w:left="640" w:right="120" w:hanging="320"/>
        <w:spacing w:after="0" w:line="221" w:lineRule="auto"/>
        <w:tabs>
          <w:tab w:leader="none" w:pos="64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i w:val="1"/>
          <w:iCs w:val="1"/>
          <w:u w:val="single" w:color="auto"/>
          <w:color w:val="auto"/>
        </w:rPr>
        <w:t>AU and NZ Refurbishments: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2018 and 2019, we improved 14 theaters: Charlestown, Elizabeth, Auburn, Chirnside Park,</w:t>
      </w:r>
      <w:r>
        <w:rPr>
          <w:rFonts w:ascii="Arial" w:cs="Arial" w:eastAsia="Arial" w:hAnsi="Arial"/>
          <w:sz w:val="16"/>
          <w:szCs w:val="16"/>
          <w:i w:val="1"/>
          <w:iCs w:val="1"/>
          <w:color w:val="auto"/>
        </w:rPr>
        <w:t xml:space="preserve"> </w:t>
      </w:r>
      <w:r>
        <w:rPr>
          <w:rFonts w:ascii="Arial" w:cs="Arial" w:eastAsia="Arial" w:hAnsi="Arial"/>
          <w:sz w:val="16"/>
          <w:szCs w:val="16"/>
          <w:color w:val="auto"/>
        </w:rPr>
        <w:t>Dandenong, Harbour Town, Maitland, Rhodes, Waurn Ponds, West Lakes, Courtenay Central, Napier, Rotorua, and The Palms.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-1378585</wp:posOffset>
            </wp:positionV>
            <wp:extent cx="1167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Upgrades to our Film Exhibition Technology and Theater Amenities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discussed previously, we continue to focus on areas of the well-established cinema business where we believe we have growth potential and ultimately, provide long-term value to our stockholders. In order to meet our changing role in the entertainment industry, we have invested both in (i) the upgrading of our existing cinemas and (ii) developing new cinemas to provide our customers with premium offerings, including state-of-the-art presentation (including sound, lounges and bar service) and luxury recliner seating. As of December 31, 2019, all of the upgrades to our theater circuits’ film exhibition technology and amenities over the years are as summarized in the following table: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Screen</w:t>
            </w:r>
          </w:p>
        </w:tc>
        <w:tc>
          <w:tcPr>
            <w:tcW w:w="0" w:type="dxa"/>
            <w:vAlign w:val="bottom"/>
          </w:tcPr>
          <w:p>
            <w:pPr>
              <w:spacing w:after="0"/>
              <w:rPr>
                <w:sz w:val="1"/>
                <w:szCs w:val="1"/>
                <w:color w:val="auto"/>
              </w:rPr>
            </w:pPr>
          </w:p>
        </w:tc>
      </w:tr>
      <w:tr>
        <w:trPr>
          <w:trHeight w:val="178"/>
        </w:trPr>
        <w:tc>
          <w:tcPr>
            <w:tcW w:w="7600" w:type="dxa"/>
            <w:vAlign w:val="bottom"/>
            <w:vMerge w:val="restart"/>
          </w:tcPr>
          <w:p>
            <w:pPr>
              <w:spacing w:after="0"/>
              <w:rPr>
                <w:sz w:val="20"/>
                <w:szCs w:val="20"/>
                <w:color w:val="auto"/>
              </w:rPr>
            </w:pPr>
            <w:r>
              <w:rPr>
                <w:rFonts w:ascii="Arial" w:cs="Arial" w:eastAsia="Arial" w:hAnsi="Arial"/>
                <w:sz w:val="18"/>
                <w:szCs w:val="18"/>
                <w:i w:val="1"/>
                <w:iCs w:val="1"/>
                <w:color w:val="auto"/>
              </w:rPr>
              <w:t>Screen Format</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Count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Count</w:t>
            </w:r>
          </w:p>
        </w:tc>
        <w:tc>
          <w:tcPr>
            <w:tcW w:w="0" w:type="dxa"/>
            <w:vAlign w:val="bottom"/>
          </w:tcPr>
          <w:p>
            <w:pPr>
              <w:spacing w:after="0"/>
              <w:rPr>
                <w:sz w:val="1"/>
                <w:szCs w:val="1"/>
                <w:color w:val="auto"/>
              </w:rPr>
            </w:pPr>
          </w:p>
        </w:tc>
      </w:tr>
      <w:tr>
        <w:trPr>
          <w:trHeight w:val="216"/>
        </w:trPr>
        <w:tc>
          <w:tcPr>
            <w:tcW w:w="7600" w:type="dxa"/>
            <w:vAlign w:val="bottom"/>
            <w:vMerge w:val="continue"/>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Digital (all cinemas in our theater circuit)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498</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IMAX</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TITAN XC and LUXE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i w:val="1"/>
                <w:iCs w:val="1"/>
                <w:color w:val="auto"/>
              </w:rPr>
              <w:t>Dine-in Service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Gold Lounge (AU/NZ)</w:t>
            </w:r>
            <w:r>
              <w:rPr>
                <w:rFonts w:ascii="Arial" w:cs="Arial" w:eastAsia="Arial" w:hAnsi="Arial"/>
                <w:sz w:val="8"/>
                <w:szCs w:val="8"/>
                <w:color w:val="auto"/>
              </w:rPr>
              <w:t>(1)</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Premium (AU/NZ)</w:t>
            </w:r>
            <w:r>
              <w:rPr>
                <w:rFonts w:ascii="Arial" w:cs="Arial" w:eastAsia="Arial" w:hAnsi="Arial"/>
                <w:sz w:val="8"/>
                <w:szCs w:val="8"/>
                <w:color w:val="auto"/>
              </w:rPr>
              <w:t>(2)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Spotlight (U.S.)</w:t>
            </w:r>
            <w:r>
              <w:rPr>
                <w:rFonts w:ascii="Arial" w:cs="Arial" w:eastAsia="Arial" w:hAnsi="Arial"/>
                <w:sz w:val="8"/>
                <w:szCs w:val="8"/>
                <w:color w:val="auto"/>
              </w:rPr>
              <w:t>(3)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i w:val="1"/>
                <w:iCs w:val="1"/>
                <w:color w:val="auto"/>
              </w:rPr>
              <w:t>Upgraded Food &amp; Beverage menu (U.S.)</w:t>
            </w:r>
            <w:r>
              <w:rPr>
                <w:rFonts w:ascii="Arial" w:cs="Arial" w:eastAsia="Arial" w:hAnsi="Arial"/>
                <w:sz w:val="8"/>
                <w:szCs w:val="8"/>
                <w:color w:val="auto"/>
              </w:rPr>
              <w:t>(4)</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i w:val="1"/>
                <w:iCs w:val="1"/>
                <w:color w:val="auto"/>
                <w:w w:val="87"/>
              </w:rPr>
              <w:t>n/a</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Premium Seating </w:t>
            </w:r>
            <w:r>
              <w:rPr>
                <w:rFonts w:ascii="Arial" w:cs="Arial" w:eastAsia="Arial" w:hAnsi="Arial"/>
                <w:sz w:val="18"/>
                <w:szCs w:val="18"/>
                <w:color w:val="auto"/>
              </w:rPr>
              <w:t>(recliner seating features)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161</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i w:val="1"/>
                <w:iCs w:val="1"/>
                <w:color w:val="auto"/>
              </w:rPr>
              <w:t>Liquor Licenses (Selling)</w:t>
            </w:r>
            <w:r>
              <w:rPr>
                <w:rFonts w:ascii="Arial" w:cs="Arial" w:eastAsia="Arial" w:hAnsi="Arial"/>
                <w:sz w:val="8"/>
                <w:szCs w:val="8"/>
                <w:color w:val="auto"/>
              </w:rPr>
              <w:t>(5)</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i w:val="1"/>
                <w:iCs w:val="1"/>
                <w:color w:val="auto"/>
                <w:w w:val="87"/>
              </w:rPr>
              <w:t>n/a</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640" w:right="520" w:hanging="320"/>
        <w:spacing w:after="0" w:line="23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Gold Lounge</w:t>
      </w:r>
      <w:r>
        <w:rPr>
          <w:rFonts w:ascii="Arial" w:cs="Arial" w:eastAsia="Arial" w:hAnsi="Arial"/>
          <w:sz w:val="14"/>
          <w:szCs w:val="14"/>
          <w:color w:val="auto"/>
        </w:rPr>
        <w:t>: This is our "First Class Full Dine-in Service" in our Australian and New Zealand cinemas, which includes an upgraded F&amp;B menu (with</w:t>
      </w:r>
      <w:r>
        <w:rPr>
          <w:rFonts w:ascii="Arial" w:cs="Arial" w:eastAsia="Arial" w:hAnsi="Arial"/>
          <w:sz w:val="14"/>
          <w:szCs w:val="14"/>
          <w:b w:val="1"/>
          <w:bCs w:val="1"/>
          <w:color w:val="auto"/>
        </w:rPr>
        <w:t xml:space="preserve"> </w:t>
      </w:r>
      <w:r>
        <w:rPr>
          <w:rFonts w:ascii="Arial" w:cs="Arial" w:eastAsia="Arial" w:hAnsi="Arial"/>
          <w:sz w:val="14"/>
          <w:szCs w:val="14"/>
          <w:color w:val="auto"/>
        </w:rPr>
        <w:t>alcoholic beverages), luxury recliner seating features (intimate 25-50 seat cinemas) and waiter service.</w:t>
      </w:r>
    </w:p>
    <w:p>
      <w:pPr>
        <w:ind w:left="640" w:right="260" w:hanging="320"/>
        <w:spacing w:after="0" w:line="238"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Premium Service</w:t>
      </w:r>
      <w:r>
        <w:rPr>
          <w:rFonts w:ascii="Arial" w:cs="Arial" w:eastAsia="Arial" w:hAnsi="Arial"/>
          <w:sz w:val="13"/>
          <w:szCs w:val="13"/>
          <w:color w:val="auto"/>
        </w:rPr>
        <w:t>: This is our "Business Class Dine-in Service" in our Australian and New Zealand cinemas, which typically includes upgraded F&amp;B menu</w:t>
      </w:r>
      <w:r>
        <w:rPr>
          <w:rFonts w:ascii="Arial" w:cs="Arial" w:eastAsia="Arial" w:hAnsi="Arial"/>
          <w:sz w:val="13"/>
          <w:szCs w:val="13"/>
          <w:b w:val="1"/>
          <w:bCs w:val="1"/>
          <w:color w:val="auto"/>
        </w:rPr>
        <w:t xml:space="preserve"> </w:t>
      </w:r>
      <w:r>
        <w:rPr>
          <w:rFonts w:ascii="Arial" w:cs="Arial" w:eastAsia="Arial" w:hAnsi="Arial"/>
          <w:sz w:val="13"/>
          <w:szCs w:val="13"/>
          <w:color w:val="auto"/>
        </w:rPr>
        <w:t>(some with alcoholic beverages) and may include luxury recliner seating features (less intimate 80-seat cinemas), but no waiter service.</w:t>
      </w:r>
    </w:p>
    <w:p>
      <w:pPr>
        <w:ind w:left="640" w:right="20" w:hanging="320"/>
        <w:spacing w:after="0" w:line="22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Spotlight Service</w:t>
      </w:r>
      <w:r>
        <w:rPr>
          <w:rFonts w:ascii="Arial" w:cs="Arial" w:eastAsia="Arial" w:hAnsi="Arial"/>
          <w:sz w:val="14"/>
          <w:szCs w:val="14"/>
          <w:color w:val="auto"/>
        </w:rPr>
        <w:t>: On March 30, 2018 we opened “Spotlight,” our first dine-in cinema concept in the United States at Reading Cinemas in Murrieta, California.</w:t>
      </w:r>
      <w:r>
        <w:rPr>
          <w:rFonts w:ascii="Arial" w:cs="Arial" w:eastAsia="Arial" w:hAnsi="Arial"/>
          <w:sz w:val="14"/>
          <w:szCs w:val="14"/>
          <w:b w:val="1"/>
          <w:bCs w:val="1"/>
          <w:color w:val="auto"/>
        </w:rPr>
        <w:t xml:space="preserve"> </w:t>
      </w:r>
      <w:r>
        <w:rPr>
          <w:rFonts w:ascii="Arial" w:cs="Arial" w:eastAsia="Arial" w:hAnsi="Arial"/>
          <w:sz w:val="14"/>
          <w:szCs w:val="14"/>
          <w:color w:val="auto"/>
        </w:rPr>
        <w:t>Six of our 17 auditoriums at this theater feature this dine-in concept.</w:t>
      </w:r>
    </w:p>
    <w:p>
      <w:pPr>
        <w:ind w:left="640" w:right="100" w:hanging="320"/>
        <w:spacing w:after="0" w:line="22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auto"/>
        </w:rPr>
        <w:t>Upgraded Food &amp; Beverage Menu</w:t>
      </w:r>
      <w:r>
        <w:rPr>
          <w:rFonts w:ascii="Arial" w:cs="Arial" w:eastAsia="Arial" w:hAnsi="Arial"/>
          <w:sz w:val="14"/>
          <w:szCs w:val="14"/>
          <w:color w:val="auto"/>
        </w:rPr>
        <w:t>: Fifteen of our U.S. theaters feature an elevated food and beverage menu served from a common counter, which includes,</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limitation, beer, wine and/or spirits and a food menu beyond traditional concessions. We have worked with former Food Network executives to create a menu of locally inspired and freshly prepared items.</w:t>
      </w:r>
    </w:p>
    <w:p>
      <w:pPr>
        <w:ind w:left="640" w:right="240" w:hanging="320"/>
        <w:spacing w:after="0" w:line="255"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 xml:space="preserve">Liquor Licenses: </w:t>
      </w:r>
      <w:r>
        <w:rPr>
          <w:rFonts w:ascii="Arial" w:cs="Arial" w:eastAsia="Arial" w:hAnsi="Arial"/>
          <w:sz w:val="13"/>
          <w:szCs w:val="13"/>
          <w:color w:val="auto"/>
        </w:rPr>
        <w:t>Licenses are applicable at each cinema location, rather than each theater auditorium. For accounting purposes, we capitalize the cost of</w:t>
      </w:r>
      <w:r>
        <w:rPr>
          <w:rFonts w:ascii="Arial" w:cs="Arial" w:eastAsia="Arial" w:hAnsi="Arial"/>
          <w:sz w:val="13"/>
          <w:szCs w:val="13"/>
          <w:b w:val="1"/>
          <w:bCs w:val="1"/>
          <w:color w:val="auto"/>
        </w:rPr>
        <w:t xml:space="preserve"> </w:t>
      </w:r>
      <w:r>
        <w:rPr>
          <w:rFonts w:ascii="Arial" w:cs="Arial" w:eastAsia="Arial" w:hAnsi="Arial"/>
          <w:sz w:val="13"/>
          <w:szCs w:val="13"/>
          <w:color w:val="auto"/>
        </w:rPr>
        <w:t>successfully purchasing or applying for liquor licenses meeting certain thresholds as an intangible asset due to long-term economic benefits derived on future sales of alcoholic beverages. As of December 31, 2019, we have seven pending applications for additional liquor licenses in the U.S.</w:t>
      </w:r>
    </w:p>
    <w:p>
      <w:pPr>
        <w:spacing w:after="0" w:line="177" w:lineRule="exact"/>
        <w:rPr>
          <w:rFonts w:ascii="Arial" w:cs="Arial" w:eastAsia="Arial" w:hAnsi="Arial"/>
          <w:sz w:val="13"/>
          <w:szCs w:val="13"/>
          <w:color w:val="auto"/>
        </w:rPr>
      </w:pPr>
    </w:p>
    <w:p>
      <w:pPr>
        <w:ind w:left="4880" w:hanging="156"/>
        <w:spacing w:after="0"/>
        <w:tabs>
          <w:tab w:leader="none" w:pos="4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Plans for 2020 and Our Cinema Pipeline</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currently plan to upgrade or begin the upgrade of various cinemas in the U.S., Australia, and New Zealand in 2020. We expect to defer some of such upgrades into later periods based on our evaluation of, among other things, the impact of the coronavirus outbreak, a strategic approach to targeted capital expenditures, and the evaluation of our liquidity position at particular times.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By the end of 2022, we anticipate adding an additional four theaters, totaling 25 screens, to our Australian cinema circuit pursuant to agreements currently in place.</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focus with respect to new cinemas includes state-of-the-art projection and sound, luxury recliner seating, enhanced F&amp;B (typically including alcohol service) and typically at least one major TITAN type presentation screen. Our focus is on providing best in class services and amenities that will differentiate us from in-home and mobile viewing options. We believe that a night at the movies should be a special and premium experience and, indeed, that it must be in order to compete with the variety of options being offered to consumers through other platforms.</w:t>
      </w:r>
    </w:p>
    <w:p>
      <w:pPr>
        <w:spacing w:after="0" w:line="1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2020, we will also be focusing on the rollout and enhancement of our proprietary online ticketing capabilities and social media interfaces. These are intended to enhance the convenience of our offerings and to promote customer affinity with the experience and product that we are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Closures</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January 2019, we temporarily closed, which is currently ongoing, our Courtenay Central cinema in Wellington, New Zealand, due to seismic concerns pending redevelopment and seismic upgrading of that facility.</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second quarter of 2019, the Company’s management agreement for the operation of the 86th Street Cinema in New York City terminated due to the expiration of the underlying lease. Additionally, during the third quarter of 2019, the leases underlying our historically profitable Paris Theatre and Beekman Theatre in New York City all expired. We were unable to obtain extensions or new leases on commercially reasonable terms.</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December 2019, we temporarily closed our Consolidated Kahala theatre in Hawaii for refurbishment and expect to reopen by the end of the second quarter of 2020. When reopened, the theatre will feature recliner seating throughout along with a state-of-the-art kitchen and an elevated F&amp;B menu.</w:t>
      </w:r>
    </w:p>
    <w:p>
      <w:pPr>
        <w:spacing w:after="0" w:line="184"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Some of our theaters have encountered new competition, and we believe that others will benefit from planned refurbishment and upgrading, therefore, several of our leased theaters will be slated for temporary closure for some period of time this coming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operating properties consisted of the following:</w:t>
      </w:r>
    </w:p>
    <w:p>
      <w:pPr>
        <w:spacing w:after="0" w:line="104" w:lineRule="exact"/>
        <w:rPr>
          <w:sz w:val="20"/>
          <w:szCs w:val="20"/>
          <w:color w:val="auto"/>
        </w:rPr>
      </w:pPr>
    </w:p>
    <w:p>
      <w:pPr>
        <w:ind w:left="640" w:right="340" w:hanging="320"/>
        <w:spacing w:after="0" w:line="198" w:lineRule="auto"/>
        <w:tabs>
          <w:tab w:leader="none" w:pos="64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our Newmarket, Queensland ETC, our Belmont, Western Australia ETC, our Auburn Redyard, New South Wales ETC, our Townsville, Queensland ETC, and our Courtenay Central, Wellington, New Zealand ETC;</w:t>
      </w:r>
    </w:p>
    <w:p>
      <w:pPr>
        <w:spacing w:after="0" w:line="80" w:lineRule="exact"/>
        <w:rPr>
          <w:rFonts w:ascii="Arial" w:cs="Arial" w:eastAsia="Arial" w:hAnsi="Arial"/>
          <w:sz w:val="29"/>
          <w:szCs w:val="29"/>
          <w:color w:val="auto"/>
          <w:vertAlign w:val="superscript"/>
        </w:rPr>
      </w:pPr>
    </w:p>
    <w:p>
      <w:pPr>
        <w:ind w:left="640" w:right="420" w:hanging="320"/>
        <w:spacing w:after="0" w:line="207" w:lineRule="auto"/>
        <w:tabs>
          <w:tab w:leader="none" w:pos="64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two single-auditorium live theatres in Manhattan (Minetta Lane and Orpheum) and a four-auditorium live theatre complex (including the accompanying ancillary retail and commercial tenants) in Chicago (The Royal George);</w:t>
      </w:r>
    </w:p>
    <w:p>
      <w:pPr>
        <w:spacing w:after="0" w:line="80" w:lineRule="exact"/>
        <w:rPr>
          <w:rFonts w:ascii="Arial" w:cs="Arial" w:eastAsia="Arial" w:hAnsi="Arial"/>
          <w:sz w:val="28"/>
          <w:szCs w:val="28"/>
          <w:color w:val="auto"/>
          <w:vertAlign w:val="superscript"/>
        </w:rPr>
      </w:pPr>
    </w:p>
    <w:p>
      <w:pPr>
        <w:ind w:left="640" w:right="420" w:hanging="320"/>
        <w:spacing w:after="0" w:line="198" w:lineRule="auto"/>
        <w:tabs>
          <w:tab w:leader="none" w:pos="64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our worldwide headquarters’ building in Culver City, California and our Australia corporate office building in Melbourne, Australia; and,</w:t>
      </w:r>
    </w:p>
    <w:p>
      <w:pPr>
        <w:ind w:left="640" w:hanging="320"/>
        <w:spacing w:after="0" w:line="223" w:lineRule="auto"/>
        <w:tabs>
          <w:tab w:leader="none" w:pos="64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the ancillary retail and commercial tenants at some of our non-ETC cinema properties.</w:t>
      </w:r>
    </w:p>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addition, we have various parcels of unimproved real estate held for development in Australia and New Zealand and certain unimproved land in the United States including properties used in our legacy activities.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Our key real estate transactions over the past three years ended December 31, 2019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Acquisitions</w:t>
      </w:r>
    </w:p>
    <w:p>
      <w:pPr>
        <w:spacing w:after="0" w:line="320" w:lineRule="exact"/>
        <w:rPr>
          <w:sz w:val="20"/>
          <w:szCs w:val="20"/>
          <w:color w:val="auto"/>
        </w:rPr>
      </w:pPr>
    </w:p>
    <w:p>
      <w:pPr>
        <w:ind w:left="640" w:right="120" w:hanging="320"/>
        <w:spacing w:after="0" w:line="232" w:lineRule="auto"/>
        <w:tabs>
          <w:tab w:leader="none" w:pos="640"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i w:val="1"/>
          <w:iCs w:val="1"/>
          <w:u w:val="single" w:color="auto"/>
          <w:color w:val="auto"/>
        </w:rPr>
        <w:t>Purchase of Land in Townsville, Australia</w:t>
      </w:r>
      <w:r>
        <w:rPr>
          <w:rFonts w:ascii="Arial" w:cs="Arial" w:eastAsia="Arial" w:hAnsi="Arial"/>
          <w:sz w:val="17"/>
          <w:szCs w:val="17"/>
          <w:i w:val="1"/>
          <w:iCs w:val="1"/>
          <w:color w:val="auto"/>
        </w:rPr>
        <w:t xml:space="preserve"> </w:t>
      </w:r>
      <w:r>
        <w:rPr>
          <w:rFonts w:ascii="Arial" w:cs="Arial" w:eastAsia="Arial" w:hAnsi="Arial"/>
          <w:sz w:val="17"/>
          <w:szCs w:val="17"/>
          <w:color w:val="auto"/>
        </w:rPr>
        <w:t>– On June 13, 2018, we acquired a 163,000 square foot parcel at our Cannon Park</w:t>
      </w:r>
      <w:r>
        <w:rPr>
          <w:rFonts w:ascii="Arial" w:cs="Arial" w:eastAsia="Arial" w:hAnsi="Arial"/>
          <w:sz w:val="17"/>
          <w:szCs w:val="17"/>
          <w:i w:val="1"/>
          <w:iCs w:val="1"/>
          <w:color w:val="auto"/>
        </w:rPr>
        <w:t xml:space="preserve"> </w:t>
      </w:r>
      <w:r>
        <w:rPr>
          <w:rFonts w:ascii="Arial" w:cs="Arial" w:eastAsia="Arial" w:hAnsi="Arial"/>
          <w:sz w:val="17"/>
          <w:szCs w:val="17"/>
          <w:color w:val="auto"/>
        </w:rPr>
        <w:t>ETC, in connection with the restructuring of our relationship with the adjacent landowner. Prior to the restructuring, this parcel was commonly owned by us and the adjoining landowner. In the restructuring, the adjoining landowner conveyed to us its interest in the parcel for AU$1. We granted the adjoining landowner certain access rights.</w:t>
      </w:r>
    </w:p>
    <w:p>
      <w:pPr>
        <w:spacing w:after="0" w:line="80" w:lineRule="exact"/>
        <w:rPr>
          <w:rFonts w:ascii="Arial" w:cs="Arial" w:eastAsia="Arial" w:hAnsi="Arial"/>
          <w:sz w:val="28"/>
          <w:szCs w:val="28"/>
          <w:color w:val="auto"/>
          <w:vertAlign w:val="superscript"/>
        </w:rPr>
      </w:pPr>
    </w:p>
    <w:p>
      <w:pPr>
        <w:ind w:left="640" w:right="80" w:hanging="320"/>
        <w:spacing w:after="0" w:line="229" w:lineRule="auto"/>
        <w:tabs>
          <w:tab w:leader="none" w:pos="6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Purchase of Property in Auburn,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 On June 29, 2018, we added 20,870 square feet of land, improved with a 16,830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foot office building, to our Auburn Redyard ETC. The property was acquired at auction for $3.5 million (AU$4.5 million) and is bordered by our existing ETC on three sides. The property is leased to Telstra through July 2022. This lease will allow us time to plan for the efficient integration of the property into our ETC. With this acquisition, Auburn Redyard now represents approximately 519,358 square feet of land, with approximately 1,641 feet of uninterrupted frontage to Parramatta Road, a major Sydney arterial motorway.</w:t>
      </w:r>
    </w:p>
    <w:p>
      <w:pPr>
        <w:spacing w:after="0" w:line="16" w:lineRule="exact"/>
        <w:rPr>
          <w:rFonts w:ascii="Arial" w:cs="Arial" w:eastAsia="Arial" w:hAnsi="Arial"/>
          <w:sz w:val="29"/>
          <w:szCs w:val="29"/>
          <w:color w:val="auto"/>
          <w:vertAlign w:val="superscript"/>
        </w:rPr>
      </w:pPr>
    </w:p>
    <w:p>
      <w:pPr>
        <w:ind w:left="640" w:hanging="320"/>
        <w:spacing w:after="0"/>
        <w:tabs>
          <w:tab w:leader="none" w:pos="64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i w:val="1"/>
          <w:iCs w:val="1"/>
          <w:u w:val="single" w:color="auto"/>
          <w:color w:val="auto"/>
        </w:rPr>
        <w:t>Exercise of Option to Acquire Ground Lessee’s interest in Ground Lease and Improvements Constituting the Village East Cinema</w:t>
      </w:r>
    </w:p>
    <w:p>
      <w:pPr>
        <w:spacing w:after="0" w:line="1" w:lineRule="exact"/>
        <w:rPr>
          <w:rFonts w:ascii="Arial" w:cs="Arial" w:eastAsia="Arial" w:hAnsi="Arial"/>
          <w:sz w:val="26"/>
          <w:szCs w:val="26"/>
          <w:color w:val="auto"/>
          <w:vertAlign w:val="superscript"/>
        </w:rPr>
      </w:pPr>
    </w:p>
    <w:p>
      <w:pPr>
        <w:jc w:val="both"/>
        <w:ind w:left="640"/>
        <w:spacing w:after="0" w:line="253" w:lineRule="auto"/>
        <w:rPr>
          <w:rFonts w:ascii="Arial" w:cs="Arial" w:eastAsia="Arial" w:hAnsi="Arial"/>
          <w:sz w:val="26"/>
          <w:szCs w:val="26"/>
          <w:color w:val="auto"/>
          <w:vertAlign w:val="superscript"/>
        </w:rPr>
      </w:pPr>
      <w:r>
        <w:rPr>
          <w:rFonts w:ascii="Arial" w:cs="Arial" w:eastAsia="Arial" w:hAnsi="Arial"/>
          <w:sz w:val="18"/>
          <w:szCs w:val="18"/>
          <w:i w:val="1"/>
          <w:iCs w:val="1"/>
          <w:color w:val="auto"/>
        </w:rPr>
        <w:t xml:space="preserve">– </w:t>
      </w:r>
      <w:r>
        <w:rPr>
          <w:rFonts w:ascii="Arial" w:cs="Arial" w:eastAsia="Arial" w:hAnsi="Arial"/>
          <w:sz w:val="18"/>
          <w:szCs w:val="18"/>
          <w:color w:val="auto"/>
        </w:rPr>
        <w:t>On August 28, 2019, we exercised our option to acquire the ground lessee’s interest in the 13-year ground lease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real property assets constituting our Village East Cinema in Manhattan. The purchase price under the option is $5.9 million. It is now anticipated that the transaction will close on or about May 31, 2021. The exercise of this option clears the way for our renovation of this cinema.</w:t>
      </w:r>
    </w:p>
    <w:p>
      <w:pPr>
        <w:spacing w:after="0" w:line="70" w:lineRule="exact"/>
        <w:rPr>
          <w:sz w:val="20"/>
          <w:szCs w:val="20"/>
          <w:color w:val="auto"/>
        </w:rPr>
      </w:pPr>
    </w:p>
    <w:p>
      <w:pPr>
        <w:jc w:val="both"/>
        <w:ind w:left="640"/>
        <w:spacing w:after="0" w:line="269" w:lineRule="auto"/>
        <w:rPr>
          <w:sz w:val="20"/>
          <w:szCs w:val="20"/>
          <w:color w:val="auto"/>
        </w:rPr>
      </w:pPr>
      <w:r>
        <w:rPr>
          <w:rFonts w:ascii="Arial" w:cs="Arial" w:eastAsia="Arial" w:hAnsi="Arial"/>
          <w:sz w:val="17"/>
          <w:szCs w:val="17"/>
          <w:color w:val="auto"/>
        </w:rPr>
        <w:t>On March 12, 2020, we amended the original agreement to (i) extend the term of the lease to January 31, 2022 and extend the put option to December 4, 2021 and (ii) at the request of Sutton Hill Capital L.L.C. (“SHC”), in connection with our deferral of the closing date for our acquisition of SHC’s interest in the Village East Cinema, the Company reinstated and extended until December 4, 2021 SHC’s right to put that interest to us. That put right had previously expired on December 4, 2019. We are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w:t>
      </w:r>
    </w:p>
    <w:p>
      <w:pPr>
        <w:spacing w:after="0" w:line="50" w:lineRule="exact"/>
        <w:rPr>
          <w:sz w:val="20"/>
          <w:szCs w:val="20"/>
          <w:color w:val="auto"/>
        </w:rPr>
      </w:pPr>
    </w:p>
    <w:p>
      <w:pPr>
        <w:jc w:val="both"/>
        <w:ind w:left="640" w:right="20"/>
        <w:spacing w:after="0" w:line="263" w:lineRule="auto"/>
        <w:rPr>
          <w:sz w:val="20"/>
          <w:szCs w:val="20"/>
          <w:color w:val="auto"/>
        </w:rPr>
      </w:pPr>
      <w:r>
        <w:rPr>
          <w:rFonts w:ascii="Arial" w:cs="Arial" w:eastAsia="Arial" w:hAnsi="Arial"/>
          <w:sz w:val="18"/>
          <w:szCs w:val="18"/>
          <w:color w:val="auto"/>
        </w:rPr>
        <w:t>As the transaction is a related party transaction, it was reviewed and approved by our Board’s Audit and Conflicts Committee and supported by a third-party valuation, which showed substantial value in the option and, upon closing, will result in an annual rent savings of $590,000.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Opportunistic Sales</w:t>
      </w:r>
    </w:p>
    <w:p>
      <w:pPr>
        <w:ind w:left="640" w:hanging="320"/>
        <w:spacing w:after="0"/>
        <w:tabs>
          <w:tab w:leader="none" w:pos="64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Sale of Landholding in Burwood,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 On December 14, 2017, we received the final payment for Burwood of</w:t>
      </w:r>
    </w:p>
    <w:p>
      <w:pPr>
        <w:spacing w:after="0" w:line="1" w:lineRule="exact"/>
        <w:rPr>
          <w:rFonts w:ascii="Arial" w:cs="Arial" w:eastAsia="Arial" w:hAnsi="Arial"/>
          <w:sz w:val="29"/>
          <w:szCs w:val="29"/>
          <w:color w:val="auto"/>
          <w:vertAlign w:val="superscript"/>
        </w:rPr>
      </w:pPr>
    </w:p>
    <w:p>
      <w:pPr>
        <w:ind w:left="640" w:right="280"/>
        <w:spacing w:after="0" w:line="258" w:lineRule="auto"/>
        <w:rPr>
          <w:rFonts w:ascii="Arial" w:cs="Arial" w:eastAsia="Arial" w:hAnsi="Arial"/>
          <w:sz w:val="29"/>
          <w:szCs w:val="29"/>
          <w:color w:val="auto"/>
          <w:vertAlign w:val="superscript"/>
        </w:rPr>
      </w:pPr>
      <w:r>
        <w:rPr>
          <w:rFonts w:ascii="Arial" w:cs="Arial" w:eastAsia="Arial" w:hAnsi="Arial"/>
          <w:sz w:val="18"/>
          <w:szCs w:val="18"/>
          <w:color w:val="auto"/>
        </w:rPr>
        <w:t>$28.1 million (AU$36.6 million), on June 19, 2017 we received $16.6 million (AU$21.8 million) as a partial payment and on May 23, 2014 we received $5.9 million (AU$6.5 million) as the initial deposit.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Value-creating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engaged in several real estate development projects intended to make sure that we put our assets to their highest and best use.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04" w:lineRule="exact"/>
        <w:rPr>
          <w:sz w:val="20"/>
          <w:szCs w:val="20"/>
          <w:color w:val="auto"/>
        </w:rPr>
      </w:pPr>
    </w:p>
    <w:p>
      <w:pPr>
        <w:jc w:val="both"/>
        <w:ind w:left="640" w:right="20" w:hanging="320"/>
        <w:spacing w:after="0" w:line="255"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44 Union Square Redevelopment (Manhattan, U.S.)</w:t>
      </w:r>
      <w:r>
        <w:rPr>
          <w:rFonts w:ascii="Arial" w:cs="Arial" w:eastAsia="Arial" w:hAnsi="Arial"/>
          <w:sz w:val="18"/>
          <w:szCs w:val="18"/>
          <w:i w:val="1"/>
          <w:iCs w:val="1"/>
          <w:color w:val="auto"/>
        </w:rPr>
        <w:t xml:space="preserve"> </w:t>
      </w:r>
      <w:r>
        <w:rPr>
          <w:rFonts w:ascii="Arial" w:cs="Arial" w:eastAsia="Arial" w:hAnsi="Arial"/>
          <w:sz w:val="18"/>
          <w:szCs w:val="18"/>
          <w:color w:val="auto"/>
        </w:rPr>
        <w:t>– Historically known as Tammany Hall, this building with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73,113 square feet of net rentable area overlooking Manhattan’s Union Square, is now substantially complete and in the lease-up phase of its redevelopment. This building, with its first in the city dome, brings the future to New York’s fabled past, was awarded in 2017 the AIA QUAD Design Honor Award, and the Architizer A+ Awards, Typology Winner, Commercial Award. It is one of a very limited number of locations in Manhattan that provides a major tenant with a “brandable” site, and the only such location on Union Square.</w:t>
      </w:r>
    </w:p>
    <w:p>
      <w:pPr>
        <w:spacing w:after="0" w:line="381" w:lineRule="exact"/>
        <w:rPr>
          <w:rFonts w:ascii="Arial" w:cs="Arial" w:eastAsia="Arial" w:hAnsi="Arial"/>
          <w:sz w:val="18"/>
          <w:szCs w:val="18"/>
          <w:color w:val="auto"/>
        </w:rPr>
      </w:pPr>
    </w:p>
    <w:p>
      <w:pPr>
        <w:jc w:val="both"/>
        <w:ind w:left="640" w:hanging="320"/>
        <w:spacing w:after="0" w:line="296"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Minetta Lane Theatre (Manhattan, U.S.</w:t>
      </w:r>
      <w:r>
        <w:rPr>
          <w:rFonts w:ascii="Arial" w:cs="Arial" w:eastAsia="Arial" w:hAnsi="Arial"/>
          <w:sz w:val="16"/>
          <w:szCs w:val="16"/>
          <w:i w:val="1"/>
          <w:iCs w:val="1"/>
          <w:color w:val="auto"/>
        </w:rPr>
        <w:t xml:space="preserve">) </w:t>
      </w:r>
      <w:r>
        <w:rPr>
          <w:rFonts w:ascii="Arial" w:cs="Arial" w:eastAsia="Arial" w:hAnsi="Arial"/>
          <w:sz w:val="16"/>
          <w:szCs w:val="16"/>
          <w:color w:val="auto"/>
        </w:rPr>
        <w:t>– We have completed an initial feasibility study regarding the potential redevelopment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property. However, at the present time, our theatre is being used by Audible, a subsidiary of Amazon, to present plays featuring a limited cast of one or two characters and special live performance engagements, which it is recording and making available to the public through the Audible streaming service. We currently anticipate that this arrangement will continue through at least March 2021. Accordingly, we are not currently pursuing these redevelopment plans.</w:t>
      </w:r>
    </w:p>
    <w:p>
      <w:pPr>
        <w:spacing w:after="0" w:line="350" w:lineRule="exact"/>
        <w:rPr>
          <w:rFonts w:ascii="Arial" w:cs="Arial" w:eastAsia="Arial" w:hAnsi="Arial"/>
          <w:sz w:val="16"/>
          <w:szCs w:val="16"/>
          <w:color w:val="auto"/>
        </w:rPr>
      </w:pPr>
    </w:p>
    <w:p>
      <w:pPr>
        <w:ind w:left="640" w:right="20" w:hanging="320"/>
        <w:spacing w:after="0" w:line="342"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Cinemas 1,2,3 Redevelopment (Manhattan, U.S.)</w:t>
      </w:r>
      <w:r>
        <w:rPr>
          <w:rFonts w:ascii="Arial" w:cs="Arial" w:eastAsia="Arial" w:hAnsi="Arial"/>
          <w:sz w:val="16"/>
          <w:szCs w:val="16"/>
          <w:i w:val="1"/>
          <w:iCs w:val="1"/>
          <w:color w:val="auto"/>
        </w:rPr>
        <w:t xml:space="preserve"> </w:t>
      </w:r>
      <w:r>
        <w:rPr>
          <w:rFonts w:ascii="Arial" w:cs="Arial" w:eastAsia="Arial" w:hAnsi="Arial"/>
          <w:sz w:val="16"/>
          <w:szCs w:val="16"/>
          <w:color w:val="auto"/>
        </w:rPr>
        <w:t>– As previously disclosed, our endeavors to negotiate a joint development deal</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adjoining neighbors have not borne fruit. Given the closure of our two cinemas in New York City’s Upper East</w:t>
      </w:r>
    </w:p>
    <w:p>
      <w:pPr>
        <w:spacing w:after="0" w:line="123" w:lineRule="exact"/>
        <w:rPr>
          <w:rFonts w:ascii="Arial" w:cs="Arial" w:eastAsia="Arial" w:hAnsi="Arial"/>
          <w:sz w:val="16"/>
          <w:szCs w:val="16"/>
          <w:color w:val="auto"/>
        </w:rPr>
      </w:pPr>
    </w:p>
    <w:p>
      <w:pPr>
        <w:ind w:left="5200" w:hanging="152"/>
        <w:spacing w:after="0"/>
        <w:tabs>
          <w:tab w:leader="none" w:pos="5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42" w:name="page43"/>
    <w:bookmarkEnd w:id="42"/>
    <w:p>
      <w:pPr>
        <w:ind w:left="640" w:right="20"/>
        <w:spacing w:after="0" w:line="308" w:lineRule="auto"/>
        <w:rPr>
          <w:sz w:val="20"/>
          <w:szCs w:val="20"/>
          <w:color w:val="auto"/>
        </w:rPr>
      </w:pPr>
      <w:r>
        <w:rPr>
          <w:rFonts w:ascii="Arial" w:cs="Arial" w:eastAsia="Arial" w:hAnsi="Arial"/>
          <w:sz w:val="17"/>
          <w:szCs w:val="17"/>
          <w:color w:val="auto"/>
        </w:rPr>
        <w:t>Side, we have determined to continue to operate this location as a cinema for at least the near term. In the meantime, we are pursuing a rezoning of this property so as to allow us to continue our cinema use as a part of any such redevelopment.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90" w:lineRule="exact"/>
        <w:rPr>
          <w:sz w:val="20"/>
          <w:szCs w:val="20"/>
          <w:color w:val="auto"/>
        </w:rPr>
      </w:pPr>
    </w:p>
    <w:p>
      <w:pPr>
        <w:jc w:val="both"/>
        <w:ind w:left="640" w:hanging="320"/>
        <w:spacing w:after="0" w:line="293"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Expansion Project for our Newmarket Shopping Center located in an affluent suburb of Brisbane, Australia</w:t>
      </w:r>
      <w:r>
        <w:rPr>
          <w:rFonts w:ascii="Arial" w:cs="Arial" w:eastAsia="Arial" w:hAnsi="Arial"/>
          <w:sz w:val="16"/>
          <w:szCs w:val="16"/>
          <w:i w:val="1"/>
          <w:iCs w:val="1"/>
          <w:color w:val="auto"/>
        </w:rPr>
        <w:t xml:space="preserve"> </w:t>
      </w:r>
      <w:r>
        <w:rPr>
          <w:rFonts w:ascii="Arial" w:cs="Arial" w:eastAsia="Arial" w:hAnsi="Arial"/>
          <w:sz w:val="16"/>
          <w:szCs w:val="16"/>
          <w:color w:val="auto"/>
        </w:rPr>
        <w:t>– In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2017, we opened our eight-screen Reading Cinema, 10,064 square feet of additional retail space and 124 parking spaces. As of December 31, 2019, we acquired a separate parcel adjacent to our tenant Coles supermarket. This property is currently improved with an office building, which is now fully leased. These leases have early development provisions allowing us to terminate these arrangements in connection with a redevelopment of the property. We intend to ultimately demolish this office building and to integrate this parcel into Newmarket Village. Newmarket Village is approximately 98% leased.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w:t>
      </w:r>
    </w:p>
    <w:p>
      <w:pPr>
        <w:spacing w:after="0" w:line="320" w:lineRule="exact"/>
        <w:rPr>
          <w:sz w:val="20"/>
          <w:szCs w:val="20"/>
          <w:color w:val="auto"/>
        </w:rPr>
      </w:pPr>
    </w:p>
    <w:p>
      <w:pPr>
        <w:ind w:left="640" w:hanging="320"/>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t>Courtenay Central Redevelopment (Wellington, New Zealand)</w:t>
      </w:r>
      <w:r>
        <w:rPr>
          <w:rFonts w:ascii="Arial" w:cs="Arial" w:eastAsia="Arial" w:hAnsi="Arial"/>
          <w:sz w:val="16"/>
          <w:szCs w:val="16"/>
          <w:i w:val="1"/>
          <w:iCs w:val="1"/>
          <w:color w:val="auto"/>
        </w:rPr>
        <w:t xml:space="preserve"> </w:t>
      </w:r>
      <w:r>
        <w:rPr>
          <w:rFonts w:ascii="Arial" w:cs="Arial" w:eastAsia="Arial" w:hAnsi="Arial"/>
          <w:sz w:val="16"/>
          <w:szCs w:val="16"/>
          <w:color w:val="auto"/>
        </w:rPr>
        <w:t>– Located in the heart of Wellington – New Zealand’s capital city</w:t>
      </w:r>
    </w:p>
    <w:p>
      <w:pPr>
        <w:spacing w:after="0" w:line="46" w:lineRule="exact"/>
        <w:rPr>
          <w:rFonts w:ascii="Arial" w:cs="Arial" w:eastAsia="Arial" w:hAnsi="Arial"/>
          <w:sz w:val="16"/>
          <w:szCs w:val="16"/>
          <w:color w:val="auto"/>
        </w:rPr>
      </w:pPr>
    </w:p>
    <w:p>
      <w:pPr>
        <w:jc w:val="both"/>
        <w:ind w:left="640"/>
        <w:spacing w:after="0" w:line="286" w:lineRule="auto"/>
        <w:rPr>
          <w:rFonts w:ascii="Arial" w:cs="Arial" w:eastAsia="Arial" w:hAnsi="Arial"/>
          <w:sz w:val="16"/>
          <w:szCs w:val="16"/>
          <w:color w:val="auto"/>
        </w:rPr>
      </w:pPr>
      <w:r>
        <w:rPr>
          <w:rFonts w:ascii="Arial" w:cs="Arial" w:eastAsia="Arial" w:hAnsi="Arial"/>
          <w:sz w:val="16"/>
          <w:szCs w:val="16"/>
          <w:color w:val="auto"/>
        </w:rPr>
        <w:t>– this center is comprised of 161,071 square feet of land situated proximate to the Te Papa Tongarewa Museum (attracting over 1.5 million visitors annually), across the street from the site of the new convention center being constructed to handle the demand for such space in Wellington (estimated to open its doors in 2022) and at a major public transit hub. Damage from the 2016 earthquake necessitated demolition of our nine-story parking garage at the site, and unrelated seismic issues have caused us to close major portions of the existing cinema and retail structure while we reevaluate the center for redevelopment as an entertainment themed urban center with a major food and grocery component. Wellington continues to be rated as one of the top cities in the world in which to live, and we continue to believe that the Courtenay Central site is located in one of the most vibrant and growing commercial and entertainment precincts of Wellington. In 2019, UNESCO named Wellington as a UNESCO Creative City of Film. We are currently working on a comprehensive plan for the redevelopment of this property featuring a variety of uses to compliment and build upon the “destination quality” of this location.</w:t>
      </w:r>
    </w:p>
    <w:p>
      <w:pPr>
        <w:spacing w:after="0" w:line="277" w:lineRule="exact"/>
        <w:rPr>
          <w:sz w:val="20"/>
          <w:szCs w:val="20"/>
          <w:color w:val="auto"/>
        </w:rPr>
      </w:pPr>
    </w:p>
    <w:p>
      <w:pPr>
        <w:jc w:val="both"/>
        <w:ind w:left="640" w:right="20"/>
        <w:spacing w:after="0" w:line="296" w:lineRule="auto"/>
        <w:rPr>
          <w:sz w:val="20"/>
          <w:szCs w:val="20"/>
          <w:color w:val="auto"/>
        </w:rPr>
      </w:pPr>
      <w:r>
        <w:rPr>
          <w:rFonts w:ascii="Arial" w:cs="Arial" w:eastAsia="Arial" w:hAnsi="Arial"/>
          <w:sz w:val="16"/>
          <w:szCs w:val="16"/>
          <w:color w:val="auto"/>
        </w:rPr>
        <w:t>During the quarter ended June 30, 2017, we recorded a gain on business interruption recoveries of $1.5 million (NZ$2.1 million), presented as part of the relevant segment revenue lines in our Consolidated Statements of Operations for that quarter. While the earthquake has opened up possibilities to reconfigure our Courtenay Central property, the gains recorded during the quarter ended June 30, 2017 do not compensate for the lost time value of the delay of our development plan or the replacement cost of our parking structure. This gain was a non-recurring item for the 2018 and 2019.</w:t>
      </w:r>
    </w:p>
    <w:p>
      <w:pPr>
        <w:spacing w:after="0" w:line="161"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21 – Insurance Recoveries on Impairment and Related Losses due to Earthquake</w:t>
      </w:r>
      <w:r>
        <w:rPr>
          <w:rFonts w:ascii="Arial" w:cs="Arial" w:eastAsia="Arial" w:hAnsi="Arial"/>
          <w:sz w:val="18"/>
          <w:szCs w:val="18"/>
          <w:color w:val="auto"/>
        </w:rPr>
        <w:t xml:space="preserve"> for further details on the impact of the earthquake incident.</w:t>
      </w:r>
    </w:p>
    <w:p>
      <w:pPr>
        <w:spacing w:after="0" w:line="49" w:lineRule="exact"/>
        <w:rPr>
          <w:sz w:val="20"/>
          <w:szCs w:val="20"/>
          <w:color w:val="auto"/>
        </w:rPr>
      </w:pPr>
    </w:p>
    <w:p>
      <w:pPr>
        <w:ind w:left="640" w:right="40" w:hanging="320"/>
        <w:spacing w:after="0" w:line="245" w:lineRule="auto"/>
        <w:tabs>
          <w:tab w:leader="none" w:pos="64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i w:val="1"/>
          <w:iCs w:val="1"/>
          <w:u w:val="single" w:color="auto"/>
          <w:color w:val="auto"/>
        </w:rPr>
        <w:t>Manukau/Wiri Land Rezoning</w:t>
      </w:r>
      <w:r>
        <w:rPr>
          <w:rFonts w:ascii="Arial" w:cs="Arial" w:eastAsia="Arial" w:hAnsi="Arial"/>
          <w:sz w:val="17"/>
          <w:szCs w:val="17"/>
          <w:i w:val="1"/>
          <w:iCs w:val="1"/>
          <w:color w:val="auto"/>
        </w:rPr>
        <w:t xml:space="preserve"> </w:t>
      </w:r>
      <w:r>
        <w:rPr>
          <w:rFonts w:ascii="Arial" w:cs="Arial" w:eastAsia="Arial" w:hAnsi="Arial"/>
          <w:sz w:val="17"/>
          <w:szCs w:val="17"/>
          <w:color w:val="auto"/>
        </w:rPr>
        <w:t>– We are working with adjoining landholders to jointly advance the construction of the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improvements on our 64.0-acre property which we have successfully rezoned from agricultural to light industrial uses and the remaining 6.4-acre zoned for heavy industrial use. During 2019, we continued to work with adjoining landowners to develop budgets, layouts, and made the various resource consent filings required for the construction of anticipated infrastructure. We estimate that our property will support approximately 1.6 million square feet of improvements. We see this property as a future value realization opportunity for us. This tract is adjacent to the Auckland Airport, which is currently undergoing a major improvement and expansion project.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Matters</w:t>
      </w:r>
    </w:p>
    <w:p>
      <w:pPr>
        <w:spacing w:after="0" w:line="104" w:lineRule="exact"/>
        <w:rPr>
          <w:sz w:val="20"/>
          <w:szCs w:val="20"/>
          <w:color w:val="auto"/>
        </w:rPr>
      </w:pPr>
    </w:p>
    <w:p>
      <w:pPr>
        <w:ind w:left="640" w:right="80" w:hanging="320"/>
        <w:spacing w:after="0" w:line="258" w:lineRule="auto"/>
        <w:tabs>
          <w:tab w:leader="none" w:pos="640"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i w:val="1"/>
          <w:iCs w:val="1"/>
          <w:u w:val="single" w:color="auto"/>
          <w:color w:val="auto"/>
        </w:rPr>
        <w:t>Stock Repurchase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 Our Board of Directors approved a $25.0 million repurchase program on March 2, 2017 and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14, 2019, extended the program through March 2, 2021. Under this authorization Reading may repurchase its Class A Non-Voting Common Stock from time to time in accordance with the requirements of the Securities and Exchange Commission on the open market, in block trades and in privately negotiated transactions, depending on market conditions and other factors. The new authorization continues through March 2, 2021. Through December 31, 2019, we have repurchased 1,717,662 shares of Class A Non-Voting Common Stock at an average price of $13.59 per share (excluding transaction costs). Of</w:t>
      </w:r>
    </w:p>
    <w:p>
      <w:pPr>
        <w:ind w:left="640" w:right="80"/>
        <w:spacing w:after="0" w:line="277" w:lineRule="auto"/>
        <w:rPr>
          <w:rFonts w:ascii="Arial" w:cs="Arial" w:eastAsia="Arial" w:hAnsi="Arial"/>
          <w:sz w:val="26"/>
          <w:szCs w:val="26"/>
          <w:color w:val="auto"/>
          <w:vertAlign w:val="superscript"/>
        </w:rPr>
      </w:pPr>
      <w:r>
        <w:rPr>
          <w:rFonts w:ascii="Arial" w:cs="Arial" w:eastAsia="Arial" w:hAnsi="Arial"/>
          <w:sz w:val="17"/>
          <w:szCs w:val="17"/>
          <w:color w:val="auto"/>
        </w:rPr>
        <w:t>these, 302,038 shares were purchased during the quarter ended December 31, 2019, at an average price of $10.56 per share. On March 10, 2020, our Board of Directors authorized a $25.0 million increase to our stock repurchase program and extended the program to March 2, 2022. At the present time, the repurchase program authorization is at $26.0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Financing Strategy</w:t>
      </w:r>
    </w:p>
    <w:p>
      <w:pPr>
        <w:spacing w:after="0" w:line="225" w:lineRule="exact"/>
        <w:rPr>
          <w:sz w:val="20"/>
          <w:szCs w:val="20"/>
          <w:color w:val="auto"/>
        </w:rPr>
      </w:pPr>
    </w:p>
    <w:p>
      <w:pPr>
        <w:ind w:left="320" w:right="60"/>
        <w:spacing w:after="0" w:line="257" w:lineRule="auto"/>
        <w:rPr>
          <w:sz w:val="20"/>
          <w:szCs w:val="20"/>
          <w:color w:val="auto"/>
        </w:rPr>
      </w:pPr>
      <w:r>
        <w:rPr>
          <w:rFonts w:ascii="Arial" w:cs="Arial" w:eastAsia="Arial" w:hAnsi="Arial"/>
          <w:sz w:val="18"/>
          <w:szCs w:val="18"/>
          <w:color w:val="auto"/>
        </w:rPr>
        <w:t>Our treasury management is focused on concerted cash management using cash balances to reduce debt. We have used cash generated from operations and other excess cash, to the extent not needed for any capital expenditures, to pay down our loans and credit facilities providing us some flexibility on our available loan facilities for future use and thereby, reducing interest charges. On a periodic basis, we review the maturities of our borrowing arrangements and negotiate for renewals and extensions where necessary in the current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43" w:name="page44"/>
    <w:bookmarkEnd w:id="43"/>
    <w:p>
      <w:pPr>
        <w:ind w:left="320" w:right="20"/>
        <w:spacing w:after="0" w:line="254" w:lineRule="auto"/>
        <w:rPr>
          <w:sz w:val="20"/>
          <w:szCs w:val="20"/>
          <w:color w:val="auto"/>
        </w:rPr>
      </w:pPr>
      <w:r>
        <w:rPr>
          <w:rFonts w:ascii="Arial" w:cs="Arial" w:eastAsia="Arial" w:hAnsi="Arial"/>
          <w:sz w:val="18"/>
          <w:szCs w:val="18"/>
          <w:color w:val="auto"/>
        </w:rPr>
        <w:t>In March 2019, we amended our Revolving Corporate Markets Loan Facility with National Australia Bank (“NAB”) from a facility comprised of (i) a AU$66.5 million loan facility with an interest rate of 0.95% above the Bank Bill Swap Bid Rate (“BBSY”) and a maturity date of June 30, 2019 and (ii) a bank guarantee of AU$5.0 million at a rate of 1.90% per annum into (i) a AU$120.0 million Corporate Loan facility at a rate of 0.85% - 1.3% above BBSY, depending on certain ratios, with a due date of December 31, 2023, of which AU$80.0 million is revolving and AU$40.0 million is core and (ii) a Bank Guarantee Facility of AU$5.0 million at a rate of 1.85% per annum. Such debt modifications of this particular term loan were not considered to be substantial under U.S. GAAP.</w:t>
      </w:r>
    </w:p>
    <w:p>
      <w:pPr>
        <w:spacing w:after="0" w:line="195" w:lineRule="exact"/>
        <w:rPr>
          <w:sz w:val="20"/>
          <w:szCs w:val="20"/>
          <w:color w:val="auto"/>
        </w:rPr>
      </w:pPr>
    </w:p>
    <w:p>
      <w:pPr>
        <w:ind w:left="320" w:right="260"/>
        <w:spacing w:after="0" w:line="257" w:lineRule="auto"/>
        <w:rPr>
          <w:sz w:val="20"/>
          <w:szCs w:val="20"/>
          <w:color w:val="auto"/>
        </w:rPr>
      </w:pPr>
      <w:r>
        <w:rPr>
          <w:rFonts w:ascii="Arial" w:cs="Arial" w:eastAsia="Arial" w:hAnsi="Arial"/>
          <w:sz w:val="18"/>
          <w:szCs w:val="18"/>
          <w:color w:val="auto"/>
        </w:rPr>
        <w:t>On December 20, 2018, we restructured our Westpac Corporate Credit Facilities. The maturity of the 1st tranche (general/non-construction credit line) was extended to December 31, 2023, with the available facility being reduced from NZ$35.0 million to NZ$32.0 million. The facility bears an interest rate of 1.75% above the Bank Bill Bid Rate on the loan balance and a 1.1% line of credit charge on the full amount of the facility. The 2nd tranche (construction line) with a facility of NZ$18.0 million matured on December 31, 2018 and was not renewed.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March 6, 2020, we extended our $55.0 million credit line with Bank of America to March 6, 2023.</w:t>
      </w:r>
    </w:p>
    <w:p>
      <w:pPr>
        <w:spacing w:after="0" w:line="225" w:lineRule="exact"/>
        <w:rPr>
          <w:sz w:val="20"/>
          <w:szCs w:val="20"/>
          <w:color w:val="auto"/>
        </w:rPr>
      </w:pPr>
    </w:p>
    <w:p>
      <w:pPr>
        <w:ind w:left="320" w:right="260"/>
        <w:spacing w:after="0" w:line="342" w:lineRule="auto"/>
        <w:rPr>
          <w:sz w:val="20"/>
          <w:szCs w:val="20"/>
          <w:color w:val="auto"/>
        </w:rPr>
      </w:pPr>
      <w:r>
        <w:rPr>
          <w:rFonts w:ascii="Arial" w:cs="Arial" w:eastAsia="Arial" w:hAnsi="Arial"/>
          <w:sz w:val="16"/>
          <w:szCs w:val="16"/>
          <w:color w:val="auto"/>
        </w:rPr>
        <w:t>On August 31, 2016, we secured a three-year, $20.0 million mortgage loan with Valley National Bank. On March 13, 2020, we refinanced the loan to $25.0 million which matures on April 1, 2022 with two six-month options to extend through April 1, 2023.</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a complete list and further details of our value creation projects, see Part I, Item 2 –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Investment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 OF OPERATIONS</w:t>
      </w:r>
    </w:p>
    <w:p>
      <w:pPr>
        <w:spacing w:after="0" w:line="22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At December 31, 2019, we leased or owned and operated 60 cinemas with 498 screens, which includes our interests in certain unconsolidated joint ventures that total three cinemas with 29 screens. Throughout the year, we also:</w:t>
      </w:r>
    </w:p>
    <w:p>
      <w:pPr>
        <w:spacing w:after="0" w:line="146" w:lineRule="exact"/>
        <w:rPr>
          <w:sz w:val="20"/>
          <w:szCs w:val="20"/>
          <w:color w:val="auto"/>
        </w:rPr>
      </w:pPr>
    </w:p>
    <w:p>
      <w:pPr>
        <w:ind w:left="640" w:right="380" w:hanging="320"/>
        <w:spacing w:after="0" w:line="25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expanded into Tasmania acquiring a four-screen cinema in Devonport in the first quarter and a ten-screen cinema (the State Cinema) in Hobart in the fourth quarter of 2019;</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opened a three-screen pop-up in Lower Hutt located in the greater region of Wellington, New Zealand at the end of June 2019;</w:t>
      </w:r>
    </w:p>
    <w:p>
      <w:pPr>
        <w:spacing w:after="0" w:line="32" w:lineRule="exact"/>
        <w:rPr>
          <w:rFonts w:ascii="Arial" w:cs="Arial" w:eastAsia="Arial" w:hAnsi="Arial"/>
          <w:sz w:val="16"/>
          <w:szCs w:val="16"/>
          <w:color w:val="auto"/>
        </w:rPr>
      </w:pPr>
    </w:p>
    <w:p>
      <w:pPr>
        <w:ind w:left="640" w:right="300" w:hanging="320"/>
        <w:spacing w:after="0" w:line="265"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ended our management agreement related to the 86</w:t>
      </w:r>
      <w:r>
        <w:rPr>
          <w:rFonts w:ascii="Arial" w:cs="Arial" w:eastAsia="Arial" w:hAnsi="Arial"/>
          <w:sz w:val="8"/>
          <w:szCs w:val="8"/>
          <w:color w:val="auto"/>
        </w:rPr>
        <w:t>th</w:t>
      </w:r>
      <w:r>
        <w:rPr>
          <w:rFonts w:ascii="Arial" w:cs="Arial" w:eastAsia="Arial" w:hAnsi="Arial"/>
          <w:sz w:val="17"/>
          <w:szCs w:val="17"/>
          <w:color w:val="auto"/>
        </w:rPr>
        <w:t xml:space="preserve"> Street Cinema in New York City due to the expiration of the underlying lease and closed our profitable Paris and Beekman theatres in New York City due to lease expirations;</w:t>
      </w:r>
    </w:p>
    <w:p>
      <w:pPr>
        <w:ind w:left="640" w:hanging="320"/>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launched our six-screen Reading Cinemas in Burwood, a suburb of Melbourne, Australia, in December 2019;</w:t>
      </w:r>
    </w:p>
    <w:p>
      <w:pPr>
        <w:spacing w:after="0" w:line="9" w:lineRule="exact"/>
        <w:rPr>
          <w:rFonts w:ascii="Arial" w:cs="Arial" w:eastAsia="Arial" w:hAnsi="Arial"/>
          <w:sz w:val="18"/>
          <w:szCs w:val="18"/>
          <w:color w:val="auto"/>
        </w:rPr>
      </w:pPr>
    </w:p>
    <w:p>
      <w:pPr>
        <w:ind w:left="640" w:right="340" w:hanging="320"/>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owned and operated five ETCs located in Newmarket Village (a suburb of Brisbane), Belmont (a suburb of Perth), Auburn Redyard (a suburb of Sydney) and Cannon Park (in Townsville) in Australia, and Courtenay Central (in Wellington) in New Zealand;</w:t>
      </w:r>
    </w:p>
    <w:p>
      <w:pPr>
        <w:spacing w:after="0" w:line="1" w:lineRule="exact"/>
        <w:rPr>
          <w:rFonts w:ascii="Arial" w:cs="Arial" w:eastAsia="Arial" w:hAnsi="Arial"/>
          <w:sz w:val="18"/>
          <w:szCs w:val="18"/>
          <w:color w:val="auto"/>
        </w:rPr>
      </w:pPr>
    </w:p>
    <w:p>
      <w:pPr>
        <w:ind w:left="640" w:right="180" w:hanging="320"/>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owned and operated our headquarters’ office buildings in Culver City (an emerging high-tech and communications hub in Los Angeles County) and Melbourne, Australia;</w:t>
      </w:r>
    </w:p>
    <w:p>
      <w:pPr>
        <w:ind w:left="640" w:right="240" w:hanging="320"/>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owned and operated the fee interests in three developed commercial properties in Manhattan and Chicago improved with live theatres comprising six stages and ancillary retail and commercial space;</w:t>
      </w:r>
    </w:p>
    <w:p>
      <w:pPr>
        <w:ind w:left="640" w:hanging="320"/>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owned a 75% managing member interest in a limited liability company which in turn owns the fee interest in Cinemas 1,2,3;</w:t>
      </w:r>
    </w:p>
    <w:p>
      <w:pPr>
        <w:spacing w:after="0" w:line="20" w:lineRule="exact"/>
        <w:rPr>
          <w:rFonts w:ascii="Arial" w:cs="Arial" w:eastAsia="Arial" w:hAnsi="Arial"/>
          <w:sz w:val="17"/>
          <w:szCs w:val="17"/>
          <w:color w:val="auto"/>
        </w:rPr>
      </w:pPr>
    </w:p>
    <w:p>
      <w:pPr>
        <w:ind w:left="640" w:right="180" w:hanging="320"/>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owned our Union Square development property with approximately 73,113 square feet of net leasable area comprised of retail and office space, currently in the leasing phase;</w:t>
      </w:r>
    </w:p>
    <w:p>
      <w:pPr>
        <w:ind w:left="640" w:right="400" w:hanging="320"/>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held for development approximately 70.4-acres of developable industrial land located next to the Auckland Airport in New Zealand;</w:t>
      </w:r>
    </w:p>
    <w:p>
      <w:pPr>
        <w:ind w:left="640" w:hanging="320"/>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owned a 50% managing member interest in a limited liability company, which in turn owns a 202-acre property in Coachella, California that is zoned approximately 150-acres for single-family residential use (maximum 550 homes) and approximately 50-acres for high density mixed use in the U.S., that is held for development, and;</w:t>
      </w:r>
    </w:p>
    <w:p>
      <w:pPr>
        <w:spacing w:after="0" w:line="1" w:lineRule="exact"/>
        <w:rPr>
          <w:rFonts w:ascii="Arial" w:cs="Arial" w:eastAsia="Arial" w:hAnsi="Arial"/>
          <w:sz w:val="18"/>
          <w:szCs w:val="18"/>
          <w:color w:val="auto"/>
        </w:rPr>
      </w:pPr>
    </w:p>
    <w:p>
      <w:pPr>
        <w:ind w:left="640" w:right="300" w:hanging="320"/>
        <w:spacing w:after="0" w:line="26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owned 197-acres principally in Pennsylvania from our legacy railroad business, including the Reading Viaduct in downtown Philadelphia.</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Company transacts business in Australia and New Zealand and is subject to risks associated with changing foreign currency exchange rates. During the current year, compared to the prior year, the Australian dollar and New Zealand dollar weakened against the U.S. dollar by 7.0% and 4.9%, respectively.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4" w:name="page45"/>
    <w:bookmarkEnd w:id="44"/>
    <w:p>
      <w:pPr>
        <w:ind w:left="4"/>
        <w:spacing w:after="0"/>
        <w:rPr>
          <w:sz w:val="20"/>
          <w:szCs w:val="20"/>
          <w:color w:val="auto"/>
        </w:rPr>
      </w:pPr>
      <w:r>
        <w:rPr>
          <w:rFonts w:ascii="Arial" w:cs="Arial" w:eastAsia="Arial" w:hAnsi="Arial"/>
          <w:sz w:val="18"/>
          <w:szCs w:val="18"/>
          <w:color w:val="auto"/>
        </w:rPr>
        <w:t>The following table sets forth the overall results of operations for the three years ended December 31, 2019:</w:t>
      </w:r>
    </w:p>
    <w:p>
      <w:pPr>
        <w:spacing w:after="0" w:line="4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 Change -</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i w:val="1"/>
                <w:iCs w:val="1"/>
                <w:color w:val="auto"/>
              </w:rPr>
              <w:t>% of</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4"/>
                <w:szCs w:val="14"/>
                <w:b w:val="1"/>
                <w:bCs w:val="1"/>
                <w:i w:val="1"/>
                <w:iCs w:val="1"/>
                <w:color w:val="auto"/>
              </w:rPr>
              <w:t>% of</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i w:val="1"/>
                <w:iCs w:val="1"/>
                <w:color w:val="auto"/>
              </w:rPr>
              <w:t>% of</w:t>
            </w: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26"/>
        </w:trPr>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7"/>
                <w:szCs w:val="7"/>
                <w:b w:val="1"/>
                <w:bCs w:val="1"/>
                <w:color w:val="auto"/>
              </w:rPr>
              <w:t>(1)</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7"/>
                <w:szCs w:val="7"/>
                <w:b w:val="1"/>
                <w:bCs w:val="1"/>
                <w:color w:val="auto"/>
              </w:rPr>
              <w:t>(1)</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tcPr>
          <w:p>
            <w:pPr>
              <w:ind w:left="120"/>
              <w:spacing w:after="0" w:line="126" w:lineRule="exact"/>
              <w:rPr>
                <w:sz w:val="20"/>
                <w:szCs w:val="20"/>
                <w:color w:val="auto"/>
              </w:rPr>
            </w:pPr>
            <w:r>
              <w:rPr>
                <w:rFonts w:ascii="Arial" w:cs="Arial" w:eastAsia="Arial" w:hAnsi="Arial"/>
                <w:sz w:val="14"/>
                <w:szCs w:val="14"/>
                <w:b w:val="1"/>
                <w:bCs w:val="1"/>
                <w:color w:val="auto"/>
              </w:rPr>
              <w:t>2019 vs.</w:t>
            </w:r>
          </w:p>
        </w:tc>
        <w:tc>
          <w:tcPr>
            <w:tcW w:w="780" w:type="dxa"/>
            <w:vAlign w:val="bottom"/>
          </w:tcPr>
          <w:p>
            <w:pPr>
              <w:jc w:val="right"/>
              <w:ind w:right="68"/>
              <w:spacing w:after="0" w:line="126" w:lineRule="exact"/>
              <w:rPr>
                <w:sz w:val="20"/>
                <w:szCs w:val="20"/>
                <w:color w:val="auto"/>
              </w:rPr>
            </w:pPr>
            <w:r>
              <w:rPr>
                <w:rFonts w:ascii="Arial" w:cs="Arial" w:eastAsia="Arial" w:hAnsi="Arial"/>
                <w:sz w:val="14"/>
                <w:szCs w:val="14"/>
                <w:b w:val="1"/>
                <w:bCs w:val="1"/>
                <w:color w:val="auto"/>
              </w:rPr>
              <w:t>2018 vs.</w:t>
            </w:r>
          </w:p>
        </w:tc>
        <w:tc>
          <w:tcPr>
            <w:tcW w:w="0" w:type="dxa"/>
            <w:vAlign w:val="bottom"/>
          </w:tcPr>
          <w:p>
            <w:pPr>
              <w:spacing w:after="0"/>
              <w:rPr>
                <w:sz w:val="1"/>
                <w:szCs w:val="1"/>
                <w:color w:val="auto"/>
              </w:rPr>
            </w:pPr>
          </w:p>
        </w:tc>
      </w:tr>
      <w:tr>
        <w:trPr>
          <w:trHeight w:val="178"/>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Revenue</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Revenue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Revenue</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SEGMENT RESULTS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Cinema exhibition operating income (loss)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23,329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8 %</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12 %</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Real estate operating income (loss)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5,141</w:t>
            </w:r>
          </w:p>
        </w:tc>
        <w:tc>
          <w:tcPr>
            <w:tcW w:w="8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i w:val="1"/>
                <w:iCs w:val="1"/>
                <w:color w:val="auto"/>
              </w:rPr>
              <w:t>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6,438</w:t>
            </w:r>
          </w:p>
        </w:tc>
        <w:tc>
          <w:tcPr>
            <w:tcW w:w="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8,156</w:t>
            </w:r>
          </w:p>
        </w:tc>
        <w:tc>
          <w:tcPr>
            <w:tcW w:w="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3 %</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NON-SEGMENT RESULTS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 expense</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(414)</w:t>
            </w:r>
          </w:p>
        </w:tc>
        <w:tc>
          <w:tcPr>
            <w:tcW w:w="720" w:type="dxa"/>
            <w:vAlign w:val="bottom"/>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(394)</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(473)</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General and administrative expense</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(18,933)</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(21,287)</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(19,947)</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(7,904)</w:t>
            </w:r>
          </w:p>
        </w:tc>
        <w:tc>
          <w:tcPr>
            <w:tcW w:w="720" w:type="dxa"/>
            <w:vAlign w:val="bottom"/>
          </w:tcPr>
          <w:p>
            <w:pPr>
              <w:jc w:val="right"/>
              <w:ind w:right="28"/>
              <w:spacing w:after="0"/>
              <w:rPr>
                <w:sz w:val="20"/>
                <w:szCs w:val="20"/>
                <w:color w:val="auto"/>
              </w:rPr>
            </w:pPr>
            <w:r>
              <w:rPr>
                <w:rFonts w:ascii="Arial" w:cs="Arial" w:eastAsia="Arial" w:hAnsi="Arial"/>
                <w:sz w:val="14"/>
                <w:szCs w:val="14"/>
                <w:i w:val="1"/>
                <w:iCs w:val="1"/>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(6,837)</w:t>
            </w: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(6,194)</w:t>
            </w: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(2)%</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30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Equity earnings of unconsolidated joint</w:t>
            </w: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792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ventures</w:t>
            </w: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i w:val="1"/>
                <w:iCs w:val="1"/>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i w:val="1"/>
                <w:iCs w:val="1"/>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Gain (loss) on sale of assets</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w:t>
            </w:r>
          </w:p>
        </w:tc>
        <w:tc>
          <w:tcPr>
            <w:tcW w:w="720" w:type="dxa"/>
            <w:vAlign w:val="bottom"/>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(41)</w:t>
            </w: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9,360</w:t>
            </w:r>
          </w:p>
        </w:tc>
        <w:tc>
          <w:tcPr>
            <w:tcW w:w="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3 %</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95 %</w:t>
            </w:r>
          </w:p>
        </w:tc>
        <w:tc>
          <w:tcPr>
            <w:tcW w:w="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Casualty gain (loss)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i w:val="1"/>
                <w:iCs w:val="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3 %</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8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(256)</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&gt;100%</w:t>
            </w:r>
          </w:p>
        </w:tc>
        <w:tc>
          <w:tcPr>
            <w:tcW w:w="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2,334</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1 %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17,464</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6 %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34,169</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12 %</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20"/>
              <w:spacing w:after="0"/>
              <w:rPr>
                <w:sz w:val="20"/>
                <w:szCs w:val="20"/>
                <w:color w:val="auto"/>
              </w:rPr>
            </w:pPr>
            <w:r>
              <w:rPr>
                <w:rFonts w:ascii="Arial" w:cs="Arial" w:eastAsia="Arial" w:hAnsi="Arial"/>
                <w:sz w:val="14"/>
                <w:szCs w:val="14"/>
                <w:color w:val="auto"/>
              </w:rPr>
              <w:t>Income tax benefit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(28,837)</w:t>
            </w:r>
          </w:p>
        </w:tc>
        <w:tc>
          <w:tcPr>
            <w:tcW w:w="8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i w:val="1"/>
                <w:iCs w:val="1"/>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(3,298)</w:t>
            </w: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(3,293)</w:t>
            </w:r>
          </w:p>
        </w:tc>
        <w:tc>
          <w:tcPr>
            <w:tcW w:w="740" w:type="dxa"/>
            <w:vAlign w:val="bottom"/>
          </w:tcPr>
          <w:p>
            <w:pPr>
              <w:jc w:val="right"/>
              <w:ind w:right="48"/>
              <w:spacing w:after="0"/>
              <w:rPr>
                <w:sz w:val="20"/>
                <w:szCs w:val="20"/>
                <w:color w:val="auto"/>
              </w:rPr>
            </w:pPr>
            <w:r>
              <w:rPr>
                <w:rFonts w:ascii="Arial" w:cs="Arial" w:eastAsia="Arial" w:hAnsi="Arial"/>
                <w:sz w:val="14"/>
                <w:szCs w:val="14"/>
                <w:i w:val="1"/>
                <w:iCs w:val="1"/>
                <w:color w:val="auto"/>
              </w:rPr>
              <w:t>(1)%</w:t>
            </w:r>
          </w:p>
        </w:tc>
        <w:tc>
          <w:tcPr>
            <w:tcW w:w="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(&gt;100)%</w:t>
            </w:r>
          </w:p>
        </w:tc>
        <w:tc>
          <w:tcPr>
            <w:tcW w:w="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(26,503)</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14,166</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5 %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30,876</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11 %</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(&gt;100)%</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30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Less: Net income (loss) attributable to</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w:t>
            </w:r>
          </w:p>
        </w:tc>
        <w:tc>
          <w:tcPr>
            <w:tcW w:w="80" w:type="dxa"/>
            <w:vAlign w:val="bottom"/>
            <w:vMerge w:val="restart"/>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i w:val="1"/>
                <w:iCs w:val="1"/>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i w:val="1"/>
                <w:iCs w:val="1"/>
                <w:color w:val="auto"/>
              </w:rPr>
              <w:t>—%</w:t>
            </w:r>
          </w:p>
        </w:tc>
        <w:tc>
          <w:tcPr>
            <w:tcW w:w="7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(&gt;100)%</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10"/>
        </w:trPr>
        <w:tc>
          <w:tcPr>
            <w:tcW w:w="304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Net income (loss) attributable to RDI common</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(26,429)</w:t>
            </w:r>
          </w:p>
        </w:tc>
        <w:tc>
          <w:tcPr>
            <w:tcW w:w="80" w:type="dxa"/>
            <w:vAlign w:val="bottom"/>
            <w:vMerge w:val="restart"/>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9"/>
                <w:szCs w:val="9"/>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14,034</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30,865</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040" w:type="dxa"/>
            <w:vAlign w:val="bottom"/>
            <w:tcBorders>
              <w:bottom w:val="single" w:sz="8" w:color="CCEEFF"/>
            </w:tcBorders>
            <w:gridSpan w:val="2"/>
            <w:shd w:val="clear" w:color="auto" w:fill="CCEEFF"/>
          </w:tcPr>
          <w:p>
            <w:pPr>
              <w:spacing w:after="0" w:line="154" w:lineRule="exact"/>
              <w:rPr>
                <w:sz w:val="20"/>
                <w:szCs w:val="20"/>
                <w:color w:val="auto"/>
              </w:rPr>
            </w:pPr>
            <w:r>
              <w:rPr>
                <w:rFonts w:ascii="Arial" w:cs="Arial" w:eastAsia="Arial" w:hAnsi="Arial"/>
                <w:sz w:val="14"/>
                <w:szCs w:val="14"/>
                <w:color w:val="auto"/>
              </w:rPr>
              <w:t>stockholders</w:t>
            </w: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28"/>
              <w:spacing w:after="0" w:line="154" w:lineRule="exact"/>
              <w:rPr>
                <w:sz w:val="20"/>
                <w:szCs w:val="20"/>
                <w:color w:val="auto"/>
              </w:rPr>
            </w:pPr>
            <w:r>
              <w:rPr>
                <w:rFonts w:ascii="Arial" w:cs="Arial" w:eastAsia="Arial" w:hAnsi="Arial"/>
                <w:sz w:val="14"/>
                <w:szCs w:val="14"/>
                <w:i w:val="1"/>
                <w:iCs w:val="1"/>
                <w:color w:val="auto"/>
              </w:rPr>
              <w:t>(10)%</w:t>
            </w: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48"/>
              <w:spacing w:after="0" w:line="154" w:lineRule="exact"/>
              <w:rPr>
                <w:sz w:val="20"/>
                <w:szCs w:val="20"/>
                <w:color w:val="auto"/>
              </w:rPr>
            </w:pPr>
            <w:r>
              <w:rPr>
                <w:rFonts w:ascii="Arial" w:cs="Arial" w:eastAsia="Arial" w:hAnsi="Arial"/>
                <w:sz w:val="14"/>
                <w:szCs w:val="14"/>
                <w:i w:val="1"/>
                <w:iCs w:val="1"/>
                <w:color w:val="auto"/>
              </w:rPr>
              <w:t>5 %</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48"/>
              <w:spacing w:after="0" w:line="154" w:lineRule="exact"/>
              <w:rPr>
                <w:sz w:val="20"/>
                <w:szCs w:val="20"/>
                <w:color w:val="auto"/>
              </w:rPr>
            </w:pPr>
            <w:r>
              <w:rPr>
                <w:rFonts w:ascii="Arial" w:cs="Arial" w:eastAsia="Arial" w:hAnsi="Arial"/>
                <w:sz w:val="14"/>
                <w:szCs w:val="14"/>
                <w:i w:val="1"/>
                <w:iCs w:val="1"/>
                <w:color w:val="auto"/>
              </w:rPr>
              <w:t>11 %</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28"/>
              <w:spacing w:after="0" w:line="154" w:lineRule="exact"/>
              <w:rPr>
                <w:sz w:val="20"/>
                <w:szCs w:val="20"/>
                <w:color w:val="auto"/>
              </w:rPr>
            </w:pPr>
            <w:r>
              <w:rPr>
                <w:rFonts w:ascii="Arial" w:cs="Arial" w:eastAsia="Arial" w:hAnsi="Arial"/>
                <w:sz w:val="14"/>
                <w:szCs w:val="14"/>
                <w:color w:val="auto"/>
              </w:rPr>
              <w:t>(&gt;100)%</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8"/>
              <w:spacing w:after="0" w:line="154"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3040" w:type="dxa"/>
            <w:vAlign w:val="bottom"/>
            <w:gridSpan w:val="2"/>
          </w:tcPr>
          <w:p>
            <w:pPr>
              <w:spacing w:after="0"/>
              <w:rPr>
                <w:sz w:val="20"/>
                <w:szCs w:val="20"/>
                <w:color w:val="auto"/>
              </w:rPr>
            </w:pPr>
            <w:r>
              <w:rPr>
                <w:rFonts w:ascii="Arial" w:cs="Arial" w:eastAsia="Arial" w:hAnsi="Arial"/>
                <w:sz w:val="14"/>
                <w:szCs w:val="14"/>
                <w:color w:val="auto"/>
              </w:rPr>
              <w:t>Basic earnings (loss) per share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(&gt;100)%</w:t>
            </w:r>
          </w:p>
        </w:tc>
        <w:tc>
          <w:tcPr>
            <w:tcW w:w="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4" w:hanging="320"/>
        <w:spacing w:after="0"/>
        <w:tabs>
          <w:tab w:leader="none" w:pos="644"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See Note 2 of the 2019 10-K for the prior period adjustments for accounting for accrued sales tax accounts deemed not material.</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CONSOLIDATED RESULTS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2019 vs. 2018</w:t>
      </w:r>
    </w:p>
    <w:p>
      <w:pPr>
        <w:spacing w:after="0" w:line="229"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Net income attributable to RDI common stockholders decreased by $40.5 million to a loss of $26.4 million. This decrease was due to: (i) a $25.5 million increase in income tax expense to $28.8 million, mainly due to the recording of a valuation allowance on U.S. deferred tax assets in the fourth quarter of 2019, partially offset by the lower pretax income in 2019, (ii) a $15.5 million decrease in Cinema Exhibition segment operating income due to a weaker film slate in 2019 compared to 2018, resulting in lower than anticipated admissions and food and beverage revenues, offset to some extent by an increase in per cap food and beverage revenues, (iii) a $1.3 million decrease in the Real Estate segment operating income, due principally to the temporary closure of Courtenay Central due to seismic concerns,</w:t>
      </w:r>
    </w:p>
    <w:p>
      <w:pPr>
        <w:spacing w:after="0" w:line="4" w:lineRule="exact"/>
        <w:rPr>
          <w:sz w:val="20"/>
          <w:szCs w:val="20"/>
          <w:color w:val="auto"/>
        </w:rPr>
      </w:pPr>
    </w:p>
    <w:p>
      <w:pPr>
        <w:ind w:left="4" w:right="140" w:hanging="4"/>
        <w:spacing w:after="0" w:line="253" w:lineRule="auto"/>
        <w:tabs>
          <w:tab w:leader="none" w:pos="3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$1.1 million increase in interest expense attributable to increased borrowings in Australia for the acquisitions of CMax Cinema in Devonport and State Cinema in Hobart, and the capital expenditures related to Burwood, and (v) the negative effects of the declining foreign exchange rates in the Australia and New Zealand dollars, offset by a $2.4 million decrease in general and administrative expenses.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2018 vs. 2017</w:t>
      </w:r>
    </w:p>
    <w:p>
      <w:pPr>
        <w:spacing w:after="0" w:line="229"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Net income attributable to RDI common stockholders decreased by 55% to $14.0 million for the year ended December 31, 2018. This decrease was mainly due to: (i) the 2017 recognition of a non-recurring $9.2 million casualty gain attributable to the insurance settlement on our Courtenay Central earthquake damage claim that was not repeated in 2018, (ii) a $9.4 million gain on property sales in 2017 (attributable to the sale of our Burwood Property) not repeated in 2018, (iii) an increase in non-segment general and administrative expenses of $1.3 million, (iv) a $0.8 million decrease in other income mainly due to a non-recurring 2017 gain on foreign exchange of $0.6 million relating to short-term intercompany loan balances held in foreign operations, and (v) a $1.7 million decrease in Real Estate segment operating income due to non-recurring receipt in 2017 of legal fee reimbursement related to the STOMP arbitration award settlement. These were offset by increased Cinema Exhibition segment operating income of $6.2 million mainly relating to higher admissions in all three jurisdictions, predominantly in the United States.</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35190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25" w:right="9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BUSINESS SEGMENT RESULTS – 2019 vs. 2018</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Presented below is the comparison of the segment operating income of our two business segments for the years ended December 31, 2019 and 2018,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Real Estate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Cinema</w:t>
            </w:r>
            <w:r>
              <w:rPr>
                <w:rFonts w:ascii="Arial" w:cs="Arial" w:eastAsia="Arial" w:hAnsi="Arial"/>
                <w:sz w:val="7"/>
                <w:szCs w:val="7"/>
                <w:b w:val="1"/>
                <w:bCs w:val="1"/>
                <w:color w:val="auto"/>
              </w:rPr>
              <w:t>(1)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Real Estate</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Segment 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293,723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24,235</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Segment Operating Expenses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Operating Expense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(217,376)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(9,453)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(234,818)</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(9,904)</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03"/>
        </w:trPr>
        <w:tc>
          <w:tcPr>
            <w:tcW w:w="4120" w:type="dxa"/>
            <w:vAlign w:val="bottom"/>
            <w:gridSpan w:val="2"/>
          </w:tcPr>
          <w:p>
            <w:pPr>
              <w:ind w:left="10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(16,940)</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(5,393)</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(16,314)</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(5,567)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General and administrative expense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(4,544)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(1,918)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(3,724)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(2,326)</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2"/>
          </w:tcPr>
          <w:p>
            <w:pPr>
              <w:spacing w:after="0"/>
              <w:rPr>
                <w:sz w:val="20"/>
                <w:szCs w:val="20"/>
                <w:color w:val="auto"/>
              </w:rPr>
            </w:pPr>
            <w:r>
              <w:rPr>
                <w:rFonts w:ascii="Arial" w:cs="Arial" w:eastAsia="Arial" w:hAnsi="Arial"/>
                <w:sz w:val="14"/>
                <w:szCs w:val="14"/>
                <w:color w:val="auto"/>
              </w:rPr>
              <w:t>Total segment expenses</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(238,860)</w:t>
            </w:r>
          </w:p>
        </w:tc>
        <w:tc>
          <w:tcPr>
            <w:tcW w:w="1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(16,764)</w:t>
            </w: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(254,856)</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(17,797)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6 %</w:t>
            </w: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Segment operating income (loss)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23,329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76"/>
        </w:trPr>
        <w:tc>
          <w:tcPr>
            <w:tcW w:w="4120" w:type="dxa"/>
            <w:vAlign w:val="bottom"/>
            <w:gridSpan w:val="2"/>
          </w:tcPr>
          <w:p>
            <w:pPr>
              <w:ind w:left="320"/>
              <w:spacing w:after="0"/>
              <w:rPr>
                <w:sz w:val="20"/>
                <w:szCs w:val="20"/>
                <w:color w:val="auto"/>
              </w:rPr>
            </w:pPr>
            <w:r>
              <w:rPr>
                <w:rFonts w:ascii="Arial" w:cs="Arial" w:eastAsia="Arial" w:hAnsi="Arial"/>
                <w:sz w:val="14"/>
                <w:szCs w:val="14"/>
                <w:b w:val="1"/>
                <w:bCs w:val="1"/>
                <w:i w:val="1"/>
                <w:iCs w:val="1"/>
                <w:color w:val="auto"/>
              </w:rPr>
              <w:t>Breakdown by country:</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United States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(362)</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203"/>
        </w:trPr>
        <w:tc>
          <w:tcPr>
            <w:tcW w:w="4120" w:type="dxa"/>
            <w:vAlign w:val="bottom"/>
            <w:gridSpan w:val="2"/>
          </w:tcPr>
          <w:p>
            <w:pPr>
              <w:ind w:left="540"/>
              <w:spacing w:after="0"/>
              <w:rPr>
                <w:sz w:val="20"/>
                <w:szCs w:val="20"/>
                <w:color w:val="auto"/>
              </w:rPr>
            </w:pPr>
            <w:r>
              <w:rPr>
                <w:rFonts w:ascii="Arial" w:cs="Arial" w:eastAsia="Arial" w:hAnsi="Arial"/>
                <w:sz w:val="14"/>
                <w:szCs w:val="14"/>
                <w:color w:val="auto"/>
              </w:rPr>
              <w:t>Australia</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15,974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5,002</w:t>
            </w:r>
          </w:p>
        </w:tc>
        <w:tc>
          <w:tcPr>
            <w:tcW w:w="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New Zealand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23,329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38,867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6,438</w:t>
            </w:r>
          </w:p>
        </w:tc>
        <w:tc>
          <w:tcPr>
            <w:tcW w:w="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20"/>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See Note 2 of the 2019 10-K for the prior period adjustments for accounting for accrued sales tax deemed not material.</w:t>
      </w:r>
    </w:p>
    <w:p>
      <w:pPr>
        <w:spacing w:after="0" w:line="7" w:lineRule="exact"/>
        <w:rPr>
          <w:rFonts w:ascii="Arial" w:cs="Arial" w:eastAsia="Arial" w:hAnsi="Arial"/>
          <w:sz w:val="14"/>
          <w:szCs w:val="14"/>
          <w:color w:val="auto"/>
        </w:rPr>
      </w:pPr>
    </w:p>
    <w:p>
      <w:pPr>
        <w:ind w:left="5200" w:hanging="152"/>
        <w:spacing w:after="0"/>
        <w:tabs>
          <w:tab w:leader="none" w:pos="52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60325</wp:posOffset>
            </wp:positionV>
            <wp:extent cx="635190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discussion for each segment follows: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Cinema Exhibition</w:t>
      </w:r>
      <w:r>
        <w:rPr>
          <w:rFonts w:ascii="Arial" w:cs="Arial" w:eastAsia="Arial" w:hAnsi="Arial"/>
          <w:sz w:val="15"/>
          <w:szCs w:val="15"/>
          <w:b w:val="1"/>
          <w:bCs w:val="1"/>
          <w:color w:val="auto"/>
        </w:rPr>
        <w:t xml:space="preserve"> – </w:t>
      </w:r>
      <w:r>
        <w:rPr>
          <w:rFonts w:ascii="Arial" w:cs="Arial" w:eastAsia="Arial" w:hAnsi="Arial"/>
          <w:sz w:val="15"/>
          <w:szCs w:val="15"/>
          <w:b w:val="1"/>
          <w:bCs w:val="1"/>
          <w:i w:val="1"/>
          <w:iCs w:val="1"/>
          <w:color w:val="auto"/>
        </w:rPr>
        <w:t>The following table details our Cinema Exhibition segment operating results for the years ended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31, 2019 and 2018, respectively:</w:t>
      </w:r>
    </w:p>
    <w:p>
      <w:pPr>
        <w:sectPr>
          <w:pgSz w:w="11900" w:h="16838" w:orient="portrait"/>
          <w:cols w:equalWidth="0" w:num="1">
            <w:col w:w="9940"/>
          </w:cols>
          <w:pgMar w:left="980" w:top="301"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3"/>
              </w:rPr>
              <w:t>(Dollars in thousands)</w:t>
            </w:r>
          </w:p>
        </w:tc>
        <w:tc>
          <w:tcPr>
            <w:tcW w:w="2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90,492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45,766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11,395</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147,653</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60,319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26,888</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6,301</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93,508</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14,092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5,943</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993</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21,028</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262,189</w:t>
            </w:r>
          </w:p>
        </w:tc>
        <w:tc>
          <w:tcPr>
            <w:tcW w:w="0" w:type="dxa"/>
            <w:vAlign w:val="bottom"/>
          </w:tcPr>
          <w:p>
            <w:pPr>
              <w:spacing w:after="0"/>
              <w:rPr>
                <w:sz w:val="1"/>
                <w:szCs w:val="1"/>
                <w:color w:val="auto"/>
              </w:rPr>
            </w:pPr>
          </w:p>
        </w:tc>
      </w:tr>
      <w:tr>
        <w:trPr>
          <w:trHeight w:val="227"/>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OPERATING EXPENSE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(48,368)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(10,669)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(27,096)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(43,800)</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(129,933)</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(28,364)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(5,136)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(15,773)</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(21,677)</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(70,950)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(6,587)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(3,445)</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(5,260)</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(16,492)</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8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expense</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(217,375)</w:t>
            </w:r>
          </w:p>
        </w:tc>
        <w:tc>
          <w:tcPr>
            <w:tcW w:w="0" w:type="dxa"/>
            <w:vAlign w:val="bottom"/>
          </w:tcPr>
          <w:p>
            <w:pPr>
              <w:spacing w:after="0"/>
              <w:rPr>
                <w:sz w:val="1"/>
                <w:szCs w:val="1"/>
                <w:color w:val="auto"/>
              </w:rPr>
            </w:pPr>
          </w:p>
        </w:tc>
      </w:tr>
      <w:tr>
        <w:trPr>
          <w:trHeight w:val="103"/>
        </w:trPr>
        <w:tc>
          <w:tcPr>
            <w:tcW w:w="40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DEPRECIATION, AMORTIZATION, GENERAL AND</w:t>
            </w: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ADMINISTRATIVE EXPENSE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(10,516)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(2,747)</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(13,263)</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(4,946)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(1,638)</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(6,584)</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(1,479)</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(1,638)</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08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w w:val="98"/>
              </w:rPr>
              <w:t>Total depreciation, amortization, and general and administrative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4080" w:type="dxa"/>
            <w:vAlign w:val="bottom"/>
            <w:gridSpan w:val="3"/>
            <w:vMerge w:val="continue"/>
          </w:tcPr>
          <w:p>
            <w:pPr>
              <w:spacing w:after="0"/>
              <w:rPr>
                <w:sz w:val="8"/>
                <w:szCs w:val="8"/>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(21,485)</w:t>
            </w:r>
          </w:p>
        </w:tc>
        <w:tc>
          <w:tcPr>
            <w:tcW w:w="0" w:type="dxa"/>
            <w:vAlign w:val="bottom"/>
          </w:tcPr>
          <w:p>
            <w:pPr>
              <w:spacing w:after="0"/>
              <w:rPr>
                <w:sz w:val="1"/>
                <w:szCs w:val="1"/>
                <w:color w:val="auto"/>
              </w:rPr>
            </w:pPr>
          </w:p>
        </w:tc>
      </w:tr>
      <w:tr>
        <w:trPr>
          <w:trHeight w:val="152"/>
        </w:trPr>
        <w:tc>
          <w:tcPr>
            <w:tcW w:w="1200" w:type="dxa"/>
            <w:vAlign w:val="bottom"/>
          </w:tcPr>
          <w:p>
            <w:pPr>
              <w:ind w:left="180"/>
              <w:spacing w:after="0" w:line="140" w:lineRule="exact"/>
              <w:rPr>
                <w:sz w:val="20"/>
                <w:szCs w:val="20"/>
                <w:color w:val="auto"/>
              </w:rPr>
            </w:pPr>
            <w:r>
              <w:rPr>
                <w:rFonts w:ascii="Arial" w:cs="Arial" w:eastAsia="Arial" w:hAnsi="Arial"/>
                <w:sz w:val="13"/>
                <w:szCs w:val="13"/>
                <w:b w:val="1"/>
                <w:bCs w:val="1"/>
                <w:color w:val="auto"/>
              </w:rPr>
              <w:t>expense</w:t>
            </w: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(238,860)</w:t>
            </w:r>
          </w:p>
        </w:tc>
        <w:tc>
          <w:tcPr>
            <w:tcW w:w="0" w:type="dxa"/>
            <w:vAlign w:val="bottom"/>
          </w:tcPr>
          <w:p>
            <w:pPr>
              <w:spacing w:after="0"/>
              <w:rPr>
                <w:sz w:val="1"/>
                <w:szCs w:val="1"/>
                <w:color w:val="auto"/>
              </w:rPr>
            </w:pPr>
          </w:p>
        </w:tc>
      </w:tr>
      <w:tr>
        <w:trPr>
          <w:trHeight w:val="227"/>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OPERATING INCOME (LOSS)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4,457</w:t>
            </w: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15,974</w:t>
            </w:r>
          </w:p>
        </w:tc>
        <w:tc>
          <w:tcPr>
            <w:tcW w:w="0" w:type="dxa"/>
            <w:vAlign w:val="bottom"/>
          </w:tcPr>
          <w:p>
            <w:pPr>
              <w:spacing w:after="0"/>
              <w:rPr>
                <w:sz w:val="1"/>
                <w:szCs w:val="1"/>
                <w:color w:val="auto"/>
              </w:rPr>
            </w:pPr>
          </w:p>
        </w:tc>
      </w:tr>
      <w:tr>
        <w:trPr>
          <w:trHeight w:val="212"/>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2,898</w:t>
            </w:r>
          </w:p>
        </w:tc>
        <w:tc>
          <w:tcPr>
            <w:tcW w:w="0" w:type="dxa"/>
            <w:vAlign w:val="bottom"/>
          </w:tcPr>
          <w:p>
            <w:pPr>
              <w:spacing w:after="0"/>
              <w:rPr>
                <w:sz w:val="1"/>
                <w:szCs w:val="1"/>
                <w:color w:val="auto"/>
              </w:rPr>
            </w:pPr>
          </w:p>
        </w:tc>
      </w:tr>
      <w:tr>
        <w:trPr>
          <w:trHeight w:val="196"/>
        </w:trPr>
        <w:tc>
          <w:tcPr>
            <w:tcW w:w="408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income (loss)</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23,329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-7139940</wp:posOffset>
            </wp:positionV>
            <wp:extent cx="63093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-6865620</wp:posOffset>
            </wp:positionV>
            <wp:extent cx="63093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-6591300</wp:posOffset>
            </wp:positionV>
            <wp:extent cx="63093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-6316980</wp:posOffset>
            </wp:positionV>
            <wp:extent cx="63093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-6042660</wp:posOffset>
            </wp:positionV>
            <wp:extent cx="63093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-5768340</wp:posOffset>
            </wp:positionV>
            <wp:extent cx="63093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-4928870</wp:posOffset>
            </wp:positionV>
            <wp:extent cx="63093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-4653915</wp:posOffset>
            </wp:positionV>
            <wp:extent cx="630936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-4379595</wp:posOffset>
            </wp:positionV>
            <wp:extent cx="63093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-4105275</wp:posOffset>
            </wp:positionV>
            <wp:extent cx="63093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-3556635</wp:posOffset>
            </wp:positionV>
            <wp:extent cx="63093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-3282315</wp:posOffset>
            </wp:positionV>
            <wp:extent cx="63093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-2416810</wp:posOffset>
            </wp:positionV>
            <wp:extent cx="63093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-2142490</wp:posOffset>
            </wp:positionV>
            <wp:extent cx="63093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-1593850</wp:posOffset>
            </wp:positionV>
            <wp:extent cx="63093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63093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30936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-719455</wp:posOffset>
            </wp:positionV>
            <wp:extent cx="630936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-1010920</wp:posOffset>
            </wp:positionV>
            <wp:extent cx="630936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9360"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-1319530</wp:posOffset>
            </wp:positionV>
            <wp:extent cx="630936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-1868170</wp:posOffset>
            </wp:positionV>
            <wp:extent cx="63093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-2733675</wp:posOffset>
            </wp:positionV>
            <wp:extent cx="6309360"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93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-3007995</wp:posOffset>
            </wp:positionV>
            <wp:extent cx="630936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-3830955</wp:posOffset>
            </wp:positionV>
            <wp:extent cx="63093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-5219700</wp:posOffset>
            </wp:positionV>
            <wp:extent cx="630936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-5494020</wp:posOffset>
            </wp:positionV>
            <wp:extent cx="630936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093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21590</wp:posOffset>
            </wp:positionV>
            <wp:extent cx="56578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61 %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31 %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8 %</w:t>
      </w:r>
    </w:p>
    <w:p>
      <w:pPr>
        <w:ind w:left="300"/>
        <w:spacing w:after="0"/>
        <w:rPr>
          <w:sz w:val="20"/>
          <w:szCs w:val="20"/>
          <w:color w:val="auto"/>
        </w:rPr>
      </w:pPr>
      <w:r>
        <w:rPr>
          <w:rFonts w:ascii="Arial" w:cs="Arial" w:eastAsia="Arial" w:hAnsi="Arial"/>
          <w:sz w:val="13"/>
          <w:szCs w:val="13"/>
          <w:i w:val="1"/>
          <w:iCs w:val="1"/>
          <w:color w:val="auto"/>
        </w:rPr>
        <w:t>100 %</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65 %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29 %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6 %</w:t>
      </w:r>
    </w:p>
    <w:p>
      <w:pPr>
        <w:ind w:left="300"/>
        <w:spacing w:after="0"/>
        <w:rPr>
          <w:sz w:val="20"/>
          <w:szCs w:val="20"/>
          <w:color w:val="auto"/>
        </w:rPr>
      </w:pPr>
      <w:r>
        <w:rPr>
          <w:rFonts w:ascii="Arial" w:cs="Arial" w:eastAsia="Arial" w:hAnsi="Arial"/>
          <w:sz w:val="13"/>
          <w:szCs w:val="13"/>
          <w:i w:val="1"/>
          <w:iCs w:val="1"/>
          <w:color w:val="auto"/>
        </w:rPr>
        <w:t>100 %</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67 %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28 %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5 %</w:t>
      </w:r>
    </w:p>
    <w:p>
      <w:pPr>
        <w:ind w:left="300"/>
        <w:spacing w:after="0"/>
        <w:rPr>
          <w:sz w:val="20"/>
          <w:szCs w:val="20"/>
          <w:color w:val="auto"/>
        </w:rPr>
      </w:pPr>
      <w:r>
        <w:rPr>
          <w:rFonts w:ascii="Arial" w:cs="Arial" w:eastAsia="Arial" w:hAnsi="Arial"/>
          <w:sz w:val="13"/>
          <w:szCs w:val="13"/>
          <w:i w:val="1"/>
          <w:iCs w:val="1"/>
          <w:color w:val="auto"/>
        </w:rPr>
        <w:t>100 %</w:t>
      </w:r>
    </w:p>
    <w:p>
      <w:pPr>
        <w:spacing w:after="0" w:line="3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100 %</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(33)%</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(7)%</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(18)%</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(30)%</w:t>
      </w:r>
    </w:p>
    <w:p>
      <w:pPr>
        <w:ind w:left="300"/>
        <w:spacing w:after="0"/>
        <w:rPr>
          <w:sz w:val="20"/>
          <w:szCs w:val="20"/>
          <w:color w:val="auto"/>
        </w:rPr>
      </w:pPr>
      <w:r>
        <w:rPr>
          <w:rFonts w:ascii="Arial" w:cs="Arial" w:eastAsia="Arial" w:hAnsi="Arial"/>
          <w:sz w:val="13"/>
          <w:szCs w:val="13"/>
          <w:i w:val="1"/>
          <w:iCs w:val="1"/>
          <w:color w:val="auto"/>
        </w:rPr>
        <w:t>(88)%</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(30)%</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(5)%</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(17)%</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(23)%</w:t>
      </w:r>
    </w:p>
    <w:p>
      <w:pPr>
        <w:ind w:left="300"/>
        <w:spacing w:after="0"/>
        <w:rPr>
          <w:sz w:val="20"/>
          <w:szCs w:val="20"/>
          <w:color w:val="auto"/>
        </w:rPr>
      </w:pPr>
      <w:r>
        <w:rPr>
          <w:rFonts w:ascii="Arial" w:cs="Arial" w:eastAsia="Arial" w:hAnsi="Arial"/>
          <w:sz w:val="13"/>
          <w:szCs w:val="13"/>
          <w:i w:val="1"/>
          <w:iCs w:val="1"/>
          <w:color w:val="auto"/>
        </w:rPr>
        <w:t>(75)%</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(31)%</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(16)%</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(25)%</w:t>
      </w:r>
    </w:p>
    <w:p>
      <w:pPr>
        <w:ind w:left="300"/>
        <w:spacing w:after="0"/>
        <w:rPr>
          <w:sz w:val="20"/>
          <w:szCs w:val="20"/>
          <w:color w:val="auto"/>
        </w:rPr>
      </w:pPr>
      <w:r>
        <w:rPr>
          <w:rFonts w:ascii="Arial" w:cs="Arial" w:eastAsia="Arial" w:hAnsi="Arial"/>
          <w:sz w:val="13"/>
          <w:szCs w:val="13"/>
          <w:i w:val="1"/>
          <w:iCs w:val="1"/>
          <w:color w:val="auto"/>
        </w:rPr>
        <w:t>(78)%</w:t>
      </w:r>
    </w:p>
    <w:p>
      <w:pPr>
        <w:spacing w:after="0" w:line="3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(83)%</w:t>
      </w:r>
    </w:p>
    <w:p>
      <w:pPr>
        <w:spacing w:after="0" w:line="33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(7)%</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(2)%</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(9)%</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(5)%</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(2)%</w:t>
      </w:r>
    </w:p>
    <w:p>
      <w:pPr>
        <w:ind w:left="360"/>
        <w:spacing w:after="0"/>
        <w:rPr>
          <w:sz w:val="20"/>
          <w:szCs w:val="20"/>
          <w:color w:val="auto"/>
        </w:rPr>
      </w:pPr>
      <w:r>
        <w:rPr>
          <w:rFonts w:ascii="Arial" w:cs="Arial" w:eastAsia="Arial" w:hAnsi="Arial"/>
          <w:sz w:val="13"/>
          <w:szCs w:val="13"/>
          <w:i w:val="1"/>
          <w:iCs w:val="1"/>
          <w:color w:val="auto"/>
        </w:rPr>
        <w:t>(7)%</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(7)%</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(1)%</w:t>
      </w:r>
    </w:p>
    <w:p>
      <w:pPr>
        <w:ind w:left="360"/>
        <w:spacing w:after="0"/>
        <w:rPr>
          <w:sz w:val="20"/>
          <w:szCs w:val="20"/>
          <w:color w:val="auto"/>
        </w:rPr>
      </w:pPr>
      <w:r>
        <w:rPr>
          <w:rFonts w:ascii="Arial" w:cs="Arial" w:eastAsia="Arial" w:hAnsi="Arial"/>
          <w:sz w:val="13"/>
          <w:szCs w:val="13"/>
          <w:i w:val="1"/>
          <w:iCs w:val="1"/>
          <w:color w:val="auto"/>
        </w:rPr>
        <w:t>(8)%</w:t>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(8)%</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(91)%</w:t>
      </w:r>
    </w:p>
    <w:p>
      <w:pPr>
        <w:spacing w:after="0" w:line="154"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 xml:space="preserve">3 </w:t>
      </w:r>
      <w:r>
        <w:rPr>
          <w:rFonts w:ascii="Arial" w:cs="Arial" w:eastAsia="Arial" w:hAnsi="Arial"/>
          <w:sz w:val="25"/>
          <w:szCs w:val="25"/>
          <w:i w:val="1"/>
          <w:iCs w:val="1"/>
          <w:color w:val="auto"/>
          <w:vertAlign w:val="superscript"/>
        </w:rPr>
        <w:t>%</w:t>
      </w:r>
    </w:p>
    <w:p>
      <w:pPr>
        <w:jc w:val="right"/>
        <w:ind w:right="60"/>
        <w:spacing w:after="0" w:line="180" w:lineRule="auto"/>
        <w:rPr>
          <w:sz w:val="20"/>
          <w:szCs w:val="20"/>
          <w:color w:val="auto"/>
        </w:rPr>
      </w:pPr>
      <w:r>
        <w:rPr>
          <w:rFonts w:ascii="Arial" w:cs="Arial" w:eastAsia="Arial" w:hAnsi="Arial"/>
          <w:sz w:val="13"/>
          <w:szCs w:val="13"/>
          <w:i w:val="1"/>
          <w:iCs w:val="1"/>
          <w:color w:val="auto"/>
        </w:rPr>
        <w:t xml:space="preserve">17 </w:t>
      </w:r>
      <w:r>
        <w:rPr>
          <w:rFonts w:ascii="Arial" w:cs="Arial" w:eastAsia="Arial" w:hAnsi="Arial"/>
          <w:sz w:val="25"/>
          <w:szCs w:val="25"/>
          <w:i w:val="1"/>
          <w:iCs w:val="1"/>
          <w:color w:val="auto"/>
          <w:vertAlign w:val="superscript"/>
        </w:rPr>
        <w:t>%</w:t>
      </w:r>
    </w:p>
    <w:p>
      <w:pPr>
        <w:jc w:val="right"/>
        <w:ind w:right="60"/>
        <w:spacing w:after="0"/>
        <w:rPr>
          <w:sz w:val="20"/>
          <w:szCs w:val="20"/>
          <w:color w:val="auto"/>
        </w:rPr>
      </w:pPr>
      <w:r>
        <w:rPr>
          <w:rFonts w:ascii="Arial" w:cs="Arial" w:eastAsia="Arial" w:hAnsi="Arial"/>
          <w:sz w:val="13"/>
          <w:szCs w:val="13"/>
          <w:i w:val="1"/>
          <w:iCs w:val="1"/>
          <w:color w:val="auto"/>
        </w:rPr>
        <w:t xml:space="preserve">14 </w:t>
      </w:r>
      <w:r>
        <w:rPr>
          <w:rFonts w:ascii="Arial" w:cs="Arial" w:eastAsia="Arial" w:hAnsi="Arial"/>
          <w:sz w:val="25"/>
          <w:szCs w:val="25"/>
          <w:i w:val="1"/>
          <w:iCs w:val="1"/>
          <w:color w:val="auto"/>
          <w:vertAlign w:val="superscript"/>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3"/>
        <w:spacing w:after="0"/>
        <w:rPr>
          <w:sz w:val="20"/>
          <w:szCs w:val="20"/>
          <w:color w:val="auto"/>
        </w:rPr>
      </w:pP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515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94" w:lineRule="exact"/>
        <w:rPr>
          <w:sz w:val="20"/>
          <w:szCs w:val="20"/>
          <w:color w:val="auto"/>
        </w:rPr>
      </w:pPr>
    </w:p>
    <w:p>
      <w:pPr>
        <w:ind w:left="583" w:hanging="583"/>
        <w:spacing w:after="0"/>
        <w:tabs>
          <w:tab w:leader="none" w:pos="583" w:val="left"/>
        </w:tabs>
        <w:numPr>
          <w:ilvl w:val="0"/>
          <w:numId w:val="40"/>
        </w:numPr>
        <w:rPr>
          <w:rFonts w:ascii="Arial" w:cs="Arial" w:eastAsia="Arial" w:hAnsi="Arial"/>
          <w:sz w:val="12"/>
          <w:szCs w:val="12"/>
          <w:color w:val="auto"/>
        </w:rPr>
      </w:pPr>
      <w:r>
        <w:rPr>
          <w:rFonts w:ascii="Arial" w:cs="Arial" w:eastAsia="Arial" w:hAnsi="Arial"/>
          <w:sz w:val="12"/>
          <w:szCs w:val="12"/>
          <w:color w:val="auto"/>
        </w:rPr>
        <w:t>103,421</w:t>
      </w:r>
    </w:p>
    <w:p>
      <w:pPr>
        <w:spacing w:after="0" w:line="78" w:lineRule="exact"/>
        <w:rPr>
          <w:rFonts w:ascii="Arial" w:cs="Arial" w:eastAsia="Arial" w:hAnsi="Arial"/>
          <w:sz w:val="12"/>
          <w:szCs w:val="12"/>
          <w:color w:val="auto"/>
        </w:rPr>
      </w:pPr>
    </w:p>
    <w:p>
      <w:pPr>
        <w:ind w:left="643"/>
        <w:spacing w:after="0"/>
        <w:rPr>
          <w:rFonts w:ascii="Arial" w:cs="Arial" w:eastAsia="Arial" w:hAnsi="Arial"/>
          <w:sz w:val="12"/>
          <w:szCs w:val="12"/>
          <w:color w:val="auto"/>
        </w:rPr>
      </w:pPr>
      <w:r>
        <w:rPr>
          <w:rFonts w:ascii="Arial" w:cs="Arial" w:eastAsia="Arial" w:hAnsi="Arial"/>
          <w:sz w:val="12"/>
          <w:szCs w:val="12"/>
          <w:color w:val="auto"/>
        </w:rPr>
        <w:t>47,656</w:t>
      </w:r>
    </w:p>
    <w:p>
      <w:pPr>
        <w:spacing w:after="0" w:line="78" w:lineRule="exact"/>
        <w:rPr>
          <w:sz w:val="20"/>
          <w:szCs w:val="20"/>
          <w:color w:val="auto"/>
        </w:rPr>
      </w:pPr>
    </w:p>
    <w:p>
      <w:pPr>
        <w:ind w:left="643"/>
        <w:spacing w:after="0"/>
        <w:rPr>
          <w:sz w:val="20"/>
          <w:szCs w:val="20"/>
          <w:color w:val="auto"/>
        </w:rPr>
      </w:pPr>
      <w:r>
        <w:rPr>
          <w:rFonts w:ascii="Arial" w:cs="Arial" w:eastAsia="Arial" w:hAnsi="Arial"/>
          <w:sz w:val="12"/>
          <w:szCs w:val="12"/>
          <w:color w:val="auto"/>
        </w:rPr>
        <w:t>10,720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583" w:hanging="583"/>
        <w:spacing w:after="0" w:line="187" w:lineRule="auto"/>
        <w:tabs>
          <w:tab w:leader="none" w:pos="583" w:val="left"/>
        </w:tabs>
        <w:numPr>
          <w:ilvl w:val="0"/>
          <w:numId w:val="41"/>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161,797</w:t>
      </w:r>
    </w:p>
    <w:p>
      <w:pPr>
        <w:spacing w:after="0" w:line="124" w:lineRule="exact"/>
        <w:rPr>
          <w:sz w:val="20"/>
          <w:szCs w:val="20"/>
          <w:color w:val="auto"/>
        </w:rPr>
      </w:pPr>
    </w:p>
    <w:p>
      <w:pPr>
        <w:ind w:left="643" w:hanging="643"/>
        <w:spacing w:after="0"/>
        <w:tabs>
          <w:tab w:leader="none" w:pos="643" w:val="left"/>
        </w:tabs>
        <w:numPr>
          <w:ilvl w:val="0"/>
          <w:numId w:val="42"/>
        </w:numPr>
        <w:rPr>
          <w:rFonts w:ascii="Arial" w:cs="Arial" w:eastAsia="Arial" w:hAnsi="Arial"/>
          <w:sz w:val="12"/>
          <w:szCs w:val="12"/>
          <w:color w:val="auto"/>
        </w:rPr>
      </w:pPr>
      <w:r>
        <w:rPr>
          <w:rFonts w:ascii="Arial" w:cs="Arial" w:eastAsia="Arial" w:hAnsi="Arial"/>
          <w:sz w:val="12"/>
          <w:szCs w:val="12"/>
          <w:color w:val="auto"/>
        </w:rPr>
        <w:t>65,263</w:t>
      </w:r>
    </w:p>
    <w:p>
      <w:pPr>
        <w:spacing w:after="0" w:line="78" w:lineRule="exact"/>
        <w:rPr>
          <w:rFonts w:ascii="Arial" w:cs="Arial" w:eastAsia="Arial" w:hAnsi="Arial"/>
          <w:sz w:val="12"/>
          <w:szCs w:val="12"/>
          <w:color w:val="auto"/>
        </w:rPr>
      </w:pPr>
    </w:p>
    <w:p>
      <w:pPr>
        <w:ind w:left="643"/>
        <w:spacing w:after="0"/>
        <w:rPr>
          <w:rFonts w:ascii="Arial" w:cs="Arial" w:eastAsia="Arial" w:hAnsi="Arial"/>
          <w:sz w:val="12"/>
          <w:szCs w:val="12"/>
          <w:color w:val="auto"/>
        </w:rPr>
      </w:pPr>
      <w:r>
        <w:rPr>
          <w:rFonts w:ascii="Arial" w:cs="Arial" w:eastAsia="Arial" w:hAnsi="Arial"/>
          <w:sz w:val="12"/>
          <w:szCs w:val="12"/>
          <w:color w:val="auto"/>
        </w:rPr>
        <w:t>29,722</w:t>
      </w:r>
    </w:p>
    <w:p>
      <w:pPr>
        <w:spacing w:after="0" w:line="78" w:lineRule="exact"/>
        <w:rPr>
          <w:sz w:val="20"/>
          <w:szCs w:val="20"/>
          <w:color w:val="auto"/>
        </w:rPr>
      </w:pPr>
    </w:p>
    <w:p>
      <w:pPr>
        <w:ind w:left="723"/>
        <w:spacing w:after="0"/>
        <w:rPr>
          <w:sz w:val="20"/>
          <w:szCs w:val="20"/>
          <w:color w:val="auto"/>
        </w:rPr>
      </w:pPr>
      <w:r>
        <w:rPr>
          <w:rFonts w:ascii="Arial" w:cs="Arial" w:eastAsia="Arial" w:hAnsi="Arial"/>
          <w:sz w:val="10"/>
          <w:szCs w:val="10"/>
          <w:color w:val="auto"/>
        </w:rPr>
        <w:t>7,011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515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583" w:hanging="583"/>
        <w:spacing w:after="0" w:line="183" w:lineRule="auto"/>
        <w:tabs>
          <w:tab w:leader="none" w:pos="583" w:val="left"/>
        </w:tabs>
        <w:numPr>
          <w:ilvl w:val="0"/>
          <w:numId w:val="43"/>
        </w:numPr>
        <w:rPr>
          <w:rFonts w:ascii="Arial" w:cs="Arial" w:eastAsia="Arial" w:hAnsi="Arial"/>
          <w:sz w:val="22"/>
          <w:szCs w:val="22"/>
          <w:b w:val="1"/>
          <w:bCs w:val="1"/>
          <w:color w:val="auto"/>
          <w:vertAlign w:val="subscript"/>
        </w:rPr>
      </w:pPr>
      <w:r>
        <w:rPr>
          <w:rFonts w:ascii="Arial" w:cs="Arial" w:eastAsia="Arial" w:hAnsi="Arial"/>
          <w:sz w:val="11"/>
          <w:szCs w:val="11"/>
          <w:b w:val="1"/>
          <w:bCs w:val="1"/>
          <w:color w:val="auto"/>
        </w:rPr>
        <w:t>101,996</w:t>
      </w:r>
    </w:p>
    <w:p>
      <w:pPr>
        <w:spacing w:after="0" w:line="124" w:lineRule="exact"/>
        <w:rPr>
          <w:sz w:val="20"/>
          <w:szCs w:val="20"/>
          <w:color w:val="auto"/>
        </w:rPr>
      </w:pPr>
    </w:p>
    <w:p>
      <w:pPr>
        <w:ind w:left="643" w:hanging="643"/>
        <w:spacing w:after="0"/>
        <w:tabs>
          <w:tab w:leader="none" w:pos="643" w:val="left"/>
        </w:tabs>
        <w:numPr>
          <w:ilvl w:val="0"/>
          <w:numId w:val="44"/>
        </w:numPr>
        <w:rPr>
          <w:rFonts w:ascii="Arial" w:cs="Arial" w:eastAsia="Arial" w:hAnsi="Arial"/>
          <w:sz w:val="12"/>
          <w:szCs w:val="12"/>
          <w:color w:val="auto"/>
        </w:rPr>
      </w:pPr>
      <w:r>
        <w:rPr>
          <w:rFonts w:ascii="Arial" w:cs="Arial" w:eastAsia="Arial" w:hAnsi="Arial"/>
          <w:sz w:val="12"/>
          <w:szCs w:val="12"/>
          <w:color w:val="auto"/>
        </w:rPr>
        <w:t>19,708</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8,683</w:t>
      </w:r>
    </w:p>
    <w:p>
      <w:pPr>
        <w:spacing w:after="0" w:line="78" w:lineRule="exact"/>
        <w:rPr>
          <w:sz w:val="20"/>
          <w:szCs w:val="20"/>
          <w:color w:val="auto"/>
        </w:rPr>
      </w:pPr>
    </w:p>
    <w:p>
      <w:pPr>
        <w:ind w:left="703"/>
        <w:spacing w:after="0"/>
        <w:rPr>
          <w:sz w:val="20"/>
          <w:szCs w:val="20"/>
          <w:color w:val="auto"/>
        </w:rPr>
      </w:pPr>
      <w:r>
        <w:rPr>
          <w:rFonts w:ascii="Arial" w:cs="Arial" w:eastAsia="Arial" w:hAnsi="Arial"/>
          <w:sz w:val="12"/>
          <w:szCs w:val="12"/>
          <w:color w:val="auto"/>
        </w:rPr>
        <w:t>1,539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43" w:hanging="643"/>
        <w:spacing w:after="0" w:line="187" w:lineRule="auto"/>
        <w:tabs>
          <w:tab w:leader="none" w:pos="643" w:val="left"/>
        </w:tabs>
        <w:numPr>
          <w:ilvl w:val="0"/>
          <w:numId w:val="45"/>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29,930</w:t>
      </w:r>
    </w:p>
    <w:p>
      <w:pPr>
        <w:spacing w:after="0" w:line="336" w:lineRule="exact"/>
        <w:rPr>
          <w:sz w:val="20"/>
          <w:szCs w:val="20"/>
          <w:color w:val="auto"/>
        </w:rPr>
      </w:pPr>
    </w:p>
    <w:p>
      <w:pPr>
        <w:ind w:left="583" w:hanging="583"/>
        <w:spacing w:after="0"/>
        <w:tabs>
          <w:tab w:leader="none" w:pos="583"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color w:val="auto"/>
        </w:rPr>
        <w:t>293,723</w:t>
      </w:r>
    </w:p>
    <w:p>
      <w:pPr>
        <w:spacing w:after="0" w:line="325" w:lineRule="exact"/>
        <w:rPr>
          <w:sz w:val="20"/>
          <w:szCs w:val="20"/>
          <w:color w:val="auto"/>
        </w:rPr>
      </w:pPr>
    </w:p>
    <w:p>
      <w:pPr>
        <w:ind w:left="603" w:hanging="603"/>
        <w:spacing w:after="0"/>
        <w:tabs>
          <w:tab w:leader="none" w:pos="603" w:val="left"/>
        </w:tabs>
        <w:numPr>
          <w:ilvl w:val="0"/>
          <w:numId w:val="47"/>
        </w:numPr>
        <w:rPr>
          <w:rFonts w:ascii="Arial" w:cs="Arial" w:eastAsia="Arial" w:hAnsi="Arial"/>
          <w:sz w:val="10"/>
          <w:szCs w:val="10"/>
          <w:color w:val="auto"/>
        </w:rPr>
      </w:pPr>
      <w:r>
        <w:rPr>
          <w:rFonts w:ascii="Arial" w:cs="Arial" w:eastAsia="Arial" w:hAnsi="Arial"/>
          <w:sz w:val="10"/>
          <w:szCs w:val="10"/>
          <w:color w:val="auto"/>
        </w:rPr>
        <w:t>(55,269)</w:t>
      </w:r>
    </w:p>
    <w:p>
      <w:pPr>
        <w:spacing w:after="0" w:line="101" w:lineRule="exact"/>
        <w:rPr>
          <w:rFonts w:ascii="Arial" w:cs="Arial" w:eastAsia="Arial" w:hAnsi="Arial"/>
          <w:sz w:val="10"/>
          <w:szCs w:val="10"/>
          <w:color w:val="auto"/>
        </w:rPr>
      </w:pPr>
    </w:p>
    <w:p>
      <w:pPr>
        <w:ind w:left="603"/>
        <w:spacing w:after="0"/>
        <w:rPr>
          <w:rFonts w:ascii="Arial" w:cs="Arial" w:eastAsia="Arial" w:hAnsi="Arial"/>
          <w:sz w:val="10"/>
          <w:szCs w:val="10"/>
          <w:color w:val="auto"/>
        </w:rPr>
      </w:pPr>
      <w:r>
        <w:rPr>
          <w:rFonts w:ascii="Arial" w:cs="Arial" w:eastAsia="Arial" w:hAnsi="Arial"/>
          <w:sz w:val="10"/>
          <w:szCs w:val="10"/>
          <w:color w:val="auto"/>
        </w:rPr>
        <w:t>(10,457)</w:t>
      </w:r>
    </w:p>
    <w:p>
      <w:pPr>
        <w:spacing w:after="0" w:line="101" w:lineRule="exact"/>
        <w:rPr>
          <w:rFonts w:ascii="Arial" w:cs="Arial" w:eastAsia="Arial" w:hAnsi="Arial"/>
          <w:sz w:val="10"/>
          <w:szCs w:val="10"/>
          <w:color w:val="auto"/>
        </w:rPr>
      </w:pPr>
    </w:p>
    <w:p>
      <w:pPr>
        <w:ind w:left="603"/>
        <w:spacing w:after="0"/>
        <w:rPr>
          <w:rFonts w:ascii="Arial" w:cs="Arial" w:eastAsia="Arial" w:hAnsi="Arial"/>
          <w:sz w:val="10"/>
          <w:szCs w:val="10"/>
          <w:color w:val="auto"/>
        </w:rPr>
      </w:pPr>
      <w:r>
        <w:rPr>
          <w:rFonts w:ascii="Arial" w:cs="Arial" w:eastAsia="Arial" w:hAnsi="Arial"/>
          <w:sz w:val="10"/>
          <w:szCs w:val="10"/>
          <w:color w:val="auto"/>
        </w:rPr>
        <w:t>(28,963)</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(42,515)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543" w:hanging="543"/>
        <w:spacing w:after="0" w:line="184" w:lineRule="auto"/>
        <w:tabs>
          <w:tab w:leader="none" w:pos="543" w:val="left"/>
        </w:tabs>
        <w:numPr>
          <w:ilvl w:val="0"/>
          <w:numId w:val="48"/>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(137,204)</w:t>
      </w:r>
    </w:p>
    <w:p>
      <w:pPr>
        <w:spacing w:after="0" w:line="124" w:lineRule="exact"/>
        <w:rPr>
          <w:sz w:val="20"/>
          <w:szCs w:val="20"/>
          <w:color w:val="auto"/>
        </w:rPr>
      </w:pPr>
    </w:p>
    <w:p>
      <w:pPr>
        <w:ind w:left="603" w:hanging="603"/>
        <w:spacing w:after="0"/>
        <w:tabs>
          <w:tab w:leader="none" w:pos="603" w:val="left"/>
        </w:tabs>
        <w:numPr>
          <w:ilvl w:val="0"/>
          <w:numId w:val="49"/>
        </w:numPr>
        <w:rPr>
          <w:rFonts w:ascii="Arial" w:cs="Arial" w:eastAsia="Arial" w:hAnsi="Arial"/>
          <w:sz w:val="10"/>
          <w:szCs w:val="10"/>
          <w:color w:val="auto"/>
        </w:rPr>
      </w:pPr>
      <w:r>
        <w:rPr>
          <w:rFonts w:ascii="Arial" w:cs="Arial" w:eastAsia="Arial" w:hAnsi="Arial"/>
          <w:sz w:val="10"/>
          <w:szCs w:val="10"/>
          <w:color w:val="auto"/>
        </w:rPr>
        <w:t>(30,151)</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(5,967)</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(15,995)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(22,520)</w:t>
      </w:r>
    </w:p>
    <w:p>
      <w:pPr>
        <w:ind w:left="603" w:hanging="603"/>
        <w:spacing w:after="0" w:line="184" w:lineRule="auto"/>
        <w:tabs>
          <w:tab w:leader="none" w:pos="603" w:val="left"/>
        </w:tabs>
        <w:numPr>
          <w:ilvl w:val="0"/>
          <w:numId w:val="50"/>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(74,633)</w:t>
      </w:r>
    </w:p>
    <w:p>
      <w:pPr>
        <w:spacing w:after="0" w:line="124" w:lineRule="exact"/>
        <w:rPr>
          <w:sz w:val="20"/>
          <w:szCs w:val="20"/>
          <w:color w:val="auto"/>
        </w:rPr>
      </w:pPr>
    </w:p>
    <w:p>
      <w:pPr>
        <w:ind w:left="663" w:hanging="663"/>
        <w:spacing w:after="0"/>
        <w:tabs>
          <w:tab w:leader="none" w:pos="663" w:val="left"/>
        </w:tabs>
        <w:numPr>
          <w:ilvl w:val="0"/>
          <w:numId w:val="51"/>
        </w:numPr>
        <w:rPr>
          <w:rFonts w:ascii="Arial" w:cs="Arial" w:eastAsia="Arial" w:hAnsi="Arial"/>
          <w:sz w:val="10"/>
          <w:szCs w:val="10"/>
          <w:color w:val="auto"/>
        </w:rPr>
      </w:pPr>
      <w:r>
        <w:rPr>
          <w:rFonts w:ascii="Arial" w:cs="Arial" w:eastAsia="Arial" w:hAnsi="Arial"/>
          <w:sz w:val="10"/>
          <w:szCs w:val="10"/>
          <w:color w:val="auto"/>
        </w:rPr>
        <w:t>(9,259)</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(1,915)</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(5,153)</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03" w:hanging="603"/>
        <w:spacing w:after="0" w:line="184" w:lineRule="auto"/>
        <w:tabs>
          <w:tab w:leader="none" w:pos="603" w:val="left"/>
        </w:tabs>
        <w:numPr>
          <w:ilvl w:val="0"/>
          <w:numId w:val="52"/>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(22,981)</w:t>
      </w:r>
    </w:p>
    <w:p>
      <w:pPr>
        <w:spacing w:after="0" w:line="336" w:lineRule="exact"/>
        <w:rPr>
          <w:sz w:val="20"/>
          <w:szCs w:val="20"/>
          <w:color w:val="auto"/>
        </w:rPr>
      </w:pPr>
    </w:p>
    <w:p>
      <w:pPr>
        <w:ind w:left="543" w:hanging="543"/>
        <w:spacing w:after="0"/>
        <w:tabs>
          <w:tab w:leader="none" w:pos="543" w:val="left"/>
        </w:tabs>
        <w:numPr>
          <w:ilvl w:val="0"/>
          <w:numId w:val="53"/>
        </w:numPr>
        <w:rPr>
          <w:rFonts w:ascii="Arial" w:cs="Arial" w:eastAsia="Arial" w:hAnsi="Arial"/>
          <w:sz w:val="10"/>
          <w:szCs w:val="10"/>
          <w:b w:val="1"/>
          <w:bCs w:val="1"/>
          <w:color w:val="auto"/>
        </w:rPr>
      </w:pPr>
      <w:r>
        <w:rPr>
          <w:rFonts w:ascii="Arial" w:cs="Arial" w:eastAsia="Arial" w:hAnsi="Arial"/>
          <w:sz w:val="10"/>
          <w:szCs w:val="10"/>
          <w:b w:val="1"/>
          <w:bCs w:val="1"/>
          <w:color w:val="auto"/>
        </w:rPr>
        <w:t>(234,818)</w:t>
      </w:r>
    </w:p>
    <w:p>
      <w:pPr>
        <w:spacing w:after="0" w:line="389" w:lineRule="exact"/>
        <w:rPr>
          <w:sz w:val="20"/>
          <w:szCs w:val="20"/>
          <w:color w:val="auto"/>
        </w:rPr>
      </w:pPr>
    </w:p>
    <w:p>
      <w:pPr>
        <w:ind w:left="663" w:hanging="663"/>
        <w:spacing w:after="0"/>
        <w:tabs>
          <w:tab w:leader="none" w:pos="663" w:val="left"/>
        </w:tabs>
        <w:numPr>
          <w:ilvl w:val="0"/>
          <w:numId w:val="54"/>
        </w:numPr>
        <w:rPr>
          <w:rFonts w:ascii="Arial" w:cs="Arial" w:eastAsia="Arial" w:hAnsi="Arial"/>
          <w:sz w:val="10"/>
          <w:szCs w:val="10"/>
          <w:color w:val="auto"/>
        </w:rPr>
      </w:pPr>
      <w:r>
        <w:rPr>
          <w:rFonts w:ascii="Arial" w:cs="Arial" w:eastAsia="Arial" w:hAnsi="Arial"/>
          <w:sz w:val="10"/>
          <w:szCs w:val="10"/>
          <w:color w:val="auto"/>
        </w:rPr>
        <w:t>(9,957)</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03" w:hanging="603"/>
        <w:spacing w:after="0" w:line="184" w:lineRule="auto"/>
        <w:tabs>
          <w:tab w:leader="none" w:pos="603" w:val="left"/>
        </w:tabs>
        <w:numPr>
          <w:ilvl w:val="0"/>
          <w:numId w:val="55"/>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(12,364)</w:t>
      </w:r>
    </w:p>
    <w:p>
      <w:pPr>
        <w:spacing w:after="0" w:line="124" w:lineRule="exact"/>
        <w:rPr>
          <w:sz w:val="20"/>
          <w:szCs w:val="20"/>
          <w:color w:val="auto"/>
        </w:rPr>
      </w:pPr>
    </w:p>
    <w:p>
      <w:pPr>
        <w:ind w:left="663" w:hanging="663"/>
        <w:spacing w:after="0"/>
        <w:tabs>
          <w:tab w:leader="none" w:pos="663" w:val="left"/>
        </w:tabs>
        <w:numPr>
          <w:ilvl w:val="0"/>
          <w:numId w:val="56"/>
        </w:numPr>
        <w:rPr>
          <w:rFonts w:ascii="Arial" w:cs="Arial" w:eastAsia="Arial" w:hAnsi="Arial"/>
          <w:sz w:val="10"/>
          <w:szCs w:val="10"/>
          <w:color w:val="auto"/>
        </w:rPr>
      </w:pPr>
      <w:r>
        <w:rPr>
          <w:rFonts w:ascii="Arial" w:cs="Arial" w:eastAsia="Arial" w:hAnsi="Arial"/>
          <w:sz w:val="10"/>
          <w:szCs w:val="10"/>
          <w:color w:val="auto"/>
        </w:rPr>
        <w:t>(4,763)</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(1,305)</w:t>
      </w:r>
    </w:p>
    <w:p>
      <w:pPr>
        <w:ind w:left="663" w:hanging="663"/>
        <w:spacing w:after="0" w:line="184" w:lineRule="auto"/>
        <w:tabs>
          <w:tab w:leader="none" w:pos="663" w:val="left"/>
        </w:tabs>
        <w:numPr>
          <w:ilvl w:val="0"/>
          <w:numId w:val="57"/>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(6,068)</w:t>
      </w:r>
    </w:p>
    <w:p>
      <w:pPr>
        <w:spacing w:after="0" w:line="124" w:lineRule="exact"/>
        <w:rPr>
          <w:sz w:val="20"/>
          <w:szCs w:val="20"/>
          <w:color w:val="auto"/>
        </w:rPr>
      </w:pPr>
    </w:p>
    <w:p>
      <w:pPr>
        <w:ind w:left="663" w:hanging="663"/>
        <w:spacing w:after="0"/>
        <w:tabs>
          <w:tab w:leader="none" w:pos="663" w:val="left"/>
        </w:tabs>
        <w:numPr>
          <w:ilvl w:val="0"/>
          <w:numId w:val="58"/>
        </w:numPr>
        <w:rPr>
          <w:rFonts w:ascii="Arial" w:cs="Arial" w:eastAsia="Arial" w:hAnsi="Arial"/>
          <w:sz w:val="10"/>
          <w:szCs w:val="10"/>
          <w:color w:val="auto"/>
        </w:rPr>
      </w:pPr>
      <w:r>
        <w:rPr>
          <w:rFonts w:ascii="Arial" w:cs="Arial" w:eastAsia="Arial" w:hAnsi="Arial"/>
          <w:sz w:val="10"/>
          <w:szCs w:val="10"/>
          <w:color w:val="auto"/>
        </w:rPr>
        <w:t>(1,595)</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63" w:hanging="663"/>
        <w:spacing w:after="0" w:line="184" w:lineRule="auto"/>
        <w:tabs>
          <w:tab w:leader="none" w:pos="663" w:val="left"/>
        </w:tabs>
        <w:numPr>
          <w:ilvl w:val="0"/>
          <w:numId w:val="59"/>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(1,606)</w:t>
      </w:r>
    </w:p>
    <w:p>
      <w:pPr>
        <w:spacing w:after="0" w:line="390" w:lineRule="exact"/>
        <w:rPr>
          <w:sz w:val="20"/>
          <w:szCs w:val="20"/>
          <w:color w:val="auto"/>
        </w:rPr>
      </w:pPr>
    </w:p>
    <w:p>
      <w:pPr>
        <w:ind w:left="603" w:hanging="603"/>
        <w:spacing w:after="0"/>
        <w:tabs>
          <w:tab w:leader="none" w:pos="603" w:val="left"/>
        </w:tabs>
        <w:numPr>
          <w:ilvl w:val="0"/>
          <w:numId w:val="60"/>
        </w:numPr>
        <w:rPr>
          <w:rFonts w:ascii="Arial" w:cs="Arial" w:eastAsia="Arial" w:hAnsi="Arial"/>
          <w:sz w:val="10"/>
          <w:szCs w:val="10"/>
          <w:b w:val="1"/>
          <w:bCs w:val="1"/>
          <w:color w:val="auto"/>
        </w:rPr>
      </w:pPr>
      <w:r>
        <w:rPr>
          <w:rFonts w:ascii="Arial" w:cs="Arial" w:eastAsia="Arial" w:hAnsi="Arial"/>
          <w:sz w:val="10"/>
          <w:szCs w:val="10"/>
          <w:b w:val="1"/>
          <w:bCs w:val="1"/>
          <w:color w:val="auto"/>
        </w:rPr>
        <w:t>(20,038)</w:t>
      </w:r>
    </w:p>
    <w:p>
      <w:pPr>
        <w:spacing w:after="0" w:line="344" w:lineRule="exact"/>
        <w:rPr>
          <w:sz w:val="20"/>
          <w:szCs w:val="20"/>
          <w:color w:val="auto"/>
        </w:rPr>
      </w:pPr>
    </w:p>
    <w:p>
      <w:pPr>
        <w:ind w:left="543" w:hanging="543"/>
        <w:spacing w:after="0"/>
        <w:tabs>
          <w:tab w:leader="none" w:pos="543" w:val="left"/>
        </w:tabs>
        <w:numPr>
          <w:ilvl w:val="0"/>
          <w:numId w:val="61"/>
        </w:numPr>
        <w:rPr>
          <w:rFonts w:ascii="Arial" w:cs="Arial" w:eastAsia="Arial" w:hAnsi="Arial"/>
          <w:sz w:val="10"/>
          <w:szCs w:val="10"/>
          <w:b w:val="1"/>
          <w:bCs w:val="1"/>
          <w:color w:val="auto"/>
        </w:rPr>
      </w:pPr>
      <w:r>
        <w:rPr>
          <w:rFonts w:ascii="Arial" w:cs="Arial" w:eastAsia="Arial" w:hAnsi="Arial"/>
          <w:sz w:val="10"/>
          <w:szCs w:val="10"/>
          <w:b w:val="1"/>
          <w:bCs w:val="1"/>
          <w:color w:val="auto"/>
        </w:rPr>
        <w:t>(254,856)</w:t>
      </w:r>
    </w:p>
    <w:p>
      <w:pPr>
        <w:spacing w:after="0" w:line="348" w:lineRule="exact"/>
        <w:rPr>
          <w:sz w:val="20"/>
          <w:szCs w:val="20"/>
          <w:color w:val="auto"/>
        </w:rPr>
      </w:pPr>
    </w:p>
    <w:p>
      <w:pPr>
        <w:ind w:left="643" w:hanging="643"/>
        <w:spacing w:after="0"/>
        <w:tabs>
          <w:tab w:leader="none" w:pos="643" w:val="left"/>
        </w:tabs>
        <w:numPr>
          <w:ilvl w:val="0"/>
          <w:numId w:val="62"/>
        </w:numPr>
        <w:rPr>
          <w:rFonts w:ascii="Arial" w:cs="Arial" w:eastAsia="Arial" w:hAnsi="Arial"/>
          <w:sz w:val="12"/>
          <w:szCs w:val="12"/>
          <w:color w:val="auto"/>
        </w:rPr>
      </w:pPr>
      <w:r>
        <w:rPr>
          <w:rFonts w:ascii="Arial" w:cs="Arial" w:eastAsia="Arial" w:hAnsi="Arial"/>
          <w:sz w:val="12"/>
          <w:szCs w:val="12"/>
          <w:color w:val="auto"/>
        </w:rPr>
        <w:t>12,229</w:t>
      </w:r>
    </w:p>
    <w:p>
      <w:pPr>
        <w:spacing w:after="0" w:line="78" w:lineRule="exact"/>
        <w:rPr>
          <w:rFonts w:ascii="Arial" w:cs="Arial" w:eastAsia="Arial" w:hAnsi="Arial"/>
          <w:sz w:val="12"/>
          <w:szCs w:val="12"/>
          <w:color w:val="auto"/>
        </w:rPr>
      </w:pPr>
    </w:p>
    <w:p>
      <w:pPr>
        <w:ind w:left="643"/>
        <w:spacing w:after="0"/>
        <w:rPr>
          <w:rFonts w:ascii="Arial" w:cs="Arial" w:eastAsia="Arial" w:hAnsi="Arial"/>
          <w:sz w:val="12"/>
          <w:szCs w:val="12"/>
          <w:color w:val="auto"/>
        </w:rPr>
      </w:pPr>
      <w:r>
        <w:rPr>
          <w:rFonts w:ascii="Arial" w:cs="Arial" w:eastAsia="Arial" w:hAnsi="Arial"/>
          <w:sz w:val="12"/>
          <w:szCs w:val="12"/>
          <w:color w:val="auto"/>
        </w:rPr>
        <w:t>21,295</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5,343</w:t>
      </w:r>
    </w:p>
    <w:p>
      <w:pPr>
        <w:spacing w:after="0" w:line="74" w:lineRule="exact"/>
        <w:rPr>
          <w:sz w:val="20"/>
          <w:szCs w:val="20"/>
          <w:color w:val="auto"/>
        </w:rPr>
      </w:pPr>
    </w:p>
    <w:p>
      <w:pPr>
        <w:ind w:left="643" w:hanging="643"/>
        <w:spacing w:after="0"/>
        <w:tabs>
          <w:tab w:leader="none" w:pos="643"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38,867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4"/>
              </w:rPr>
              <w:t>2019 vs. 2018</w:t>
            </w:r>
          </w:p>
        </w:tc>
      </w:tr>
      <w:tr>
        <w:trPr>
          <w:trHeight w:val="135"/>
        </w:trPr>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r>
      <w:tr>
        <w:trPr>
          <w:trHeight w:val="160"/>
        </w:trPr>
        <w:tc>
          <w:tcPr>
            <w:tcW w:w="1340" w:type="dxa"/>
            <w:vAlign w:val="bottom"/>
            <w:gridSpan w:val="2"/>
          </w:tcPr>
          <w:p>
            <w:pPr>
              <w:ind w:left="240"/>
              <w:spacing w:after="0"/>
              <w:rPr>
                <w:sz w:val="20"/>
                <w:szCs w:val="20"/>
                <w:color w:val="auto"/>
              </w:rPr>
            </w:pPr>
            <w:r>
              <w:rPr>
                <w:rFonts w:ascii="Arial" w:cs="Arial" w:eastAsia="Arial" w:hAnsi="Arial"/>
                <w:sz w:val="13"/>
                <w:szCs w:val="13"/>
                <w:i w:val="1"/>
                <w:iCs w:val="1"/>
                <w:color w:val="auto"/>
              </w:rPr>
              <w:t>% of Revenue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r>
      <w:tr>
        <w:trPr>
          <w:trHeight w:val="443"/>
        </w:trPr>
        <w:tc>
          <w:tcPr>
            <w:tcW w:w="11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i w:val="1"/>
                <w:iCs w:val="1"/>
                <w:color w:val="auto"/>
              </w:rPr>
              <w:t>64 %</w:t>
            </w:r>
          </w:p>
        </w:tc>
        <w:tc>
          <w:tcPr>
            <w:tcW w:w="16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29 %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xml:space="preserve">(9) </w:t>
            </w:r>
            <w:r>
              <w:rPr>
                <w:rFonts w:ascii="Arial" w:cs="Arial" w:eastAsia="Arial" w:hAnsi="Arial"/>
                <w:sz w:val="25"/>
                <w:szCs w:val="25"/>
                <w:color w:val="auto"/>
                <w:vertAlign w:val="subscript"/>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64 %</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29 %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25"/>
                <w:szCs w:val="25"/>
                <w:color w:val="auto"/>
                <w:vertAlign w:val="subscript"/>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66 %</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29 %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5 %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 %</w:t>
            </w:r>
          </w:p>
        </w:tc>
      </w:tr>
      <w:tr>
        <w:trPr>
          <w:trHeight w:val="329"/>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xml:space="preserve">(30) </w:t>
            </w:r>
            <w:r>
              <w:rPr>
                <w:rFonts w:ascii="Arial" w:cs="Arial" w:eastAsia="Arial" w:hAnsi="Arial"/>
                <w:sz w:val="25"/>
                <w:szCs w:val="25"/>
                <w:color w:val="auto"/>
                <w:vertAlign w:val="subscript"/>
              </w:rPr>
              <w:t>%</w:t>
            </w:r>
          </w:p>
        </w:tc>
      </w:tr>
      <w:tr>
        <w:trPr>
          <w:trHeight w:val="358"/>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44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(34)%</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(85)%</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(30)%</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(74)%</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(31)%</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(76)%</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28 %</w:t>
            </w:r>
          </w:p>
        </w:tc>
      </w:tr>
      <w:tr>
        <w:trPr>
          <w:trHeight w:val="52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(80)%</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48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191"/>
        </w:trPr>
        <w:tc>
          <w:tcPr>
            <w:tcW w:w="1340" w:type="dxa"/>
            <w:vAlign w:val="bottom"/>
            <w:gridSpan w:val="2"/>
          </w:tcPr>
          <w:p>
            <w:pPr>
              <w:jc w:val="right"/>
              <w:ind w:right="280"/>
              <w:spacing w:after="0"/>
              <w:rPr>
                <w:sz w:val="20"/>
                <w:szCs w:val="20"/>
                <w:color w:val="auto"/>
              </w:rPr>
            </w:pPr>
            <w:r>
              <w:rPr>
                <w:rFonts w:ascii="Arial" w:cs="Arial" w:eastAsia="Arial" w:hAnsi="Arial"/>
                <w:sz w:val="13"/>
                <w:szCs w:val="13"/>
                <w:i w:val="1"/>
                <w:i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(&gt;100)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 %</w:t>
            </w:r>
          </w:p>
        </w:tc>
      </w:tr>
      <w:tr>
        <w:trPr>
          <w:trHeight w:val="58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459"/>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(87)%</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42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8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(64) %</w:t>
            </w:r>
          </w:p>
        </w:tc>
      </w:tr>
      <w:tr>
        <w:trPr>
          <w:trHeight w:val="216"/>
        </w:trPr>
        <w:tc>
          <w:tcPr>
            <w:tcW w:w="1180" w:type="dxa"/>
            <w:vAlign w:val="bottom"/>
          </w:tcPr>
          <w:p>
            <w:pPr>
              <w:jc w:val="right"/>
              <w:ind w:right="57"/>
              <w:spacing w:after="0" w:line="216" w:lineRule="exact"/>
              <w:rPr>
                <w:sz w:val="20"/>
                <w:szCs w:val="20"/>
                <w:color w:val="auto"/>
              </w:rPr>
            </w:pPr>
            <w:r>
              <w:rPr>
                <w:rFonts w:ascii="Arial" w:cs="Arial" w:eastAsia="Arial" w:hAnsi="Arial"/>
                <w:sz w:val="13"/>
                <w:szCs w:val="13"/>
                <w:i w:val="1"/>
                <w:iCs w:val="1"/>
                <w:color w:val="auto"/>
              </w:rPr>
              <w:t xml:space="preserve">21 </w:t>
            </w:r>
            <w:r>
              <w:rPr>
                <w:rFonts w:ascii="Arial" w:cs="Arial" w:eastAsia="Arial" w:hAnsi="Arial"/>
                <w:sz w:val="25"/>
                <w:szCs w:val="25"/>
                <w:i w:val="1"/>
                <w:iCs w:val="1"/>
                <w:color w:val="auto"/>
                <w:vertAlign w:val="superscript"/>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 %</w:t>
            </w:r>
          </w:p>
        </w:tc>
      </w:tr>
      <w:tr>
        <w:trPr>
          <w:trHeight w:val="31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18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13 %</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 %</w:t>
            </w:r>
          </w:p>
        </w:tc>
      </w:tr>
    </w:tbl>
    <w:p>
      <w:pPr>
        <w:spacing w:after="0" w:line="202" w:lineRule="exact"/>
        <w:rPr>
          <w:sz w:val="20"/>
          <w:szCs w:val="20"/>
          <w:color w:val="auto"/>
        </w:rPr>
      </w:pPr>
    </w:p>
    <w:p>
      <w:pPr>
        <w:sectPr>
          <w:pgSz w:w="11900" w:h="16838" w:orient="portrait"/>
          <w:cols w:equalWidth="0" w:num="4">
            <w:col w:w="5360" w:space="280"/>
            <w:col w:w="680" w:space="277"/>
            <w:col w:w="1023" w:space="160"/>
            <w:col w:w="2160"/>
          </w:cols>
          <w:pgMar w:left="980" w:top="301" w:right="979" w:bottom="1440" w:gutter="0" w:footer="0" w:header="0"/>
          <w:type w:val="continuous"/>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01" w:right="979" w:bottom="1440" w:gutter="0" w:footer="0" w:header="0"/>
          <w:type w:val="continuous"/>
        </w:sectPr>
      </w:pPr>
    </w:p>
    <w:bookmarkStart w:id="47" w:name="page48"/>
    <w:bookmarkEnd w:id="47"/>
    <w:p>
      <w:pPr>
        <w:ind w:right="120"/>
        <w:spacing w:after="0" w:line="282" w:lineRule="auto"/>
        <w:rPr>
          <w:sz w:val="20"/>
          <w:szCs w:val="20"/>
          <w:color w:val="auto"/>
        </w:rPr>
      </w:pPr>
      <w:r>
        <w:rPr>
          <w:rFonts w:ascii="Arial" w:cs="Arial" w:eastAsia="Arial" w:hAnsi="Arial"/>
          <w:sz w:val="18"/>
          <w:szCs w:val="18"/>
          <w:b w:val="1"/>
          <w:bCs w:val="1"/>
          <w:u w:val="single" w:color="auto"/>
          <w:color w:val="auto"/>
        </w:rPr>
        <w:t>Cinema Exhibition</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Cinema Exhibition segment operating results for the quarters ended December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31, 2019 and 2018, respectively</w:t>
      </w:r>
      <w:r>
        <w:rPr>
          <w:rFonts w:ascii="Arial" w:cs="Arial" w:eastAsia="Arial" w:hAnsi="Arial"/>
          <w:sz w:val="18"/>
          <w:szCs w:val="18"/>
          <w:i w:val="1"/>
          <w:iCs w:val="1"/>
          <w:color w:val="auto"/>
        </w:rPr>
        <w:t>:</w:t>
      </w:r>
    </w:p>
    <w:p>
      <w:pPr>
        <w:sectPr>
          <w:pgSz w:w="11900" w:h="16838" w:orient="portrait"/>
          <w:cols w:equalWidth="0" w:num="1">
            <w:col w:w="9900"/>
          </w:cols>
          <w:pgMar w:left="980" w:top="121" w:right="10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3"/>
              </w:rPr>
              <w:t>(Dollars in thousands)</w:t>
            </w:r>
          </w:p>
        </w:tc>
        <w:tc>
          <w:tcPr>
            <w:tcW w:w="2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i w:val="1"/>
                <w:iCs w:val="1"/>
                <w:color w:val="auto"/>
                <w:w w:val="93"/>
              </w:rPr>
              <w:t>% of Revenue</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23,533</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62 %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11,462</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30 %</w:t>
            </w: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3,131</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8 %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38,126</w:t>
            </w:r>
          </w:p>
        </w:tc>
        <w:tc>
          <w:tcPr>
            <w:tcW w:w="1060" w:type="dxa"/>
            <w:vAlign w:val="bottom"/>
            <w:gridSpan w:val="2"/>
          </w:tcPr>
          <w:p>
            <w:pPr>
              <w:jc w:val="right"/>
              <w:ind w:right="9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gridSpan w:val="2"/>
            <w:vMerge w:val="restart"/>
          </w:tcPr>
          <w:p>
            <w:pPr>
              <w:jc w:val="right"/>
              <w:ind w:right="97"/>
              <w:spacing w:after="0" w:line="240" w:lineRule="exact"/>
              <w:rPr>
                <w:sz w:val="20"/>
                <w:szCs w:val="20"/>
                <w:color w:val="auto"/>
              </w:rPr>
            </w:pPr>
            <w:r>
              <w:rPr>
                <w:rFonts w:ascii="Arial" w:cs="Arial" w:eastAsia="Arial" w:hAnsi="Arial"/>
                <w:sz w:val="13"/>
                <w:szCs w:val="13"/>
                <w:i w:val="1"/>
                <w:iCs w:val="1"/>
                <w:color w:val="auto"/>
              </w:rPr>
              <w:t xml:space="preserve">64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191"/>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14,101</w:t>
            </w: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6,406</w:t>
            </w:r>
          </w:p>
        </w:tc>
        <w:tc>
          <w:tcPr>
            <w:tcW w:w="1060" w:type="dxa"/>
            <w:vAlign w:val="bottom"/>
            <w:gridSpan w:val="2"/>
          </w:tcPr>
          <w:p>
            <w:pPr>
              <w:jc w:val="right"/>
              <w:ind w:right="97"/>
              <w:spacing w:after="0" w:line="216" w:lineRule="exact"/>
              <w:rPr>
                <w:sz w:val="20"/>
                <w:szCs w:val="20"/>
                <w:color w:val="auto"/>
              </w:rPr>
            </w:pPr>
            <w:r>
              <w:rPr>
                <w:rFonts w:ascii="Arial" w:cs="Arial" w:eastAsia="Arial" w:hAnsi="Arial"/>
                <w:sz w:val="13"/>
                <w:szCs w:val="13"/>
                <w:i w:val="1"/>
                <w:iCs w:val="1"/>
                <w:color w:val="auto"/>
              </w:rPr>
              <w:t xml:space="preserve">28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1,685</w:t>
            </w:r>
          </w:p>
        </w:tc>
        <w:tc>
          <w:tcPr>
            <w:tcW w:w="1060" w:type="dxa"/>
            <w:vAlign w:val="bottom"/>
            <w:gridSpan w:val="2"/>
          </w:tcPr>
          <w:p>
            <w:pPr>
              <w:jc w:val="right"/>
              <w:ind w:right="97"/>
              <w:spacing w:after="0" w:line="216" w:lineRule="exact"/>
              <w:rPr>
                <w:sz w:val="20"/>
                <w:szCs w:val="20"/>
                <w:color w:val="auto"/>
              </w:rPr>
            </w:pPr>
            <w:r>
              <w:rPr>
                <w:rFonts w:ascii="Arial" w:cs="Arial" w:eastAsia="Arial" w:hAnsi="Arial"/>
                <w:sz w:val="25"/>
                <w:szCs w:val="25"/>
                <w:i w:val="1"/>
                <w:iCs w:val="1"/>
                <w:color w:val="auto"/>
                <w:vertAlign w:val="superscript"/>
              </w:rPr>
              <w:t>8</w:t>
            </w:r>
            <w:r>
              <w:rPr>
                <w:rFonts w:ascii="Arial" w:cs="Arial" w:eastAsia="Arial" w:hAnsi="Arial"/>
                <w:sz w:val="13"/>
                <w:szCs w:val="13"/>
                <w:i w:val="1"/>
                <w:iCs w:val="1"/>
                <w:color w:val="auto"/>
              </w:rPr>
              <w:t xml:space="preserve"> %</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22,192</w:t>
            </w:r>
          </w:p>
        </w:tc>
        <w:tc>
          <w:tcPr>
            <w:tcW w:w="1060" w:type="dxa"/>
            <w:vAlign w:val="bottom"/>
            <w:gridSpan w:val="2"/>
          </w:tcPr>
          <w:p>
            <w:pPr>
              <w:jc w:val="right"/>
              <w:ind w:right="9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gridSpan w:val="2"/>
            <w:vMerge w:val="restart"/>
          </w:tcPr>
          <w:p>
            <w:pPr>
              <w:jc w:val="right"/>
              <w:ind w:right="97"/>
              <w:spacing w:after="0" w:line="240" w:lineRule="exact"/>
              <w:rPr>
                <w:sz w:val="20"/>
                <w:szCs w:val="20"/>
                <w:color w:val="auto"/>
              </w:rPr>
            </w:pPr>
            <w:r>
              <w:rPr>
                <w:rFonts w:ascii="Arial" w:cs="Arial" w:eastAsia="Arial" w:hAnsi="Arial"/>
                <w:sz w:val="13"/>
                <w:szCs w:val="13"/>
                <w:i w:val="1"/>
                <w:iCs w:val="1"/>
                <w:color w:val="auto"/>
              </w:rPr>
              <w:t xml:space="preserve">67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191"/>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3,358</w:t>
            </w: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1,394</w:t>
            </w:r>
          </w:p>
        </w:tc>
        <w:tc>
          <w:tcPr>
            <w:tcW w:w="1060" w:type="dxa"/>
            <w:vAlign w:val="bottom"/>
            <w:gridSpan w:val="2"/>
          </w:tcPr>
          <w:p>
            <w:pPr>
              <w:jc w:val="right"/>
              <w:ind w:right="97"/>
              <w:spacing w:after="0" w:line="216" w:lineRule="exact"/>
              <w:rPr>
                <w:sz w:val="20"/>
                <w:szCs w:val="20"/>
                <w:color w:val="auto"/>
              </w:rPr>
            </w:pPr>
            <w:r>
              <w:rPr>
                <w:rFonts w:ascii="Arial" w:cs="Arial" w:eastAsia="Arial" w:hAnsi="Arial"/>
                <w:sz w:val="13"/>
                <w:szCs w:val="13"/>
                <w:i w:val="1"/>
                <w:iCs w:val="1"/>
                <w:color w:val="auto"/>
              </w:rPr>
              <w:t xml:space="preserve">28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060" w:type="dxa"/>
            <w:vAlign w:val="bottom"/>
            <w:gridSpan w:val="2"/>
          </w:tcPr>
          <w:p>
            <w:pPr>
              <w:jc w:val="right"/>
              <w:ind w:right="97"/>
              <w:spacing w:after="0" w:line="216" w:lineRule="exact"/>
              <w:rPr>
                <w:sz w:val="20"/>
                <w:szCs w:val="20"/>
                <w:color w:val="auto"/>
              </w:rPr>
            </w:pPr>
            <w:r>
              <w:rPr>
                <w:rFonts w:ascii="Arial" w:cs="Arial" w:eastAsia="Arial" w:hAnsi="Arial"/>
                <w:sz w:val="13"/>
                <w:szCs w:val="13"/>
                <w:i w:val="1"/>
                <w:iCs w:val="1"/>
                <w:color w:val="auto"/>
              </w:rPr>
              <w:t xml:space="preserve">5 </w:t>
            </w:r>
            <w:r>
              <w:rPr>
                <w:rFonts w:ascii="Arial" w:cs="Arial" w:eastAsia="Arial" w:hAnsi="Arial"/>
                <w:sz w:val="25"/>
                <w:szCs w:val="25"/>
                <w:i w:val="1"/>
                <w:iCs w:val="1"/>
                <w:color w:val="auto"/>
                <w:vertAlign w:val="subscript"/>
              </w:rPr>
              <w:t>%</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4,988</w:t>
            </w:r>
          </w:p>
        </w:tc>
        <w:tc>
          <w:tcPr>
            <w:tcW w:w="1060" w:type="dxa"/>
            <w:vAlign w:val="bottom"/>
            <w:gridSpan w:val="2"/>
          </w:tcPr>
          <w:p>
            <w:pPr>
              <w:jc w:val="right"/>
              <w:ind w:right="97"/>
              <w:spacing w:after="0" w:line="133" w:lineRule="exact"/>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65,306</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100 %</w:t>
            </w:r>
          </w:p>
        </w:tc>
        <w:tc>
          <w:tcPr>
            <w:tcW w:w="0" w:type="dxa"/>
            <w:vAlign w:val="bottom"/>
          </w:tcPr>
          <w:p>
            <w:pPr>
              <w:spacing w:after="0"/>
              <w:rPr>
                <w:sz w:val="1"/>
                <w:szCs w:val="1"/>
                <w:color w:val="auto"/>
              </w:rPr>
            </w:pPr>
          </w:p>
        </w:tc>
      </w:tr>
      <w:tr>
        <w:trPr>
          <w:trHeight w:val="227"/>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OPERATING EXPENSE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(12,379)</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(2,717)</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(6,609)</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(17)%</w:t>
            </w: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(10,563)</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(28)%</w:t>
            </w:r>
          </w:p>
        </w:tc>
        <w:tc>
          <w:tcPr>
            <w:tcW w:w="0" w:type="dxa"/>
            <w:vAlign w:val="bottom"/>
          </w:tcPr>
          <w:p>
            <w:pPr>
              <w:spacing w:after="0"/>
              <w:rPr>
                <w:sz w:val="1"/>
                <w:szCs w:val="1"/>
                <w:color w:val="auto"/>
              </w:rPr>
            </w:pPr>
          </w:p>
        </w:tc>
      </w:tr>
      <w:tr>
        <w:trPr>
          <w:trHeight w:val="265"/>
        </w:trPr>
        <w:tc>
          <w:tcPr>
            <w:tcW w:w="12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(32,268)</w:t>
            </w:r>
          </w:p>
        </w:tc>
        <w:tc>
          <w:tcPr>
            <w:tcW w:w="1060" w:type="dxa"/>
            <w:vAlign w:val="bottom"/>
            <w:gridSpan w:val="2"/>
          </w:tcPr>
          <w:p>
            <w:pPr>
              <w:jc w:val="right"/>
              <w:ind w:right="97"/>
              <w:spacing w:after="0" w:line="265" w:lineRule="exact"/>
              <w:rPr>
                <w:sz w:val="20"/>
                <w:szCs w:val="20"/>
                <w:color w:val="auto"/>
              </w:rPr>
            </w:pPr>
            <w:r>
              <w:rPr>
                <w:rFonts w:ascii="Arial" w:cs="Arial" w:eastAsia="Arial" w:hAnsi="Arial"/>
                <w:sz w:val="13"/>
                <w:szCs w:val="13"/>
                <w:i w:val="1"/>
                <w:iCs w:val="1"/>
                <w:color w:val="auto"/>
              </w:rPr>
              <w:t>(85)</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64"/>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(6,600)</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(1,289)</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(3,892)</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(18)%</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(5,631)</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(24)%</w:t>
            </w:r>
          </w:p>
        </w:tc>
        <w:tc>
          <w:tcPr>
            <w:tcW w:w="0" w:type="dxa"/>
            <w:vAlign w:val="bottom"/>
          </w:tcPr>
          <w:p>
            <w:pPr>
              <w:spacing w:after="0"/>
              <w:rPr>
                <w:sz w:val="1"/>
                <w:szCs w:val="1"/>
                <w:color w:val="auto"/>
              </w:rPr>
            </w:pPr>
          </w:p>
        </w:tc>
      </w:tr>
      <w:tr>
        <w:trPr>
          <w:trHeight w:val="265"/>
        </w:trPr>
        <w:tc>
          <w:tcPr>
            <w:tcW w:w="12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(17,412)</w:t>
            </w:r>
          </w:p>
        </w:tc>
        <w:tc>
          <w:tcPr>
            <w:tcW w:w="1060" w:type="dxa"/>
            <w:vAlign w:val="bottom"/>
            <w:gridSpan w:val="2"/>
          </w:tcPr>
          <w:p>
            <w:pPr>
              <w:jc w:val="right"/>
              <w:ind w:right="97"/>
              <w:spacing w:after="0" w:line="265" w:lineRule="exact"/>
              <w:rPr>
                <w:sz w:val="20"/>
                <w:szCs w:val="20"/>
                <w:color w:val="auto"/>
              </w:rPr>
            </w:pPr>
            <w:r>
              <w:rPr>
                <w:rFonts w:ascii="Arial" w:cs="Arial" w:eastAsia="Arial" w:hAnsi="Arial"/>
                <w:sz w:val="13"/>
                <w:szCs w:val="13"/>
                <w:i w:val="1"/>
                <w:iCs w:val="1"/>
                <w:color w:val="auto"/>
              </w:rPr>
              <w:t>(78)</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64"/>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(1,521)</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(255)</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(843)</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(17)%</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(1,281)</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(26)%</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(3,900)</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(79)</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25"/>
        </w:trPr>
        <w:tc>
          <w:tcPr>
            <w:tcW w:w="39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8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expense</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(53,580)</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(82)%</w:t>
            </w:r>
          </w:p>
        </w:tc>
        <w:tc>
          <w:tcPr>
            <w:tcW w:w="0" w:type="dxa"/>
            <w:vAlign w:val="bottom"/>
          </w:tcPr>
          <w:p>
            <w:pPr>
              <w:spacing w:after="0"/>
              <w:rPr>
                <w:sz w:val="1"/>
                <w:szCs w:val="1"/>
                <w:color w:val="auto"/>
              </w:rPr>
            </w:pPr>
          </w:p>
        </w:tc>
      </w:tr>
      <w:tr>
        <w:trPr>
          <w:trHeight w:val="103"/>
        </w:trPr>
        <w:tc>
          <w:tcPr>
            <w:tcW w:w="40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DEPRECIATION, AMORTIZATION, GENERAL AND</w:t>
            </w: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ADMINISTRATIVE EXPENSE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(2,726)</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(7)%</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(3)%</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(3,957)</w:t>
            </w:r>
          </w:p>
        </w:tc>
        <w:tc>
          <w:tcPr>
            <w:tcW w:w="1060" w:type="dxa"/>
            <w:vAlign w:val="bottom"/>
            <w:gridSpan w:val="2"/>
            <w:vMerge w:val="restart"/>
          </w:tcPr>
          <w:p>
            <w:pPr>
              <w:jc w:val="right"/>
              <w:ind w:right="97"/>
              <w:spacing w:after="0"/>
              <w:rPr>
                <w:sz w:val="20"/>
                <w:szCs w:val="20"/>
                <w:color w:val="auto"/>
              </w:rPr>
            </w:pPr>
            <w:r>
              <w:rPr>
                <w:rFonts w:ascii="Arial" w:cs="Arial" w:eastAsia="Arial" w:hAnsi="Arial"/>
                <w:sz w:val="13"/>
                <w:szCs w:val="13"/>
                <w:i w:val="1"/>
                <w:iCs w:val="1"/>
                <w:color w:val="auto"/>
              </w:rPr>
              <w:t>(10)%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(1,316)</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(6)%</w:t>
            </w: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(2)%</w:t>
            </w:r>
          </w:p>
        </w:tc>
        <w:tc>
          <w:tcPr>
            <w:tcW w:w="0" w:type="dxa"/>
            <w:vAlign w:val="bottom"/>
          </w:tcPr>
          <w:p>
            <w:pPr>
              <w:spacing w:after="0"/>
              <w:rPr>
                <w:sz w:val="1"/>
                <w:szCs w:val="1"/>
                <w:color w:val="auto"/>
              </w:rPr>
            </w:pPr>
          </w:p>
        </w:tc>
      </w:tr>
      <w:tr>
        <w:trPr>
          <w:trHeight w:val="265"/>
        </w:trPr>
        <w:tc>
          <w:tcPr>
            <w:tcW w:w="12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(1,716)</w:t>
            </w:r>
          </w:p>
        </w:tc>
        <w:tc>
          <w:tcPr>
            <w:tcW w:w="1060" w:type="dxa"/>
            <w:vAlign w:val="bottom"/>
            <w:gridSpan w:val="2"/>
          </w:tcPr>
          <w:p>
            <w:pPr>
              <w:jc w:val="right"/>
              <w:ind w:right="97"/>
              <w:spacing w:after="0" w:line="265" w:lineRule="exact"/>
              <w:rPr>
                <w:sz w:val="20"/>
                <w:szCs w:val="20"/>
                <w:color w:val="auto"/>
              </w:rPr>
            </w:pPr>
            <w:r>
              <w:rPr>
                <w:rFonts w:ascii="Arial" w:cs="Arial" w:eastAsia="Arial" w:hAnsi="Arial"/>
                <w:sz w:val="13"/>
                <w:szCs w:val="13"/>
                <w:i w:val="1"/>
                <w:iCs w:val="1"/>
                <w:color w:val="auto"/>
              </w:rPr>
              <w:t>(8)</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64"/>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(380)</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(8)%</w:t>
            </w: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(439)</w:t>
            </w:r>
          </w:p>
        </w:tc>
        <w:tc>
          <w:tcPr>
            <w:tcW w:w="1060" w:type="dxa"/>
            <w:vAlign w:val="bottom"/>
            <w:gridSpan w:val="2"/>
          </w:tcPr>
          <w:p>
            <w:pPr>
              <w:jc w:val="right"/>
              <w:ind w:right="97"/>
              <w:spacing w:after="0"/>
              <w:rPr>
                <w:sz w:val="20"/>
                <w:szCs w:val="20"/>
                <w:color w:val="auto"/>
              </w:rPr>
            </w:pPr>
            <w:r>
              <w:rPr>
                <w:rFonts w:ascii="Arial" w:cs="Arial" w:eastAsia="Arial" w:hAnsi="Arial"/>
                <w:sz w:val="13"/>
                <w:szCs w:val="13"/>
                <w:i w:val="1"/>
                <w:iCs w:val="1"/>
                <w:color w:val="auto"/>
              </w:rPr>
              <w:t>(9)</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18"/>
        </w:trPr>
        <w:tc>
          <w:tcPr>
            <w:tcW w:w="408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w w:val="98"/>
              </w:rPr>
              <w:t>Total depreciation, amortization, and general and administrative</w:t>
            </w: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0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-6031865</wp:posOffset>
            </wp:positionV>
            <wp:extent cx="63093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-5757545</wp:posOffset>
            </wp:positionV>
            <wp:extent cx="63093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-5483225</wp:posOffset>
            </wp:positionV>
            <wp:extent cx="63093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-5208905</wp:posOffset>
            </wp:positionV>
            <wp:extent cx="630936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-4934585</wp:posOffset>
            </wp:positionV>
            <wp:extent cx="63093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-4660265</wp:posOffset>
            </wp:positionV>
            <wp:extent cx="63093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-3820160</wp:posOffset>
            </wp:positionV>
            <wp:extent cx="63093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-3545840</wp:posOffset>
            </wp:positionV>
            <wp:extent cx="63093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-3271520</wp:posOffset>
            </wp:positionV>
            <wp:extent cx="63093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-2997200</wp:posOffset>
            </wp:positionV>
            <wp:extent cx="630936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-2448560</wp:posOffset>
            </wp:positionV>
            <wp:extent cx="630936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-2174240</wp:posOffset>
            </wp:positionV>
            <wp:extent cx="63093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-1308100</wp:posOffset>
            </wp:positionV>
            <wp:extent cx="63093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-1033780</wp:posOffset>
            </wp:positionV>
            <wp:extent cx="630936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-485140</wp:posOffset>
            </wp:positionV>
            <wp:extent cx="63093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-210820</wp:posOffset>
            </wp:positionV>
            <wp:extent cx="63093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-759460</wp:posOffset>
            </wp:positionV>
            <wp:extent cx="63093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-1625600</wp:posOffset>
            </wp:positionV>
            <wp:extent cx="6309360"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93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-1899920</wp:posOffset>
            </wp:positionV>
            <wp:extent cx="630936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-2722880</wp:posOffset>
            </wp:positionV>
            <wp:extent cx="630936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-4111625</wp:posOffset>
            </wp:positionV>
            <wp:extent cx="630936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-4385945</wp:posOffset>
            </wp:positionV>
            <wp:extent cx="630936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93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3"/>
        <w:spacing w:after="0"/>
        <w:rPr>
          <w:sz w:val="20"/>
          <w:szCs w:val="20"/>
          <w:color w:val="auto"/>
        </w:rPr>
      </w:pP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5151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94" w:lineRule="exact"/>
        <w:rPr>
          <w:sz w:val="20"/>
          <w:szCs w:val="20"/>
          <w:color w:val="auto"/>
        </w:rPr>
      </w:pPr>
    </w:p>
    <w:p>
      <w:pPr>
        <w:ind w:left="643" w:hanging="643"/>
        <w:spacing w:after="0"/>
        <w:tabs>
          <w:tab w:leader="none" w:pos="643" w:val="left"/>
        </w:tabs>
        <w:numPr>
          <w:ilvl w:val="0"/>
          <w:numId w:val="64"/>
        </w:numPr>
        <w:rPr>
          <w:rFonts w:ascii="Arial" w:cs="Arial" w:eastAsia="Arial" w:hAnsi="Arial"/>
          <w:sz w:val="12"/>
          <w:szCs w:val="12"/>
          <w:color w:val="auto"/>
        </w:rPr>
      </w:pPr>
      <w:r>
        <w:rPr>
          <w:rFonts w:ascii="Arial" w:cs="Arial" w:eastAsia="Arial" w:hAnsi="Arial"/>
          <w:sz w:val="12"/>
          <w:szCs w:val="12"/>
          <w:color w:val="auto"/>
        </w:rPr>
        <w:t>24,915</w:t>
      </w:r>
    </w:p>
    <w:p>
      <w:pPr>
        <w:spacing w:after="0" w:line="78" w:lineRule="exact"/>
        <w:rPr>
          <w:rFonts w:ascii="Arial" w:cs="Arial" w:eastAsia="Arial" w:hAnsi="Arial"/>
          <w:sz w:val="12"/>
          <w:szCs w:val="12"/>
          <w:color w:val="auto"/>
        </w:rPr>
      </w:pPr>
    </w:p>
    <w:p>
      <w:pPr>
        <w:ind w:left="663"/>
        <w:spacing w:after="0"/>
        <w:rPr>
          <w:rFonts w:ascii="Arial" w:cs="Arial" w:eastAsia="Arial" w:hAnsi="Arial"/>
          <w:sz w:val="12"/>
          <w:szCs w:val="12"/>
          <w:color w:val="auto"/>
        </w:rPr>
      </w:pPr>
      <w:r>
        <w:rPr>
          <w:rFonts w:ascii="Arial" w:cs="Arial" w:eastAsia="Arial" w:hAnsi="Arial"/>
          <w:sz w:val="10"/>
          <w:szCs w:val="10"/>
          <w:color w:val="auto"/>
        </w:rPr>
        <w:t>11,967</w:t>
      </w:r>
    </w:p>
    <w:p>
      <w:pPr>
        <w:spacing w:after="0" w:line="101" w:lineRule="exact"/>
        <w:rPr>
          <w:sz w:val="20"/>
          <w:szCs w:val="20"/>
          <w:color w:val="auto"/>
        </w:rPr>
      </w:pPr>
    </w:p>
    <w:p>
      <w:pPr>
        <w:ind w:left="703"/>
        <w:spacing w:after="0"/>
        <w:rPr>
          <w:sz w:val="20"/>
          <w:szCs w:val="20"/>
          <w:color w:val="auto"/>
        </w:rPr>
      </w:pPr>
      <w:r>
        <w:rPr>
          <w:rFonts w:ascii="Arial" w:cs="Arial" w:eastAsia="Arial" w:hAnsi="Arial"/>
          <w:sz w:val="12"/>
          <w:szCs w:val="12"/>
          <w:color w:val="auto"/>
        </w:rPr>
        <w:t>2,818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43" w:hanging="643"/>
        <w:spacing w:after="0" w:line="187" w:lineRule="auto"/>
        <w:tabs>
          <w:tab w:leader="none" w:pos="643" w:val="left"/>
        </w:tabs>
        <w:numPr>
          <w:ilvl w:val="0"/>
          <w:numId w:val="65"/>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39,700</w:t>
      </w:r>
    </w:p>
    <w:p>
      <w:pPr>
        <w:spacing w:after="0" w:line="124" w:lineRule="exact"/>
        <w:rPr>
          <w:sz w:val="20"/>
          <w:szCs w:val="20"/>
          <w:color w:val="auto"/>
        </w:rPr>
      </w:pPr>
    </w:p>
    <w:p>
      <w:pPr>
        <w:ind w:left="643" w:hanging="643"/>
        <w:spacing w:after="0"/>
        <w:tabs>
          <w:tab w:leader="none" w:pos="643" w:val="left"/>
        </w:tabs>
        <w:numPr>
          <w:ilvl w:val="0"/>
          <w:numId w:val="66"/>
        </w:numPr>
        <w:rPr>
          <w:rFonts w:ascii="Arial" w:cs="Arial" w:eastAsia="Arial" w:hAnsi="Arial"/>
          <w:sz w:val="12"/>
          <w:szCs w:val="12"/>
          <w:color w:val="auto"/>
        </w:rPr>
      </w:pPr>
      <w:r>
        <w:rPr>
          <w:rFonts w:ascii="Arial" w:cs="Arial" w:eastAsia="Arial" w:hAnsi="Arial"/>
          <w:sz w:val="12"/>
          <w:szCs w:val="12"/>
          <w:color w:val="auto"/>
        </w:rPr>
        <w:t>15,605</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6,853</w:t>
      </w:r>
    </w:p>
    <w:p>
      <w:pPr>
        <w:spacing w:after="0" w:line="78" w:lineRule="exact"/>
        <w:rPr>
          <w:sz w:val="20"/>
          <w:szCs w:val="20"/>
          <w:color w:val="auto"/>
        </w:rPr>
      </w:pPr>
    </w:p>
    <w:p>
      <w:pPr>
        <w:ind w:left="703"/>
        <w:spacing w:after="0"/>
        <w:rPr>
          <w:sz w:val="20"/>
          <w:szCs w:val="20"/>
          <w:color w:val="auto"/>
        </w:rPr>
      </w:pPr>
      <w:r>
        <w:rPr>
          <w:rFonts w:ascii="Arial" w:cs="Arial" w:eastAsia="Arial" w:hAnsi="Arial"/>
          <w:sz w:val="12"/>
          <w:szCs w:val="12"/>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643" w:hanging="643"/>
        <w:spacing w:after="0" w:line="187" w:lineRule="auto"/>
        <w:tabs>
          <w:tab w:leader="none" w:pos="643" w:val="left"/>
        </w:tabs>
        <w:numPr>
          <w:ilvl w:val="0"/>
          <w:numId w:val="67"/>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24,483</w:t>
      </w:r>
    </w:p>
    <w:p>
      <w:pPr>
        <w:spacing w:after="0" w:line="124" w:lineRule="exact"/>
        <w:rPr>
          <w:sz w:val="20"/>
          <w:szCs w:val="20"/>
          <w:color w:val="auto"/>
        </w:rPr>
      </w:pPr>
    </w:p>
    <w:p>
      <w:pPr>
        <w:ind w:left="703" w:hanging="703"/>
        <w:spacing w:after="0"/>
        <w:tabs>
          <w:tab w:leader="none" w:pos="703" w:val="left"/>
        </w:tabs>
        <w:numPr>
          <w:ilvl w:val="0"/>
          <w:numId w:val="68"/>
        </w:numPr>
        <w:rPr>
          <w:rFonts w:ascii="Arial" w:cs="Arial" w:eastAsia="Arial" w:hAnsi="Arial"/>
          <w:sz w:val="12"/>
          <w:szCs w:val="12"/>
          <w:color w:val="auto"/>
        </w:rPr>
      </w:pPr>
      <w:r>
        <w:rPr>
          <w:rFonts w:ascii="Arial" w:cs="Arial" w:eastAsia="Arial" w:hAnsi="Arial"/>
          <w:sz w:val="12"/>
          <w:szCs w:val="12"/>
          <w:color w:val="auto"/>
        </w:rPr>
        <w:t>4,599</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1,891</w:t>
      </w:r>
    </w:p>
    <w:p>
      <w:pPr>
        <w:spacing w:after="0" w:line="78" w:lineRule="exact"/>
        <w:rPr>
          <w:sz w:val="20"/>
          <w:szCs w:val="20"/>
          <w:color w:val="auto"/>
        </w:rPr>
      </w:pPr>
    </w:p>
    <w:p>
      <w:pPr>
        <w:ind w:left="803"/>
        <w:spacing w:after="0"/>
        <w:rPr>
          <w:sz w:val="20"/>
          <w:szCs w:val="20"/>
          <w:color w:val="auto"/>
        </w:rPr>
      </w:pPr>
      <w:r>
        <w:rPr>
          <w:rFonts w:ascii="Arial" w:cs="Arial" w:eastAsia="Arial" w:hAnsi="Arial"/>
          <w:sz w:val="13"/>
          <w:szCs w:val="13"/>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703" w:hanging="703"/>
        <w:spacing w:after="0" w:line="184" w:lineRule="auto"/>
        <w:tabs>
          <w:tab w:leader="none" w:pos="703" w:val="left"/>
        </w:tabs>
        <w:numPr>
          <w:ilvl w:val="0"/>
          <w:numId w:val="69"/>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6,771</w:t>
      </w:r>
    </w:p>
    <w:p>
      <w:pPr>
        <w:spacing w:after="0" w:line="336" w:lineRule="exact"/>
        <w:rPr>
          <w:sz w:val="20"/>
          <w:szCs w:val="20"/>
          <w:color w:val="auto"/>
        </w:rPr>
      </w:pPr>
    </w:p>
    <w:p>
      <w:pPr>
        <w:ind w:left="643" w:hanging="643"/>
        <w:spacing w:after="0"/>
        <w:tabs>
          <w:tab w:leader="none" w:pos="643"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70,954</w:t>
      </w:r>
    </w:p>
    <w:p>
      <w:pPr>
        <w:spacing w:after="0" w:line="325" w:lineRule="exact"/>
        <w:rPr>
          <w:sz w:val="20"/>
          <w:szCs w:val="20"/>
          <w:color w:val="auto"/>
        </w:rPr>
      </w:pPr>
    </w:p>
    <w:p>
      <w:pPr>
        <w:ind w:left="603" w:hanging="603"/>
        <w:spacing w:after="0"/>
        <w:tabs>
          <w:tab w:leader="none" w:pos="603" w:val="left"/>
        </w:tabs>
        <w:numPr>
          <w:ilvl w:val="0"/>
          <w:numId w:val="71"/>
        </w:numPr>
        <w:rPr>
          <w:rFonts w:ascii="Arial" w:cs="Arial" w:eastAsia="Arial" w:hAnsi="Arial"/>
          <w:sz w:val="10"/>
          <w:szCs w:val="10"/>
          <w:color w:val="auto"/>
        </w:rPr>
      </w:pPr>
      <w:r>
        <w:rPr>
          <w:rFonts w:ascii="Arial" w:cs="Arial" w:eastAsia="Arial" w:hAnsi="Arial"/>
          <w:sz w:val="10"/>
          <w:szCs w:val="10"/>
          <w:color w:val="auto"/>
        </w:rPr>
        <w:t>(13,311)</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(2,640)</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(7,186)</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03" w:hanging="603"/>
        <w:spacing w:after="0" w:line="184" w:lineRule="auto"/>
        <w:tabs>
          <w:tab w:leader="none" w:pos="603" w:val="left"/>
        </w:tabs>
        <w:numPr>
          <w:ilvl w:val="0"/>
          <w:numId w:val="72"/>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(34,013)</w:t>
      </w:r>
    </w:p>
    <w:p>
      <w:pPr>
        <w:spacing w:after="0" w:line="124" w:lineRule="exact"/>
        <w:rPr>
          <w:sz w:val="20"/>
          <w:szCs w:val="20"/>
          <w:color w:val="auto"/>
        </w:rPr>
      </w:pPr>
    </w:p>
    <w:p>
      <w:pPr>
        <w:ind w:left="663" w:hanging="663"/>
        <w:spacing w:after="0"/>
        <w:tabs>
          <w:tab w:leader="none" w:pos="663" w:val="left"/>
        </w:tabs>
        <w:numPr>
          <w:ilvl w:val="0"/>
          <w:numId w:val="73"/>
        </w:numPr>
        <w:rPr>
          <w:rFonts w:ascii="Arial" w:cs="Arial" w:eastAsia="Arial" w:hAnsi="Arial"/>
          <w:sz w:val="10"/>
          <w:szCs w:val="10"/>
          <w:color w:val="auto"/>
        </w:rPr>
      </w:pPr>
      <w:r>
        <w:rPr>
          <w:rFonts w:ascii="Arial" w:cs="Arial" w:eastAsia="Arial" w:hAnsi="Arial"/>
          <w:sz w:val="10"/>
          <w:szCs w:val="10"/>
          <w:color w:val="auto"/>
        </w:rPr>
        <w:t>(7,216)</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(1,404)</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(3,779)</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(5,909)</w:t>
      </w:r>
    </w:p>
    <w:p>
      <w:pPr>
        <w:ind w:left="603" w:hanging="603"/>
        <w:spacing w:after="0" w:line="184" w:lineRule="auto"/>
        <w:tabs>
          <w:tab w:leader="none" w:pos="603" w:val="left"/>
        </w:tabs>
        <w:numPr>
          <w:ilvl w:val="0"/>
          <w:numId w:val="74"/>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(18,308)</w:t>
      </w:r>
    </w:p>
    <w:p>
      <w:pPr>
        <w:spacing w:after="0" w:line="124" w:lineRule="exact"/>
        <w:rPr>
          <w:sz w:val="20"/>
          <w:szCs w:val="20"/>
          <w:color w:val="auto"/>
        </w:rPr>
      </w:pPr>
    </w:p>
    <w:p>
      <w:pPr>
        <w:ind w:left="663" w:hanging="663"/>
        <w:spacing w:after="0"/>
        <w:tabs>
          <w:tab w:leader="none" w:pos="663" w:val="left"/>
        </w:tabs>
        <w:numPr>
          <w:ilvl w:val="0"/>
          <w:numId w:val="75"/>
        </w:numPr>
        <w:rPr>
          <w:rFonts w:ascii="Arial" w:cs="Arial" w:eastAsia="Arial" w:hAnsi="Arial"/>
          <w:sz w:val="10"/>
          <w:szCs w:val="10"/>
          <w:color w:val="auto"/>
        </w:rPr>
      </w:pPr>
      <w:r>
        <w:rPr>
          <w:rFonts w:ascii="Arial" w:cs="Arial" w:eastAsia="Arial" w:hAnsi="Arial"/>
          <w:sz w:val="10"/>
          <w:szCs w:val="10"/>
          <w:color w:val="auto"/>
        </w:rPr>
        <w:t>(2,157)</w:t>
      </w:r>
    </w:p>
    <w:p>
      <w:pPr>
        <w:spacing w:after="0" w:line="101" w:lineRule="exact"/>
        <w:rPr>
          <w:rFonts w:ascii="Arial" w:cs="Arial" w:eastAsia="Arial" w:hAnsi="Arial"/>
          <w:sz w:val="10"/>
          <w:szCs w:val="10"/>
          <w:color w:val="auto"/>
        </w:rPr>
      </w:pPr>
    </w:p>
    <w:p>
      <w:pPr>
        <w:ind w:left="763"/>
        <w:spacing w:after="0"/>
        <w:rPr>
          <w:rFonts w:ascii="Arial" w:cs="Arial" w:eastAsia="Arial" w:hAnsi="Arial"/>
          <w:sz w:val="10"/>
          <w:szCs w:val="10"/>
          <w:color w:val="auto"/>
        </w:rPr>
      </w:pPr>
      <w:r>
        <w:rPr>
          <w:rFonts w:ascii="Arial" w:cs="Arial" w:eastAsia="Arial" w:hAnsi="Arial"/>
          <w:sz w:val="10"/>
          <w:szCs w:val="10"/>
          <w:color w:val="auto"/>
        </w:rPr>
        <w:t>(402)</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(1,230)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663" w:hanging="663"/>
        <w:spacing w:after="0" w:line="184" w:lineRule="auto"/>
        <w:tabs>
          <w:tab w:leader="none" w:pos="663" w:val="left"/>
        </w:tabs>
        <w:numPr>
          <w:ilvl w:val="0"/>
          <w:numId w:val="76"/>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(5,397)</w:t>
      </w:r>
    </w:p>
    <w:p>
      <w:pPr>
        <w:spacing w:after="0" w:line="336" w:lineRule="exact"/>
        <w:rPr>
          <w:sz w:val="20"/>
          <w:szCs w:val="20"/>
          <w:color w:val="auto"/>
        </w:rPr>
      </w:pPr>
    </w:p>
    <w:p>
      <w:pPr>
        <w:ind w:left="603" w:hanging="603"/>
        <w:spacing w:after="0"/>
        <w:tabs>
          <w:tab w:leader="none" w:pos="603" w:val="left"/>
        </w:tabs>
        <w:numPr>
          <w:ilvl w:val="0"/>
          <w:numId w:val="77"/>
        </w:numPr>
        <w:rPr>
          <w:rFonts w:ascii="Arial" w:cs="Arial" w:eastAsia="Arial" w:hAnsi="Arial"/>
          <w:sz w:val="10"/>
          <w:szCs w:val="10"/>
          <w:b w:val="1"/>
          <w:bCs w:val="1"/>
          <w:color w:val="auto"/>
        </w:rPr>
      </w:pPr>
      <w:r>
        <w:rPr>
          <w:rFonts w:ascii="Arial" w:cs="Arial" w:eastAsia="Arial" w:hAnsi="Arial"/>
          <w:sz w:val="10"/>
          <w:szCs w:val="10"/>
          <w:b w:val="1"/>
          <w:bCs w:val="1"/>
          <w:color w:val="auto"/>
        </w:rPr>
        <w:t>(57,718)</w:t>
      </w:r>
    </w:p>
    <w:p>
      <w:pPr>
        <w:spacing w:after="0" w:line="389" w:lineRule="exact"/>
        <w:rPr>
          <w:sz w:val="20"/>
          <w:szCs w:val="20"/>
          <w:color w:val="auto"/>
        </w:rPr>
      </w:pPr>
    </w:p>
    <w:p>
      <w:pPr>
        <w:ind w:left="663" w:hanging="663"/>
        <w:spacing w:after="0"/>
        <w:tabs>
          <w:tab w:leader="none" w:pos="663" w:val="left"/>
        </w:tabs>
        <w:numPr>
          <w:ilvl w:val="0"/>
          <w:numId w:val="78"/>
        </w:numPr>
        <w:rPr>
          <w:rFonts w:ascii="Arial" w:cs="Arial" w:eastAsia="Arial" w:hAnsi="Arial"/>
          <w:sz w:val="10"/>
          <w:szCs w:val="10"/>
          <w:color w:val="auto"/>
        </w:rPr>
      </w:pPr>
      <w:r>
        <w:rPr>
          <w:rFonts w:ascii="Arial" w:cs="Arial" w:eastAsia="Arial" w:hAnsi="Arial"/>
          <w:sz w:val="10"/>
          <w:szCs w:val="10"/>
          <w:color w:val="auto"/>
        </w:rPr>
        <w:t>(2,569)</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63" w:hanging="663"/>
        <w:spacing w:after="0" w:line="184" w:lineRule="auto"/>
        <w:tabs>
          <w:tab w:leader="none" w:pos="663" w:val="left"/>
        </w:tabs>
        <w:numPr>
          <w:ilvl w:val="0"/>
          <w:numId w:val="79"/>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(3,126)</w:t>
      </w:r>
    </w:p>
    <w:p>
      <w:pPr>
        <w:spacing w:after="0" w:line="124" w:lineRule="exact"/>
        <w:rPr>
          <w:sz w:val="20"/>
          <w:szCs w:val="20"/>
          <w:color w:val="auto"/>
        </w:rPr>
      </w:pPr>
    </w:p>
    <w:p>
      <w:pPr>
        <w:ind w:left="663" w:hanging="663"/>
        <w:spacing w:after="0"/>
        <w:tabs>
          <w:tab w:leader="none" w:pos="663" w:val="left"/>
        </w:tabs>
        <w:numPr>
          <w:ilvl w:val="0"/>
          <w:numId w:val="80"/>
        </w:numPr>
        <w:rPr>
          <w:rFonts w:ascii="Arial" w:cs="Arial" w:eastAsia="Arial" w:hAnsi="Arial"/>
          <w:sz w:val="10"/>
          <w:szCs w:val="10"/>
          <w:color w:val="auto"/>
        </w:rPr>
      </w:pPr>
      <w:r>
        <w:rPr>
          <w:rFonts w:ascii="Arial" w:cs="Arial" w:eastAsia="Arial" w:hAnsi="Arial"/>
          <w:sz w:val="10"/>
          <w:szCs w:val="10"/>
          <w:color w:val="auto"/>
        </w:rPr>
        <w:t>(1,191)</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(331)</w:t>
      </w:r>
    </w:p>
    <w:p>
      <w:pPr>
        <w:ind w:left="663" w:hanging="663"/>
        <w:spacing w:after="0" w:line="184" w:lineRule="auto"/>
        <w:tabs>
          <w:tab w:leader="none" w:pos="663" w:val="left"/>
        </w:tabs>
        <w:numPr>
          <w:ilvl w:val="0"/>
          <w:numId w:val="81"/>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(1,522)</w:t>
      </w:r>
    </w:p>
    <w:p>
      <w:pPr>
        <w:spacing w:after="0" w:line="124" w:lineRule="exact"/>
        <w:rPr>
          <w:sz w:val="20"/>
          <w:szCs w:val="20"/>
          <w:color w:val="auto"/>
        </w:rPr>
      </w:pPr>
    </w:p>
    <w:p>
      <w:pPr>
        <w:ind w:left="763" w:hanging="763"/>
        <w:spacing w:after="0"/>
        <w:tabs>
          <w:tab w:leader="none" w:pos="763" w:val="left"/>
        </w:tabs>
        <w:numPr>
          <w:ilvl w:val="0"/>
          <w:numId w:val="82"/>
        </w:numPr>
        <w:rPr>
          <w:rFonts w:ascii="Arial" w:cs="Arial" w:eastAsia="Arial" w:hAnsi="Arial"/>
          <w:sz w:val="10"/>
          <w:szCs w:val="10"/>
          <w:color w:val="auto"/>
        </w:rPr>
      </w:pPr>
      <w:r>
        <w:rPr>
          <w:rFonts w:ascii="Arial" w:cs="Arial" w:eastAsia="Arial" w:hAnsi="Arial"/>
          <w:sz w:val="10"/>
          <w:szCs w:val="10"/>
          <w:color w:val="auto"/>
        </w:rPr>
        <w:t>(356)</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763" w:hanging="763"/>
        <w:spacing w:after="0" w:line="184" w:lineRule="auto"/>
        <w:tabs>
          <w:tab w:leader="none" w:pos="763" w:val="left"/>
        </w:tabs>
        <w:numPr>
          <w:ilvl w:val="0"/>
          <w:numId w:val="83"/>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6515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10"/>
          <w:szCs w:val="10"/>
          <w:i w:val="1"/>
          <w:iCs w:val="1"/>
          <w:color w:val="auto"/>
        </w:rPr>
        <w: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21590</wp:posOffset>
            </wp:positionV>
            <wp:extent cx="7454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45490" cy="17145"/>
                    </a:xfrm>
                    <a:prstGeom prst="rect">
                      <a:avLst/>
                    </a:prstGeom>
                    <a:noFill/>
                  </pic:spPr>
                </pic:pic>
              </a:graphicData>
            </a:graphic>
          </wp:anchor>
        </w:drawing>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63 %</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30 %</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7 %</w:t>
      </w:r>
    </w:p>
    <w:p>
      <w:pPr>
        <w:jc w:val="right"/>
        <w:spacing w:after="0" w:line="180" w:lineRule="auto"/>
        <w:rPr>
          <w:sz w:val="20"/>
          <w:szCs w:val="20"/>
          <w:color w:val="auto"/>
        </w:rPr>
      </w:pPr>
      <w:r>
        <w:rPr>
          <w:rFonts w:ascii="Arial" w:cs="Arial" w:eastAsia="Arial" w:hAnsi="Arial"/>
          <w:sz w:val="13"/>
          <w:szCs w:val="13"/>
          <w:i w:val="1"/>
          <w:iCs w:val="1"/>
          <w:color w:val="auto"/>
        </w:rPr>
        <w:t xml:space="preserve">100 </w:t>
      </w:r>
      <w:r>
        <w:rPr>
          <w:rFonts w:ascii="Arial" w:cs="Arial" w:eastAsia="Arial" w:hAnsi="Arial"/>
          <w:sz w:val="25"/>
          <w:szCs w:val="25"/>
          <w:i w:val="1"/>
          <w:iCs w:val="1"/>
          <w:color w:val="auto"/>
          <w:vertAlign w:val="superscript"/>
        </w:rPr>
        <w:t>%</w:t>
      </w:r>
    </w:p>
    <w:p>
      <w:pPr>
        <w:jc w:val="right"/>
        <w:spacing w:after="0" w:line="180" w:lineRule="auto"/>
        <w:rPr>
          <w:sz w:val="20"/>
          <w:szCs w:val="20"/>
          <w:color w:val="auto"/>
        </w:rPr>
      </w:pPr>
      <w:r>
        <w:rPr>
          <w:rFonts w:ascii="Arial" w:cs="Arial" w:eastAsia="Arial" w:hAnsi="Arial"/>
          <w:sz w:val="13"/>
          <w:szCs w:val="13"/>
          <w:i w:val="1"/>
          <w:iCs w:val="1"/>
          <w:color w:val="auto"/>
        </w:rPr>
        <w:t xml:space="preserve">64 </w:t>
      </w:r>
      <w:r>
        <w:rPr>
          <w:rFonts w:ascii="Arial" w:cs="Arial" w:eastAsia="Arial" w:hAnsi="Arial"/>
          <w:sz w:val="25"/>
          <w:szCs w:val="25"/>
          <w:i w:val="1"/>
          <w:iCs w:val="1"/>
          <w:color w:val="auto"/>
          <w:vertAlign w:val="subscript"/>
        </w:rPr>
        <w:t>%</w:t>
      </w:r>
    </w:p>
    <w:p>
      <w:pPr>
        <w:jc w:val="right"/>
        <w:spacing w:after="0" w:line="180" w:lineRule="auto"/>
        <w:rPr>
          <w:sz w:val="20"/>
          <w:szCs w:val="20"/>
          <w:color w:val="auto"/>
        </w:rPr>
      </w:pPr>
      <w:r>
        <w:rPr>
          <w:rFonts w:ascii="Arial" w:cs="Arial" w:eastAsia="Arial" w:hAnsi="Arial"/>
          <w:sz w:val="13"/>
          <w:szCs w:val="13"/>
          <w:i w:val="1"/>
          <w:iCs w:val="1"/>
          <w:color w:val="auto"/>
        </w:rPr>
        <w:t xml:space="preserve">28 </w:t>
      </w:r>
      <w:r>
        <w:rPr>
          <w:rFonts w:ascii="Arial" w:cs="Arial" w:eastAsia="Arial" w:hAnsi="Arial"/>
          <w:sz w:val="25"/>
          <w:szCs w:val="25"/>
          <w:i w:val="1"/>
          <w:iCs w:val="1"/>
          <w:color w:val="auto"/>
          <w:vertAlign w:val="subscript"/>
        </w:rPr>
        <w:t>%</w:t>
      </w:r>
    </w:p>
    <w:p>
      <w:pPr>
        <w:jc w:val="right"/>
        <w:spacing w:after="0" w:line="181" w:lineRule="auto"/>
        <w:rPr>
          <w:sz w:val="20"/>
          <w:szCs w:val="20"/>
          <w:color w:val="auto"/>
        </w:rPr>
      </w:pPr>
      <w:r>
        <w:rPr>
          <w:rFonts w:ascii="Arial" w:cs="Arial" w:eastAsia="Arial" w:hAnsi="Arial"/>
          <w:sz w:val="25"/>
          <w:szCs w:val="25"/>
          <w:i w:val="1"/>
          <w:iCs w:val="1"/>
          <w:color w:val="auto"/>
          <w:vertAlign w:val="superscript"/>
        </w:rPr>
        <w:t>8</w:t>
      </w:r>
      <w:r>
        <w:rPr>
          <w:rFonts w:ascii="Arial" w:cs="Arial" w:eastAsia="Arial" w:hAnsi="Arial"/>
          <w:sz w:val="13"/>
          <w:szCs w:val="13"/>
          <w:i w:val="1"/>
          <w:iCs w:val="1"/>
          <w:color w:val="auto"/>
        </w:rPr>
        <w:t xml:space="preserve"> %</w:t>
      </w:r>
    </w:p>
    <w:p>
      <w:pPr>
        <w:jc w:val="right"/>
        <w:spacing w:after="0" w:line="180" w:lineRule="auto"/>
        <w:rPr>
          <w:sz w:val="20"/>
          <w:szCs w:val="20"/>
          <w:color w:val="auto"/>
        </w:rPr>
      </w:pPr>
      <w:r>
        <w:rPr>
          <w:rFonts w:ascii="Arial" w:cs="Arial" w:eastAsia="Arial" w:hAnsi="Arial"/>
          <w:sz w:val="13"/>
          <w:szCs w:val="13"/>
          <w:i w:val="1"/>
          <w:iCs w:val="1"/>
          <w:color w:val="auto"/>
        </w:rPr>
        <w:t xml:space="preserve">100 </w:t>
      </w:r>
      <w:r>
        <w:rPr>
          <w:rFonts w:ascii="Arial" w:cs="Arial" w:eastAsia="Arial" w:hAnsi="Arial"/>
          <w:sz w:val="25"/>
          <w:szCs w:val="25"/>
          <w:i w:val="1"/>
          <w:iCs w:val="1"/>
          <w:color w:val="auto"/>
          <w:vertAlign w:val="superscript"/>
        </w:rPr>
        <w:t>%</w:t>
      </w:r>
    </w:p>
    <w:p>
      <w:pPr>
        <w:jc w:val="right"/>
        <w:spacing w:after="0" w:line="180" w:lineRule="auto"/>
        <w:rPr>
          <w:sz w:val="20"/>
          <w:szCs w:val="20"/>
          <w:color w:val="auto"/>
        </w:rPr>
      </w:pPr>
      <w:r>
        <w:rPr>
          <w:rFonts w:ascii="Arial" w:cs="Arial" w:eastAsia="Arial" w:hAnsi="Arial"/>
          <w:sz w:val="13"/>
          <w:szCs w:val="13"/>
          <w:i w:val="1"/>
          <w:iCs w:val="1"/>
          <w:color w:val="auto"/>
        </w:rPr>
        <w:t xml:space="preserve">68 </w:t>
      </w:r>
      <w:r>
        <w:rPr>
          <w:rFonts w:ascii="Arial" w:cs="Arial" w:eastAsia="Arial" w:hAnsi="Arial"/>
          <w:sz w:val="25"/>
          <w:szCs w:val="25"/>
          <w:i w:val="1"/>
          <w:iCs w:val="1"/>
          <w:color w:val="auto"/>
          <w:vertAlign w:val="subscript"/>
        </w:rPr>
        <w:t>%</w:t>
      </w:r>
    </w:p>
    <w:p>
      <w:pPr>
        <w:jc w:val="right"/>
        <w:spacing w:after="0" w:line="181" w:lineRule="auto"/>
        <w:rPr>
          <w:sz w:val="20"/>
          <w:szCs w:val="20"/>
          <w:color w:val="auto"/>
        </w:rPr>
      </w:pPr>
      <w:r>
        <w:rPr>
          <w:rFonts w:ascii="Arial" w:cs="Arial" w:eastAsia="Arial" w:hAnsi="Arial"/>
          <w:sz w:val="13"/>
          <w:szCs w:val="13"/>
          <w:i w:val="1"/>
          <w:iCs w:val="1"/>
          <w:color w:val="auto"/>
        </w:rPr>
        <w:t xml:space="preserve">28 </w:t>
      </w:r>
      <w:r>
        <w:rPr>
          <w:rFonts w:ascii="Arial" w:cs="Arial" w:eastAsia="Arial" w:hAnsi="Arial"/>
          <w:sz w:val="25"/>
          <w:szCs w:val="25"/>
          <w:i w:val="1"/>
          <w:iCs w:val="1"/>
          <w:color w:val="auto"/>
          <w:vertAlign w:val="subscript"/>
        </w:rPr>
        <w:t>%</w:t>
      </w:r>
    </w:p>
    <w:p>
      <w:pPr>
        <w:jc w:val="right"/>
        <w:spacing w:after="0" w:line="180" w:lineRule="auto"/>
        <w:rPr>
          <w:sz w:val="20"/>
          <w:szCs w:val="20"/>
          <w:color w:val="auto"/>
        </w:rPr>
      </w:pPr>
      <w:r>
        <w:rPr>
          <w:rFonts w:ascii="Arial" w:cs="Arial" w:eastAsia="Arial" w:hAnsi="Arial"/>
          <w:sz w:val="13"/>
          <w:szCs w:val="13"/>
          <w:i w:val="1"/>
          <w:iCs w:val="1"/>
          <w:color w:val="auto"/>
        </w:rPr>
        <w:t xml:space="preserve">4 </w:t>
      </w:r>
      <w:r>
        <w:rPr>
          <w:rFonts w:ascii="Arial" w:cs="Arial" w:eastAsia="Arial" w:hAnsi="Arial"/>
          <w:sz w:val="25"/>
          <w:szCs w:val="25"/>
          <w:i w:val="1"/>
          <w:iCs w:val="1"/>
          <w:color w:val="auto"/>
          <w:vertAlign w:val="subscript"/>
        </w:rPr>
        <w: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100 %</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100 %</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(34)%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(18)%</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(27)%</w:t>
      </w:r>
    </w:p>
    <w:p>
      <w:pPr>
        <w:jc w:val="right"/>
        <w:spacing w:after="0"/>
        <w:rPr>
          <w:sz w:val="20"/>
          <w:szCs w:val="20"/>
          <w:color w:val="auto"/>
        </w:rPr>
      </w:pPr>
      <w:r>
        <w:rPr>
          <w:rFonts w:ascii="Arial" w:cs="Arial" w:eastAsia="Arial" w:hAnsi="Arial"/>
          <w:sz w:val="13"/>
          <w:szCs w:val="13"/>
          <w:i w:val="1"/>
          <w:iCs w:val="1"/>
          <w:color w:val="auto"/>
        </w:rPr>
        <w:t>(86)</w:t>
      </w:r>
      <w:r>
        <w:rPr>
          <w:rFonts w:ascii="Arial" w:cs="Arial" w:eastAsia="Arial" w:hAnsi="Arial"/>
          <w:sz w:val="25"/>
          <w:szCs w:val="25"/>
          <w:i w:val="1"/>
          <w:iCs w:val="1"/>
          <w:color w:val="auto"/>
          <w:vertAlign w:val="superscript"/>
        </w:rPr>
        <w:t>%</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(29)%</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(15)%</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(25)%</w:t>
      </w:r>
    </w:p>
    <w:p>
      <w:pPr>
        <w:jc w:val="right"/>
        <w:spacing w:after="0"/>
        <w:rPr>
          <w:sz w:val="20"/>
          <w:szCs w:val="20"/>
          <w:color w:val="auto"/>
        </w:rPr>
      </w:pPr>
      <w:r>
        <w:rPr>
          <w:rFonts w:ascii="Arial" w:cs="Arial" w:eastAsia="Arial" w:hAnsi="Arial"/>
          <w:sz w:val="13"/>
          <w:szCs w:val="13"/>
          <w:i w:val="1"/>
          <w:iCs w:val="1"/>
          <w:color w:val="auto"/>
        </w:rPr>
        <w:t>(75)</w:t>
      </w:r>
      <w:r>
        <w:rPr>
          <w:rFonts w:ascii="Arial" w:cs="Arial" w:eastAsia="Arial" w:hAnsi="Arial"/>
          <w:sz w:val="25"/>
          <w:szCs w:val="25"/>
          <w:i w:val="1"/>
          <w:iCs w:val="1"/>
          <w:color w:val="auto"/>
          <w:vertAlign w:val="superscript"/>
        </w:rPr>
        <w:t>%</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(32)%</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(18)%</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(24)%</w:t>
      </w:r>
    </w:p>
    <w:p>
      <w:pPr>
        <w:jc w:val="right"/>
        <w:spacing w:after="0"/>
        <w:rPr>
          <w:sz w:val="20"/>
          <w:szCs w:val="20"/>
          <w:color w:val="auto"/>
        </w:rPr>
      </w:pPr>
      <w:r>
        <w:rPr>
          <w:rFonts w:ascii="Arial" w:cs="Arial" w:eastAsia="Arial" w:hAnsi="Arial"/>
          <w:sz w:val="13"/>
          <w:szCs w:val="13"/>
          <w:i w:val="1"/>
          <w:iCs w:val="1"/>
          <w:color w:val="auto"/>
        </w:rPr>
        <w:t>(80)</w:t>
      </w:r>
      <w:r>
        <w:rPr>
          <w:rFonts w:ascii="Arial" w:cs="Arial" w:eastAsia="Arial" w:hAnsi="Arial"/>
          <w:sz w:val="25"/>
          <w:szCs w:val="25"/>
          <w:i w:val="1"/>
          <w:iCs w:val="1"/>
          <w:color w:val="auto"/>
          <w:vertAlign w:val="superscript"/>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(81)%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(6)%</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(2)%</w:t>
      </w:r>
    </w:p>
    <w:p>
      <w:pPr>
        <w:jc w:val="right"/>
        <w:spacing w:after="0"/>
        <w:rPr>
          <w:sz w:val="20"/>
          <w:szCs w:val="20"/>
          <w:color w:val="auto"/>
        </w:rPr>
      </w:pPr>
      <w:r>
        <w:rPr>
          <w:rFonts w:ascii="Arial" w:cs="Arial" w:eastAsia="Arial" w:hAnsi="Arial"/>
          <w:sz w:val="13"/>
          <w:szCs w:val="13"/>
          <w:i w:val="1"/>
          <w:iCs w:val="1"/>
          <w:color w:val="auto"/>
        </w:rPr>
        <w:t>(8)%</w:t>
      </w:r>
    </w:p>
    <w:p>
      <w:pPr>
        <w:jc w:val="right"/>
        <w:spacing w:after="0" w:line="235" w:lineRule="auto"/>
        <w:rPr>
          <w:sz w:val="20"/>
          <w:szCs w:val="20"/>
          <w:color w:val="auto"/>
        </w:rPr>
      </w:pPr>
      <w:r>
        <w:rPr>
          <w:rFonts w:ascii="Arial" w:cs="Arial" w:eastAsia="Arial" w:hAnsi="Arial"/>
          <w:sz w:val="13"/>
          <w:szCs w:val="13"/>
          <w:i w:val="1"/>
          <w:iCs w:val="1"/>
          <w:color w:val="auto"/>
        </w:rPr>
        <w:t>(5)</w:t>
      </w:r>
      <w:r>
        <w:rPr>
          <w:rFonts w:ascii="Arial" w:cs="Arial" w:eastAsia="Arial" w:hAnsi="Arial"/>
          <w:sz w:val="25"/>
          <w:szCs w:val="25"/>
          <w:i w:val="1"/>
          <w:iCs w:val="1"/>
          <w:color w:val="auto"/>
          <w:vertAlign w:val="subscript"/>
        </w:rPr>
        <w:t>%</w:t>
      </w:r>
    </w:p>
    <w:p>
      <w:pPr>
        <w:jc w:val="right"/>
        <w:spacing w:after="0" w:line="181" w:lineRule="auto"/>
        <w:rPr>
          <w:sz w:val="20"/>
          <w:szCs w:val="20"/>
          <w:color w:val="auto"/>
        </w:rPr>
      </w:pPr>
      <w:r>
        <w:rPr>
          <w:rFonts w:ascii="Arial" w:cs="Arial" w:eastAsia="Arial" w:hAnsi="Arial"/>
          <w:sz w:val="13"/>
          <w:szCs w:val="13"/>
          <w:i w:val="1"/>
          <w:iCs w:val="1"/>
          <w:color w:val="auto"/>
        </w:rPr>
        <w:t>(1)</w:t>
      </w:r>
      <w:r>
        <w:rPr>
          <w:rFonts w:ascii="Arial" w:cs="Arial" w:eastAsia="Arial" w:hAnsi="Arial"/>
          <w:sz w:val="25"/>
          <w:szCs w:val="25"/>
          <w:i w:val="1"/>
          <w:iCs w:val="1"/>
          <w:color w:val="auto"/>
          <w:vertAlign w:val="subscript"/>
        </w:rPr>
        <w:t>%</w:t>
      </w:r>
    </w:p>
    <w:p>
      <w:pPr>
        <w:jc w:val="right"/>
        <w:spacing w:after="0"/>
        <w:rPr>
          <w:sz w:val="20"/>
          <w:szCs w:val="20"/>
          <w:color w:val="auto"/>
        </w:rPr>
      </w:pPr>
      <w:r>
        <w:rPr>
          <w:rFonts w:ascii="Arial" w:cs="Arial" w:eastAsia="Arial" w:hAnsi="Arial"/>
          <w:sz w:val="13"/>
          <w:szCs w:val="13"/>
          <w:i w:val="1"/>
          <w:iCs w:val="1"/>
          <w:color w:val="auto"/>
        </w:rPr>
        <w:t>(6)%</w:t>
      </w:r>
    </w:p>
    <w:p>
      <w:pPr>
        <w:jc w:val="right"/>
        <w:spacing w:after="0" w:line="235" w:lineRule="auto"/>
        <w:rPr>
          <w:sz w:val="20"/>
          <w:szCs w:val="20"/>
          <w:color w:val="auto"/>
        </w:rPr>
      </w:pPr>
      <w:r>
        <w:rPr>
          <w:rFonts w:ascii="Arial" w:cs="Arial" w:eastAsia="Arial" w:hAnsi="Arial"/>
          <w:sz w:val="13"/>
          <w:szCs w:val="13"/>
          <w:i w:val="1"/>
          <w:iCs w:val="1"/>
          <w:color w:val="auto"/>
        </w:rPr>
        <w:t>(5)</w:t>
      </w:r>
      <w:r>
        <w:rPr>
          <w:rFonts w:ascii="Arial" w:cs="Arial" w:eastAsia="Arial" w:hAnsi="Arial"/>
          <w:sz w:val="25"/>
          <w:szCs w:val="25"/>
          <w:i w:val="1"/>
          <w:iCs w:val="1"/>
          <w:color w:val="auto"/>
          <w:vertAlign w:val="subscript"/>
        </w:rPr>
        <w:t>%</w:t>
      </w:r>
    </w:p>
    <w:p>
      <w:pPr>
        <w:jc w:val="right"/>
        <w:spacing w:after="0" w:line="181" w:lineRule="auto"/>
        <w:rPr>
          <w:sz w:val="20"/>
          <w:szCs w:val="20"/>
          <w:color w:val="auto"/>
        </w:rPr>
      </w:pPr>
      <w:r>
        <w:rPr>
          <w:rFonts w:ascii="Arial" w:cs="Arial" w:eastAsia="Arial" w:hAnsi="Arial"/>
          <w:sz w:val="25"/>
          <w:szCs w:val="25"/>
          <w:i w:val="1"/>
          <w:iCs w:val="1"/>
          <w:color w:val="auto"/>
          <w:vertAlign w:val="superscript"/>
        </w:rPr>
        <w:t>—</w:t>
      </w:r>
      <w:r>
        <w:rPr>
          <w:rFonts w:ascii="Arial" w:cs="Arial" w:eastAsia="Arial" w:hAnsi="Arial"/>
          <w:sz w:val="13"/>
          <w:szCs w:val="13"/>
          <w:i w:val="1"/>
          <w:iCs w:val="1"/>
          <w:color w:val="auto"/>
        </w:rPr>
        <w:t>%</w:t>
      </w:r>
    </w:p>
    <w:p>
      <w:pPr>
        <w:jc w:val="right"/>
        <w:spacing w:after="0"/>
        <w:rPr>
          <w:sz w:val="20"/>
          <w:szCs w:val="20"/>
          <w:color w:val="auto"/>
        </w:rPr>
      </w:pPr>
      <w:r>
        <w:rPr>
          <w:rFonts w:ascii="Arial" w:cs="Arial" w:eastAsia="Arial" w:hAnsi="Arial"/>
          <w:sz w:val="13"/>
          <w:szCs w:val="13"/>
          <w:i w:val="1"/>
          <w:iCs w:val="1"/>
          <w:color w:val="auto"/>
        </w:rPr>
        <w:t>(5)%</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spacing w:after="0" w:line="333" w:lineRule="auto"/>
        <w:rPr>
          <w:sz w:val="20"/>
          <w:szCs w:val="20"/>
          <w:color w:val="auto"/>
        </w:rPr>
      </w:pPr>
      <w:r>
        <w:rPr>
          <w:rFonts w:ascii="Arial" w:cs="Arial" w:eastAsia="Arial" w:hAnsi="Arial"/>
          <w:sz w:val="10"/>
          <w:szCs w:val="10"/>
          <w:b w:val="1"/>
          <w:bCs w:val="1"/>
          <w:color w:val="auto"/>
        </w:rPr>
        <w:t xml:space="preserve">2019 vs. 2018 Favorable/ </w:t>
      </w:r>
      <w:r>
        <w:rPr>
          <w:rFonts w:ascii="Arial" w:cs="Arial" w:eastAsia="Arial" w:hAnsi="Arial"/>
          <w:sz w:val="10"/>
          <w:szCs w:val="10"/>
          <w:b w:val="1"/>
          <w:bCs w:val="1"/>
          <w:u w:val="single" w:color="auto"/>
          <w:color w:val="auto"/>
        </w:rPr>
        <w:t>(Unfavorable)</w:t>
      </w:r>
    </w:p>
    <w:p>
      <w:pPr>
        <w:spacing w:after="0" w:line="254"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(6) %</w:t>
      </w:r>
    </w:p>
    <w:p>
      <w:pPr>
        <w:spacing w:after="0" w:line="6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(4) %</w:t>
      </w:r>
    </w:p>
    <w:p>
      <w:pPr>
        <w:spacing w:after="0" w:line="62"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11 %</w:t>
      </w:r>
    </w:p>
    <w:p>
      <w:pPr>
        <w:jc w:val="right"/>
        <w:ind w:right="20"/>
        <w:spacing w:after="0" w:line="193" w:lineRule="auto"/>
        <w:rPr>
          <w:sz w:val="20"/>
          <w:szCs w:val="20"/>
          <w:color w:val="auto"/>
        </w:rPr>
      </w:pPr>
      <w:r>
        <w:rPr>
          <w:rFonts w:ascii="Arial" w:cs="Arial" w:eastAsia="Arial" w:hAnsi="Arial"/>
          <w:sz w:val="13"/>
          <w:szCs w:val="13"/>
          <w:color w:val="auto"/>
        </w:rPr>
        <w:t xml:space="preserve">(4) </w:t>
      </w:r>
      <w:r>
        <w:rPr>
          <w:rFonts w:ascii="Arial" w:cs="Arial" w:eastAsia="Arial" w:hAnsi="Arial"/>
          <w:sz w:val="25"/>
          <w:szCs w:val="25"/>
          <w:color w:val="auto"/>
          <w:vertAlign w:val="subscript"/>
        </w:rPr>
        <w:t>%</w:t>
      </w:r>
    </w:p>
    <w:p>
      <w:pPr>
        <w:spacing w:after="0" w:line="5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(10) %</w:t>
      </w:r>
    </w:p>
    <w:p>
      <w:pPr>
        <w:spacing w:after="0" w:line="6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(7) %</w:t>
      </w:r>
    </w:p>
    <w:p>
      <w:pPr>
        <w:spacing w:after="0" w:line="62"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(17) %</w:t>
      </w:r>
    </w:p>
    <w:p>
      <w:pPr>
        <w:jc w:val="right"/>
        <w:ind w:right="20"/>
        <w:spacing w:after="0" w:line="193" w:lineRule="auto"/>
        <w:rPr>
          <w:sz w:val="20"/>
          <w:szCs w:val="20"/>
          <w:color w:val="auto"/>
        </w:rPr>
      </w:pPr>
      <w:r>
        <w:rPr>
          <w:rFonts w:ascii="Arial" w:cs="Arial" w:eastAsia="Arial" w:hAnsi="Arial"/>
          <w:sz w:val="13"/>
          <w:szCs w:val="13"/>
          <w:color w:val="auto"/>
        </w:rPr>
        <w:t xml:space="preserve">(9) </w:t>
      </w:r>
      <w:r>
        <w:rPr>
          <w:rFonts w:ascii="Arial" w:cs="Arial" w:eastAsia="Arial" w:hAnsi="Arial"/>
          <w:sz w:val="25"/>
          <w:szCs w:val="25"/>
          <w:color w:val="auto"/>
          <w:vertAlign w:val="subscript"/>
        </w:rPr>
        <w:t>%</w:t>
      </w:r>
    </w:p>
    <w:p>
      <w:pPr>
        <w:spacing w:after="0" w:line="5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(27) %</w:t>
      </w:r>
    </w:p>
    <w:p>
      <w:pPr>
        <w:spacing w:after="0" w:line="6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(26) %</w:t>
      </w:r>
    </w:p>
    <w:p>
      <w:pPr>
        <w:spacing w:after="0" w:line="62"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(16) %</w:t>
      </w:r>
    </w:p>
    <w:p>
      <w:pPr>
        <w:jc w:val="right"/>
        <w:ind w:right="20"/>
        <w:spacing w:after="0" w:line="193" w:lineRule="auto"/>
        <w:rPr>
          <w:sz w:val="20"/>
          <w:szCs w:val="20"/>
          <w:color w:val="auto"/>
        </w:rPr>
      </w:pPr>
      <w:r>
        <w:rPr>
          <w:rFonts w:ascii="Arial" w:cs="Arial" w:eastAsia="Arial" w:hAnsi="Arial"/>
          <w:sz w:val="13"/>
          <w:szCs w:val="13"/>
          <w:color w:val="auto"/>
        </w:rPr>
        <w:t xml:space="preserve">(26) </w:t>
      </w:r>
      <w:r>
        <w:rPr>
          <w:rFonts w:ascii="Arial" w:cs="Arial" w:eastAsia="Arial" w:hAnsi="Arial"/>
          <w:sz w:val="25"/>
          <w:szCs w:val="25"/>
          <w:color w:val="auto"/>
          <w:vertAlign w:val="subscript"/>
        </w:rPr>
        <w:t>%</w:t>
      </w:r>
    </w:p>
    <w:p>
      <w:pPr>
        <w:spacing w:after="0" w:line="285"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(8) %</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7 %</w:t>
      </w:r>
    </w:p>
    <w:p>
      <w:pPr>
        <w:spacing w:after="0" w:line="6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(3) %</w:t>
      </w:r>
    </w:p>
    <w:p>
      <w:pPr>
        <w:spacing w:after="0" w:line="6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8 %</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3 %</w:t>
      </w:r>
    </w:p>
    <w:p>
      <w:pPr>
        <w:ind w:left="500"/>
        <w:spacing w:after="0"/>
        <w:rPr>
          <w:sz w:val="20"/>
          <w:szCs w:val="20"/>
          <w:color w:val="auto"/>
        </w:rPr>
      </w:pPr>
      <w:r>
        <w:rPr>
          <w:rFonts w:ascii="Arial" w:cs="Arial" w:eastAsia="Arial" w:hAnsi="Arial"/>
          <w:sz w:val="13"/>
          <w:szCs w:val="13"/>
          <w:color w:val="auto"/>
        </w:rPr>
        <w:t>5 %</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9 %</w:t>
      </w:r>
    </w:p>
    <w:p>
      <w:pPr>
        <w:spacing w:after="0" w:line="6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8 %</w:t>
      </w:r>
    </w:p>
    <w:p>
      <w:pPr>
        <w:spacing w:after="0" w:line="6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(3) %</w:t>
      </w:r>
    </w:p>
    <w:p>
      <w:pPr>
        <w:spacing w:after="0" w:line="62"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5 %</w:t>
      </w:r>
    </w:p>
    <w:p>
      <w:pPr>
        <w:jc w:val="right"/>
        <w:ind w:right="20"/>
        <w:spacing w:after="0"/>
        <w:rPr>
          <w:sz w:val="20"/>
          <w:szCs w:val="20"/>
          <w:color w:val="auto"/>
        </w:rPr>
      </w:pPr>
      <w:r>
        <w:rPr>
          <w:rFonts w:ascii="Arial" w:cs="Arial" w:eastAsia="Arial" w:hAnsi="Arial"/>
          <w:sz w:val="13"/>
          <w:szCs w:val="13"/>
          <w:color w:val="auto"/>
        </w:rPr>
        <w:t>5 %</w:t>
      </w:r>
    </w:p>
    <w:p>
      <w:pPr>
        <w:spacing w:after="0" w:line="13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29 %</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37 %</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31 %</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20 %</w:t>
      </w:r>
    </w:p>
    <w:p>
      <w:pPr>
        <w:jc w:val="right"/>
        <w:ind w:right="20"/>
        <w:spacing w:after="0"/>
        <w:rPr>
          <w:sz w:val="20"/>
          <w:szCs w:val="20"/>
          <w:color w:val="auto"/>
        </w:rPr>
      </w:pPr>
      <w:r>
        <w:rPr>
          <w:rFonts w:ascii="Arial" w:cs="Arial" w:eastAsia="Arial" w:hAnsi="Arial"/>
          <w:sz w:val="13"/>
          <w:szCs w:val="13"/>
          <w:color w:val="auto"/>
        </w:rPr>
        <w:t>28 %</w:t>
      </w:r>
    </w:p>
    <w:p>
      <w:pPr>
        <w:spacing w:after="0" w:line="36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7 %</w:t>
      </w:r>
    </w:p>
    <w:p>
      <w:pPr>
        <w:spacing w:after="0" w:line="33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(6) %</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(&gt;100) %</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(27) %</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(10) %</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(21) %</w:t>
      </w:r>
    </w:p>
    <w:p>
      <w:pPr>
        <w:spacing w:after="0" w:line="7"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(13) %</w:t>
      </w:r>
    </w:p>
    <w:p>
      <w:pPr>
        <w:spacing w:after="0" w:line="13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(7) %</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(&gt;100) %</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(20) %</w:t>
      </w:r>
    </w:p>
    <w:p>
      <w:pPr>
        <w:spacing w:after="0" w:line="416" w:lineRule="exact"/>
        <w:rPr>
          <w:sz w:val="20"/>
          <w:szCs w:val="20"/>
          <w:color w:val="auto"/>
        </w:rPr>
      </w:pPr>
    </w:p>
    <w:p>
      <w:pPr>
        <w:sectPr>
          <w:pgSz w:w="11900" w:h="16838" w:orient="portrait"/>
          <w:cols w:equalWidth="0" w:num="4">
            <w:col w:w="6420" w:space="177"/>
            <w:col w:w="1023" w:space="400"/>
            <w:col w:w="820" w:space="300"/>
            <w:col w:w="760"/>
          </w:cols>
          <w:pgMar w:left="980" w:top="121" w:right="1019" w:bottom="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4080" w:type="dxa"/>
            <w:vAlign w:val="bottom"/>
          </w:tcPr>
          <w:p>
            <w:pPr>
              <w:ind w:left="180"/>
              <w:spacing w:after="0" w:line="139" w:lineRule="exact"/>
              <w:rPr>
                <w:sz w:val="20"/>
                <w:szCs w:val="20"/>
                <w:color w:val="auto"/>
              </w:rPr>
            </w:pPr>
            <w:r>
              <w:rPr>
                <w:rFonts w:ascii="Arial" w:cs="Arial" w:eastAsia="Arial" w:hAnsi="Arial"/>
                <w:sz w:val="13"/>
                <w:szCs w:val="13"/>
                <w:b w:val="1"/>
                <w:bCs w:val="1"/>
                <w:color w:val="auto"/>
              </w:rPr>
              <w:t>expense</w:t>
            </w:r>
          </w:p>
        </w:tc>
        <w:tc>
          <w:tcPr>
            <w:tcW w:w="46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(6,112)</w:t>
            </w:r>
          </w:p>
        </w:tc>
        <w:tc>
          <w:tcPr>
            <w:tcW w:w="900" w:type="dxa"/>
            <w:vAlign w:val="bottom"/>
          </w:tcPr>
          <w:p>
            <w:pPr>
              <w:jc w:val="right"/>
              <w:spacing w:after="0" w:line="139" w:lineRule="exact"/>
              <w:rPr>
                <w:sz w:val="20"/>
                <w:szCs w:val="20"/>
                <w:color w:val="auto"/>
              </w:rPr>
            </w:pPr>
            <w:r>
              <w:rPr>
                <w:rFonts w:ascii="Arial" w:cs="Arial" w:eastAsia="Arial" w:hAnsi="Arial"/>
                <w:sz w:val="13"/>
                <w:szCs w:val="13"/>
                <w:i w:val="1"/>
                <w:iCs w:val="1"/>
                <w:color w:val="auto"/>
              </w:rPr>
              <w:t>(9)%</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46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(59,692)</w:t>
            </w:r>
          </w:p>
        </w:tc>
        <w:tc>
          <w:tcPr>
            <w:tcW w:w="900" w:type="dxa"/>
            <w:vAlign w:val="bottom"/>
          </w:tcPr>
          <w:p>
            <w:pPr>
              <w:jc w:val="right"/>
              <w:spacing w:after="0"/>
              <w:rPr>
                <w:sz w:val="20"/>
                <w:szCs w:val="20"/>
                <w:color w:val="auto"/>
              </w:rPr>
            </w:pPr>
            <w:r>
              <w:rPr>
                <w:rFonts w:ascii="Arial" w:cs="Arial" w:eastAsia="Arial" w:hAnsi="Arial"/>
                <w:sz w:val="13"/>
                <w:szCs w:val="13"/>
                <w:i w:val="1"/>
                <w:iCs w:val="1"/>
                <w:color w:val="auto"/>
              </w:rPr>
              <w:t>(91)%</w:t>
            </w:r>
          </w:p>
        </w:tc>
        <w:tc>
          <w:tcPr>
            <w:tcW w:w="0" w:type="dxa"/>
            <w:vAlign w:val="bottom"/>
          </w:tcPr>
          <w:p>
            <w:pPr>
              <w:spacing w:after="0"/>
              <w:rPr>
                <w:sz w:val="1"/>
                <w:szCs w:val="1"/>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3"/>
                <w:szCs w:val="13"/>
                <w:b w:val="1"/>
                <w:bCs w:val="1"/>
                <w:color w:val="auto"/>
              </w:rPr>
              <w:t>OPERATING INCOME (LOSS)</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 xml:space="preserve">5 </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91"/>
        </w:trPr>
        <w:tc>
          <w:tcPr>
            <w:tcW w:w="408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1,901</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3,064</w:t>
            </w:r>
          </w:p>
        </w:tc>
        <w:tc>
          <w:tcPr>
            <w:tcW w:w="900" w:type="dxa"/>
            <w:vAlign w:val="bottom"/>
          </w:tcPr>
          <w:p>
            <w:pPr>
              <w:jc w:val="right"/>
              <w:spacing w:after="0" w:line="216" w:lineRule="exact"/>
              <w:rPr>
                <w:sz w:val="20"/>
                <w:szCs w:val="20"/>
                <w:color w:val="auto"/>
              </w:rPr>
            </w:pPr>
            <w:r>
              <w:rPr>
                <w:rFonts w:ascii="Arial" w:cs="Arial" w:eastAsia="Arial" w:hAnsi="Arial"/>
                <w:sz w:val="13"/>
                <w:szCs w:val="13"/>
                <w:i w:val="1"/>
                <w:iCs w:val="1"/>
                <w:color w:val="auto"/>
              </w:rPr>
              <w:t xml:space="preserve">14 </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w:t>
            </w:r>
          </w:p>
        </w:tc>
        <w:tc>
          <w:tcPr>
            <w:tcW w:w="900" w:type="dxa"/>
            <w:vAlign w:val="bottom"/>
          </w:tcPr>
          <w:p>
            <w:pPr>
              <w:jc w:val="right"/>
              <w:spacing w:after="0" w:line="230" w:lineRule="exact"/>
              <w:rPr>
                <w:sz w:val="20"/>
                <w:szCs w:val="20"/>
                <w:color w:val="auto"/>
              </w:rPr>
            </w:pPr>
            <w:r>
              <w:rPr>
                <w:rFonts w:ascii="Arial" w:cs="Arial" w:eastAsia="Arial" w:hAnsi="Arial"/>
                <w:sz w:val="13"/>
                <w:szCs w:val="13"/>
                <w:i w:val="1"/>
                <w:iCs w:val="1"/>
                <w:color w:val="auto"/>
              </w:rPr>
              <w:t xml:space="preserve">13 </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96"/>
        </w:trPr>
        <w:tc>
          <w:tcPr>
            <w:tcW w:w="4080" w:type="dxa"/>
            <w:vAlign w:val="bottom"/>
          </w:tcPr>
          <w:p>
            <w:pPr>
              <w:ind w:left="180"/>
              <w:spacing w:after="0"/>
              <w:rPr>
                <w:sz w:val="20"/>
                <w:szCs w:val="20"/>
                <w:color w:val="auto"/>
              </w:rPr>
            </w:pPr>
            <w:r>
              <w:rPr>
                <w:rFonts w:ascii="Arial" w:cs="Arial" w:eastAsia="Arial" w:hAnsi="Arial"/>
                <w:sz w:val="13"/>
                <w:szCs w:val="13"/>
                <w:b w:val="1"/>
                <w:bCs w:val="1"/>
                <w:color w:val="auto"/>
              </w:rPr>
              <w:t>Total operating income (loss)</w:t>
            </w:r>
          </w:p>
        </w:tc>
        <w:tc>
          <w:tcPr>
            <w:tcW w:w="46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5,614</w:t>
            </w:r>
          </w:p>
        </w:tc>
        <w:tc>
          <w:tcPr>
            <w:tcW w:w="900" w:type="dxa"/>
            <w:vAlign w:val="bottom"/>
          </w:tcPr>
          <w:p>
            <w:pPr>
              <w:jc w:val="right"/>
              <w:spacing w:after="0"/>
              <w:rPr>
                <w:sz w:val="20"/>
                <w:szCs w:val="20"/>
                <w:color w:val="auto"/>
              </w:rPr>
            </w:pPr>
            <w:r>
              <w:rPr>
                <w:rFonts w:ascii="Arial" w:cs="Arial" w:eastAsia="Arial" w:hAnsi="Arial"/>
                <w:sz w:val="13"/>
                <w:szCs w:val="13"/>
                <w:i w:val="1"/>
                <w:iCs w:val="1"/>
                <w:color w:val="auto"/>
              </w:rPr>
              <w:t>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-427990</wp:posOffset>
            </wp:positionV>
            <wp:extent cx="63093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630936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936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-719455</wp:posOffset>
            </wp:positionV>
            <wp:extent cx="630936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-1010920</wp:posOffset>
            </wp:positionV>
            <wp:extent cx="630936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9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63" w:hanging="663"/>
        <w:spacing w:after="0"/>
        <w:tabs>
          <w:tab w:leader="none" w:pos="663" w:val="left"/>
        </w:tabs>
        <w:numPr>
          <w:ilvl w:val="0"/>
          <w:numId w:val="84"/>
        </w:numPr>
        <w:rPr>
          <w:rFonts w:ascii="Arial" w:cs="Arial" w:eastAsia="Arial" w:hAnsi="Arial"/>
          <w:sz w:val="10"/>
          <w:szCs w:val="10"/>
          <w:b w:val="1"/>
          <w:bCs w:val="1"/>
          <w:color w:val="auto"/>
        </w:rPr>
      </w:pPr>
      <w:r>
        <w:rPr>
          <w:rFonts w:ascii="Arial" w:cs="Arial" w:eastAsia="Arial" w:hAnsi="Arial"/>
          <w:sz w:val="10"/>
          <w:szCs w:val="10"/>
          <w:b w:val="1"/>
          <w:bCs w:val="1"/>
          <w:color w:val="auto"/>
        </w:rPr>
        <w:t>(5,013)</w:t>
      </w:r>
    </w:p>
    <w:p>
      <w:pPr>
        <w:spacing w:after="0" w:line="330" w:lineRule="exact"/>
        <w:rPr>
          <w:sz w:val="20"/>
          <w:szCs w:val="20"/>
          <w:color w:val="auto"/>
        </w:rPr>
      </w:pPr>
    </w:p>
    <w:p>
      <w:pPr>
        <w:ind w:left="603" w:hanging="603"/>
        <w:spacing w:after="0"/>
        <w:tabs>
          <w:tab w:leader="none" w:pos="603" w:val="left"/>
        </w:tabs>
        <w:numPr>
          <w:ilvl w:val="0"/>
          <w:numId w:val="85"/>
        </w:numPr>
        <w:rPr>
          <w:rFonts w:ascii="Arial" w:cs="Arial" w:eastAsia="Arial" w:hAnsi="Arial"/>
          <w:sz w:val="10"/>
          <w:szCs w:val="10"/>
          <w:b w:val="1"/>
          <w:bCs w:val="1"/>
          <w:color w:val="auto"/>
        </w:rPr>
      </w:pPr>
      <w:r>
        <w:rPr>
          <w:rFonts w:ascii="Arial" w:cs="Arial" w:eastAsia="Arial" w:hAnsi="Arial"/>
          <w:sz w:val="10"/>
          <w:szCs w:val="10"/>
          <w:b w:val="1"/>
          <w:bCs w:val="1"/>
          <w:color w:val="auto"/>
        </w:rPr>
        <w:t>(62,731)</w:t>
      </w:r>
    </w:p>
    <w:p>
      <w:pPr>
        <w:spacing w:after="0" w:line="348" w:lineRule="exact"/>
        <w:rPr>
          <w:sz w:val="20"/>
          <w:szCs w:val="20"/>
          <w:color w:val="auto"/>
        </w:rPr>
      </w:pPr>
    </w:p>
    <w:p>
      <w:pPr>
        <w:ind w:left="703" w:hanging="703"/>
        <w:spacing w:after="0"/>
        <w:tabs>
          <w:tab w:leader="none" w:pos="703" w:val="left"/>
        </w:tabs>
        <w:numPr>
          <w:ilvl w:val="0"/>
          <w:numId w:val="86"/>
        </w:numPr>
        <w:rPr>
          <w:rFonts w:ascii="Arial" w:cs="Arial" w:eastAsia="Arial" w:hAnsi="Arial"/>
          <w:sz w:val="12"/>
          <w:szCs w:val="12"/>
          <w:color w:val="auto"/>
        </w:rPr>
      </w:pPr>
      <w:r>
        <w:rPr>
          <w:rFonts w:ascii="Arial" w:cs="Arial" w:eastAsia="Arial" w:hAnsi="Arial"/>
          <w:sz w:val="12"/>
          <w:szCs w:val="12"/>
          <w:color w:val="auto"/>
        </w:rPr>
        <w:t>2,561</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4,653</w:t>
      </w:r>
    </w:p>
    <w:p>
      <w:pPr>
        <w:spacing w:after="0" w:line="92" w:lineRule="exact"/>
        <w:rPr>
          <w:sz w:val="20"/>
          <w:szCs w:val="20"/>
          <w:color w:val="auto"/>
        </w:rPr>
      </w:pPr>
    </w:p>
    <w:p>
      <w:pPr>
        <w:ind w:left="703"/>
        <w:spacing w:after="0"/>
        <w:rPr>
          <w:sz w:val="20"/>
          <w:szCs w:val="20"/>
          <w:color w:val="auto"/>
        </w:rPr>
      </w:pPr>
      <w:r>
        <w:rPr>
          <w:rFonts w:ascii="Arial" w:cs="Arial" w:eastAsia="Arial" w:hAnsi="Arial"/>
          <w:sz w:val="12"/>
          <w:szCs w:val="12"/>
          <w:color w:val="auto"/>
        </w:rPr>
        <w:t>1,009</w:t>
      </w:r>
    </w:p>
    <w:p>
      <w:pPr>
        <w:spacing w:after="0" w:line="61" w:lineRule="exact"/>
        <w:rPr>
          <w:sz w:val="20"/>
          <w:szCs w:val="20"/>
          <w:color w:val="auto"/>
        </w:rPr>
      </w:pPr>
    </w:p>
    <w:p>
      <w:pPr>
        <w:ind w:left="703" w:hanging="703"/>
        <w:spacing w:after="0"/>
        <w:tabs>
          <w:tab w:leader="none" w:pos="703" w:val="left"/>
        </w:tabs>
        <w:numPr>
          <w:ilvl w:val="0"/>
          <w:numId w:val="87"/>
        </w:numPr>
        <w:rPr>
          <w:rFonts w:ascii="Arial" w:cs="Arial" w:eastAsia="Arial" w:hAnsi="Arial"/>
          <w:sz w:val="12"/>
          <w:szCs w:val="12"/>
          <w:b w:val="1"/>
          <w:bCs w:val="1"/>
          <w:color w:val="auto"/>
        </w:rPr>
      </w:pPr>
      <w:r>
        <w:rPr>
          <w:rFonts w:ascii="Arial" w:cs="Arial" w:eastAsia="Arial" w:hAnsi="Arial"/>
          <w:sz w:val="12"/>
          <w:szCs w:val="12"/>
          <w:b w:val="1"/>
          <w:bCs w:val="1"/>
          <w:color w:val="auto"/>
        </w:rPr>
        <w:t>8,223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60" w:type="dxa"/>
            <w:vAlign w:val="bottom"/>
          </w:tcPr>
          <w:p>
            <w:pPr>
              <w:jc w:val="right"/>
              <w:ind w:right="277"/>
              <w:spacing w:after="0"/>
              <w:rPr>
                <w:sz w:val="20"/>
                <w:szCs w:val="20"/>
                <w:color w:val="auto"/>
              </w:rPr>
            </w:pPr>
            <w:r>
              <w:rPr>
                <w:rFonts w:ascii="Arial" w:cs="Arial" w:eastAsia="Arial" w:hAnsi="Arial"/>
                <w:sz w:val="13"/>
                <w:szCs w:val="13"/>
                <w:i w:val="1"/>
                <w:iCs w:val="1"/>
                <w:color w:val="auto"/>
              </w:rPr>
              <w:t>(7)%</w:t>
            </w:r>
          </w:p>
        </w:tc>
        <w:tc>
          <w:tcPr>
            <w:tcW w:w="700" w:type="dxa"/>
            <w:vAlign w:val="bottom"/>
          </w:tcPr>
          <w:p>
            <w:pPr>
              <w:jc w:val="right"/>
              <w:spacing w:after="0"/>
              <w:rPr>
                <w:sz w:val="20"/>
                <w:szCs w:val="20"/>
                <w:color w:val="auto"/>
              </w:rPr>
            </w:pPr>
            <w:r>
              <w:rPr>
                <w:rFonts w:ascii="Arial" w:cs="Arial" w:eastAsia="Arial" w:hAnsi="Arial"/>
                <w:sz w:val="13"/>
                <w:szCs w:val="13"/>
                <w:color w:val="auto"/>
              </w:rPr>
              <w:t>(22) %</w:t>
            </w:r>
          </w:p>
        </w:tc>
      </w:tr>
      <w:tr>
        <w:trPr>
          <w:trHeight w:val="459"/>
        </w:trPr>
        <w:tc>
          <w:tcPr>
            <w:tcW w:w="660" w:type="dxa"/>
            <w:vAlign w:val="bottom"/>
          </w:tcPr>
          <w:p>
            <w:pPr>
              <w:jc w:val="right"/>
              <w:ind w:right="277"/>
              <w:spacing w:after="0"/>
              <w:rPr>
                <w:sz w:val="20"/>
                <w:szCs w:val="20"/>
                <w:color w:val="auto"/>
              </w:rPr>
            </w:pPr>
            <w:r>
              <w:rPr>
                <w:rFonts w:ascii="Arial" w:cs="Arial" w:eastAsia="Arial" w:hAnsi="Arial"/>
                <w:sz w:val="13"/>
                <w:szCs w:val="13"/>
                <w:i w:val="1"/>
                <w:iCs w:val="1"/>
                <w:color w:val="auto"/>
                <w:w w:val="86"/>
              </w:rPr>
              <w:t>(88)%</w:t>
            </w:r>
          </w:p>
        </w:tc>
        <w:tc>
          <w:tcPr>
            <w:tcW w:w="70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420"/>
        </w:trPr>
        <w:tc>
          <w:tcPr>
            <w:tcW w:w="660" w:type="dxa"/>
            <w:vAlign w:val="bottom"/>
          </w:tcPr>
          <w:p>
            <w:pPr>
              <w:jc w:val="right"/>
              <w:ind w:right="277"/>
              <w:spacing w:after="0"/>
              <w:rPr>
                <w:sz w:val="20"/>
                <w:szCs w:val="20"/>
                <w:color w:val="auto"/>
              </w:rPr>
            </w:pPr>
            <w:r>
              <w:rPr>
                <w:rFonts w:ascii="Arial" w:cs="Arial" w:eastAsia="Arial" w:hAnsi="Arial"/>
                <w:sz w:val="13"/>
                <w:szCs w:val="13"/>
                <w:i w:val="1"/>
                <w:iCs w:val="1"/>
                <w:color w:val="auto"/>
              </w:rPr>
              <w:t xml:space="preserve">6 </w:t>
            </w:r>
            <w:r>
              <w:rPr>
                <w:rFonts w:ascii="Arial" w:cs="Arial" w:eastAsia="Arial" w:hAnsi="Arial"/>
                <w:sz w:val="25"/>
                <w:szCs w:val="25"/>
                <w:i w:val="1"/>
                <w:iCs w:val="1"/>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 %</w:t>
            </w:r>
          </w:p>
        </w:tc>
      </w:tr>
      <w:tr>
        <w:trPr>
          <w:trHeight w:val="216"/>
        </w:trPr>
        <w:tc>
          <w:tcPr>
            <w:tcW w:w="660" w:type="dxa"/>
            <w:vAlign w:val="bottom"/>
          </w:tcPr>
          <w:p>
            <w:pPr>
              <w:jc w:val="right"/>
              <w:ind w:right="277"/>
              <w:spacing w:after="0" w:line="216" w:lineRule="exact"/>
              <w:rPr>
                <w:sz w:val="20"/>
                <w:szCs w:val="20"/>
                <w:color w:val="auto"/>
              </w:rPr>
            </w:pPr>
            <w:r>
              <w:rPr>
                <w:rFonts w:ascii="Arial" w:cs="Arial" w:eastAsia="Arial" w:hAnsi="Arial"/>
                <w:sz w:val="13"/>
                <w:szCs w:val="13"/>
                <w:i w:val="1"/>
                <w:iCs w:val="1"/>
                <w:color w:val="auto"/>
                <w:w w:val="91"/>
              </w:rPr>
              <w:t xml:space="preserve">19 </w:t>
            </w:r>
            <w:r>
              <w:rPr>
                <w:rFonts w:ascii="Arial" w:cs="Arial" w:eastAsia="Arial" w:hAnsi="Arial"/>
                <w:sz w:val="25"/>
                <w:szCs w:val="25"/>
                <w:i w:val="1"/>
                <w:iCs w:val="1"/>
                <w:color w:val="auto"/>
                <w:w w:val="91"/>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 %</w:t>
            </w:r>
          </w:p>
        </w:tc>
      </w:tr>
      <w:tr>
        <w:trPr>
          <w:trHeight w:val="311"/>
        </w:trPr>
        <w:tc>
          <w:tcPr>
            <w:tcW w:w="660" w:type="dxa"/>
            <w:vAlign w:val="bottom"/>
          </w:tcPr>
          <w:p>
            <w:pPr>
              <w:jc w:val="right"/>
              <w:ind w:right="277"/>
              <w:spacing w:after="0"/>
              <w:rPr>
                <w:sz w:val="20"/>
                <w:szCs w:val="20"/>
                <w:color w:val="auto"/>
              </w:rPr>
            </w:pPr>
            <w:r>
              <w:rPr>
                <w:rFonts w:ascii="Arial" w:cs="Arial" w:eastAsia="Arial" w:hAnsi="Arial"/>
                <w:sz w:val="13"/>
                <w:szCs w:val="13"/>
                <w:i w:val="1"/>
                <w:iCs w:val="1"/>
                <w:color w:val="auto"/>
                <w:w w:val="91"/>
              </w:rPr>
              <w:t xml:space="preserve">15 </w:t>
            </w:r>
            <w:r>
              <w:rPr>
                <w:rFonts w:ascii="Arial" w:cs="Arial" w:eastAsia="Arial" w:hAnsi="Arial"/>
                <w:sz w:val="25"/>
                <w:szCs w:val="25"/>
                <w:i w:val="1"/>
                <w:iCs w:val="1"/>
                <w:color w:val="auto"/>
                <w:w w:val="91"/>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 %</w:t>
            </w:r>
          </w:p>
        </w:tc>
      </w:tr>
      <w:tr>
        <w:trPr>
          <w:trHeight w:val="160"/>
        </w:trPr>
        <w:tc>
          <w:tcPr>
            <w:tcW w:w="660" w:type="dxa"/>
            <w:vAlign w:val="bottom"/>
          </w:tcPr>
          <w:p>
            <w:pPr>
              <w:jc w:val="right"/>
              <w:ind w:right="277"/>
              <w:spacing w:after="0"/>
              <w:rPr>
                <w:sz w:val="20"/>
                <w:szCs w:val="20"/>
                <w:color w:val="auto"/>
              </w:rPr>
            </w:pPr>
            <w:r>
              <w:rPr>
                <w:rFonts w:ascii="Arial" w:cs="Arial" w:eastAsia="Arial" w:hAnsi="Arial"/>
                <w:sz w:val="13"/>
                <w:szCs w:val="13"/>
                <w:i w:val="1"/>
                <w:iCs w:val="1"/>
                <w:color w:val="auto"/>
              </w:rPr>
              <w:t>12 %</w:t>
            </w:r>
          </w:p>
        </w:tc>
        <w:tc>
          <w:tcPr>
            <w:tcW w:w="700" w:type="dxa"/>
            <w:vAlign w:val="bottom"/>
          </w:tcPr>
          <w:p>
            <w:pPr>
              <w:jc w:val="right"/>
              <w:spacing w:after="0"/>
              <w:rPr>
                <w:sz w:val="20"/>
                <w:szCs w:val="20"/>
                <w:color w:val="auto"/>
              </w:rPr>
            </w:pPr>
            <w:r>
              <w:rPr>
                <w:rFonts w:ascii="Arial" w:cs="Arial" w:eastAsia="Arial" w:hAnsi="Arial"/>
                <w:sz w:val="13"/>
                <w:szCs w:val="13"/>
                <w:color w:val="auto"/>
              </w:rPr>
              <w:t>(32) %</w:t>
            </w:r>
          </w:p>
        </w:tc>
      </w:tr>
    </w:tbl>
    <w:p>
      <w:pPr>
        <w:spacing w:after="0" w:line="202" w:lineRule="exact"/>
        <w:rPr>
          <w:sz w:val="20"/>
          <w:szCs w:val="20"/>
          <w:color w:val="auto"/>
        </w:rPr>
      </w:pPr>
    </w:p>
    <w:p>
      <w:pPr>
        <w:sectPr>
          <w:pgSz w:w="11900" w:h="16838" w:orient="portrait"/>
          <w:cols w:equalWidth="0" w:num="3">
            <w:col w:w="6260" w:space="337"/>
            <w:col w:w="1203" w:space="720"/>
            <w:col w:w="1380"/>
          </w:cols>
          <w:pgMar w:left="980" w:top="121" w:right="1019"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Exhibition Segment Operating Income</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Cinema Exhibition segment operating income decreased by 40%, or $15.5 million, to $23.3 million for the year ended December 31, 2019 compared to December 31, 2018, primarily driven by a reduction in admissions revenue in the U.S. by 13%, or $12.9 million as a result of weaker specialty film product in 2019. This was further impacted by the ongoing temporary closure of Reading Cinemas at Courtenay Central in New Zealand. This decrease is partially offset by (i) savings in operating expenses in all three circuits, mainly due to the decrease in associated film rent and, to a lesser extent, the cost of F&amp;B and (ii) increases in F&amp;B revenues per cap.</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Cinema Exhibition segment operating income for the quarter ended December 31, 2019 decreased by 32%, or $2.6 million, to $5.6 million compared to the quarter ended December 31, 2018, primarily driven by an overall decrease in admissions and F&amp;B revenue in all three jurisdictions.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Measured in local currencies, these decreases were slightly lower as reported results were dampened further by the weakening of the Australian and New Zealand dollars compared to the U.S. dollar in 2019.</w:t>
      </w:r>
    </w:p>
    <w:p>
      <w:pPr>
        <w:sectPr>
          <w:pgSz w:w="11900" w:h="16838" w:orient="portrait"/>
          <w:cols w:equalWidth="0" w:num="1">
            <w:col w:w="9900"/>
          </w:cols>
          <w:pgMar w:left="980" w:top="121" w:right="1019" w:bottom="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70485</wp:posOffset>
            </wp:positionV>
            <wp:extent cx="635190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Cinema revenue decreased by 11%, or $31.5 million, to $262.2 million for the year ended December 31, 2019 compared to 2018. This decrease was primarily driven by lower admissions in all three of our geographies, resulting in lower admissions revenue and F&amp;B revenue. These decreases were further impacted by (i) the weakening of the Australia and New Zealand dollars by 7.0% and 4.9% (on average rates), respectively, (ii) the decline in cinema revenue due to a weak film product, (iii) the closure of some of our cinemas and auditoriums for renovation in 2019, and (iv) the closure of two of our New York cinemas.</w:t>
      </w:r>
    </w:p>
    <w:p>
      <w:pPr>
        <w:spacing w:after="0" w:line="17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For the quarter ended December 31, 2019, Cinema segment revenues decreased 8%, or $5.6 million, to $65.3 million compared to the same quarter in 2018. This decrease is driven by lower admissions in all three circuits further impacted by the continued temporary closure of our Reading Cinemas at Courtenay Central and the recent temporary closure of Consolidated Theatres Kahala for renovation, offset by the full quarter of operations for Mililani during 2019 as it was closed for renovations for part of the same quarter in the prior year. These results were further impacted by the weakening of the Australian and New Zealand dollars in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is the revenue breakdown, by country, for the years ended December 31, 2019 and 2018,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 of</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178"/>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147,653</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56 %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161,797</w:t>
            </w: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55 %</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4"/>
                <w:szCs w:val="14"/>
                <w:color w:val="auto"/>
              </w:rPr>
              <w:t>Australia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93,508</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36 %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101,996</w:t>
            </w:r>
          </w:p>
        </w:tc>
        <w:tc>
          <w:tcPr>
            <w:tcW w:w="920" w:type="dxa"/>
            <w:vAlign w:val="bottom"/>
            <w:gridSpan w:val="2"/>
          </w:tcPr>
          <w:p>
            <w:pPr>
              <w:jc w:val="right"/>
              <w:ind w:right="28"/>
              <w:spacing w:after="0"/>
              <w:rPr>
                <w:sz w:val="20"/>
                <w:szCs w:val="20"/>
                <w:color w:val="auto"/>
              </w:rPr>
            </w:pPr>
            <w:r>
              <w:rPr>
                <w:rFonts w:ascii="Arial" w:cs="Arial" w:eastAsia="Arial" w:hAnsi="Arial"/>
                <w:sz w:val="14"/>
                <w:szCs w:val="14"/>
                <w:i w:val="1"/>
                <w:iCs w:val="1"/>
                <w:color w:val="auto"/>
              </w:rPr>
              <w:t>35 %</w:t>
            </w:r>
          </w:p>
        </w:tc>
        <w:tc>
          <w:tcPr>
            <w:tcW w:w="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New Zealand</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21,028</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8 %</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29,930</w:t>
            </w: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10 %</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Segment Revenues</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262,189</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100 %</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293,723</w:t>
            </w:r>
          </w:p>
        </w:tc>
        <w:tc>
          <w:tcPr>
            <w:tcW w:w="920" w:type="dxa"/>
            <w:vAlign w:val="bottom"/>
            <w:gridSpan w:val="2"/>
          </w:tcPr>
          <w:p>
            <w:pPr>
              <w:jc w:val="right"/>
              <w:ind w:right="28"/>
              <w:spacing w:after="0"/>
              <w:rPr>
                <w:sz w:val="20"/>
                <w:szCs w:val="20"/>
                <w:color w:val="auto"/>
              </w:rPr>
            </w:pPr>
            <w:r>
              <w:rPr>
                <w:rFonts w:ascii="Arial" w:cs="Arial" w:eastAsia="Arial" w:hAnsi="Arial"/>
                <w:sz w:val="14"/>
                <w:szCs w:val="14"/>
                <w:i w:val="1"/>
                <w:iCs w:val="1"/>
                <w:color w:val="auto"/>
              </w:rPr>
              <w:t>100 %</w:t>
            </w:r>
          </w:p>
        </w:tc>
        <w:tc>
          <w:tcPr>
            <w:tcW w:w="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40" w:right="360" w:hanging="320"/>
        <w:spacing w:after="0" w:line="198" w:lineRule="auto"/>
        <w:tabs>
          <w:tab w:leader="none" w:pos="64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In the United States, cinema revenues decreased by 9%, or $14.1 million, primarily driven by a 14% decrease in attendance, offset by an increase of 11% in SPP and a 2% increase in Average Ticket Price (“ATP”).</w:t>
      </w:r>
    </w:p>
    <w:p>
      <w:pPr>
        <w:spacing w:after="0" w:line="80" w:lineRule="exact"/>
        <w:rPr>
          <w:rFonts w:ascii="Arial" w:cs="Arial" w:eastAsia="Arial" w:hAnsi="Arial"/>
          <w:sz w:val="29"/>
          <w:szCs w:val="29"/>
          <w:color w:val="auto"/>
          <w:vertAlign w:val="superscript"/>
        </w:rPr>
      </w:pPr>
    </w:p>
    <w:p>
      <w:pPr>
        <w:ind w:left="640" w:right="20" w:hanging="320"/>
        <w:spacing w:after="0" w:line="212" w:lineRule="auto"/>
        <w:tabs>
          <w:tab w:leader="none" w:pos="64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Australia’s cinema revenue decreased by 8%, or $8.5 million, primarily due to a 9% decrease in attendance and a 1% decrease in SPP offset by a slight favorable increase in ATP. Of this decrease, 7 percentage points were attributable to declines in the value of the Australian dollar.</w:t>
      </w:r>
    </w:p>
    <w:p>
      <w:pPr>
        <w:spacing w:after="0" w:line="82" w:lineRule="exact"/>
        <w:rPr>
          <w:rFonts w:ascii="Arial" w:cs="Arial" w:eastAsia="Arial" w:hAnsi="Arial"/>
          <w:sz w:val="29"/>
          <w:szCs w:val="29"/>
          <w:color w:val="auto"/>
          <w:vertAlign w:val="superscript"/>
        </w:rPr>
      </w:pPr>
    </w:p>
    <w:p>
      <w:pPr>
        <w:ind w:left="640" w:right="140" w:hanging="320"/>
        <w:spacing w:after="0" w:line="238" w:lineRule="auto"/>
        <w:tabs>
          <w:tab w:leader="none" w:pos="640" w:val="left"/>
        </w:tabs>
        <w:numPr>
          <w:ilvl w:val="0"/>
          <w:numId w:val="88"/>
        </w:numPr>
        <w:rPr>
          <w:rFonts w:ascii="Arial" w:cs="Arial" w:eastAsia="Arial" w:hAnsi="Arial"/>
          <w:sz w:val="26"/>
          <w:szCs w:val="26"/>
          <w:color w:val="auto"/>
          <w:vertAlign w:val="superscript"/>
        </w:rPr>
      </w:pPr>
      <w:r>
        <w:rPr>
          <w:rFonts w:ascii="Arial" w:cs="Arial" w:eastAsia="Arial" w:hAnsi="Arial"/>
          <w:sz w:val="16"/>
          <w:szCs w:val="16"/>
          <w:color w:val="auto"/>
        </w:rPr>
        <w:t>In New Zealand, cinema revenue decreased by 30%, or $8.9 million, mainly due to a 32% decrease in attendance due primarily to the ongoing temporary closure of our Reading Cinemas at Courtenay Central countered by a 5% increase in ATP and a 4% increase in SPP. Of this decrease, 4 percentage points were attributable to declines in the value of the New Zealand dollar.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Operating expense for 2019 decreased by 7%, or $17.4 million, to $217.4 million mainly attributable to (i) lower film rent expense driven by lower admissions revenue, (ii) lower occupancy expenses and (iii) a lesser extent, lower F&amp;B costs due to lower F&amp;B revenue primarily in New Zealand (significantly due to the ongoing temporary closure of our Courtenay Central cinema).</w:t>
      </w:r>
    </w:p>
    <w:p>
      <w:pPr>
        <w:spacing w:after="0" w:line="16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Operating Expense as a percentage of gross revenue increased to 83% in 2019 from 80% in 2018 due to the lower than anticipated admissions revenue and the fact that certain of our occupancy costs are generally fixed and cannot be adjusted to reflect such lower admission levels.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quarter ended December 31, 2019, operating expense decreased by 7%, or $4.1 million, to $53.6 million compared to</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December 31, 2018, primarily due to lower film rent expense, and in some cases, lower occupancy expenses and F&amp;B costs, as a result of lower admissions in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General and Administrative Expense</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Depreciation, amortization, general and administrative expense for 2019 cinema operations increased by 7%, or $1.4 million, to $21.5 million compared to 2018 primarily driven by an increase in depreciation resulting from improvements in several of our cinema facilities.</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amortization, general and administrative expense for the quarter ended December 31, 2019 increased by 22%, or $1.1 million, to $6.1 million primarily from the refurbishments and capital investments in all three circuits.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50" w:name="page51"/>
    <w:bookmarkEnd w:id="50"/>
    <w:p>
      <w:pPr>
        <w:ind w:right="40"/>
        <w:spacing w:after="0" w:line="282" w:lineRule="auto"/>
        <w:rPr>
          <w:sz w:val="20"/>
          <w:szCs w:val="20"/>
          <w:color w:val="auto"/>
        </w:rPr>
      </w:pPr>
      <w:r>
        <w:rPr>
          <w:rFonts w:ascii="Arial" w:cs="Arial" w:eastAsia="Arial" w:hAnsi="Arial"/>
          <w:sz w:val="18"/>
          <w:szCs w:val="18"/>
          <w:b w:val="1"/>
          <w:bCs w:val="1"/>
          <w:u w:val="single" w:color="auto"/>
          <w:color w:val="auto"/>
        </w:rPr>
        <w:t>Real Estate</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Real Estate segment operating results for the years ended December 31, 2019 and 2018,</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respectively: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2019 vs. 2018</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c>
          <w:tcPr>
            <w:tcW w:w="0" w:type="dxa"/>
            <w:vAlign w:val="bottom"/>
          </w:tcPr>
          <w:p>
            <w:pPr>
              <w:spacing w:after="0"/>
              <w:rPr>
                <w:sz w:val="1"/>
                <w:szCs w:val="1"/>
                <w:color w:val="auto"/>
              </w:rPr>
            </w:pPr>
          </w:p>
        </w:tc>
      </w:tr>
      <w:tr>
        <w:trPr>
          <w:trHeight w:val="160"/>
        </w:trPr>
        <w:tc>
          <w:tcPr>
            <w:tcW w:w="1480" w:type="dxa"/>
            <w:vAlign w:val="bottom"/>
          </w:tcPr>
          <w:p>
            <w:pPr>
              <w:spacing w:after="0"/>
              <w:rPr>
                <w:sz w:val="20"/>
                <w:szCs w:val="20"/>
                <w:color w:val="auto"/>
              </w:rPr>
            </w:pPr>
            <w:r>
              <w:rPr>
                <w:rFonts w:ascii="Arial" w:cs="Arial" w:eastAsia="Arial" w:hAnsi="Arial"/>
                <w:sz w:val="13"/>
                <w:szCs w:val="13"/>
                <w:i w:val="1"/>
                <w:iCs w:val="1"/>
                <w:color w:val="auto"/>
              </w:rPr>
              <w:t>(Dollars in thousands)</w:t>
            </w:r>
          </w:p>
        </w:tc>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37"/>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i w:val="1"/>
                <w:iCs w:val="1"/>
                <w:color w:val="auto"/>
              </w:rPr>
              <w:t>% of Revenue</w:t>
            </w:r>
          </w:p>
        </w:tc>
        <w:tc>
          <w:tcPr>
            <w:tcW w:w="22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3"/>
                <w:szCs w:val="13"/>
                <w:i w:val="1"/>
                <w:iCs w:val="1"/>
                <w:color w:val="auto"/>
              </w:rPr>
              <w:t>% of Revenue</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216"/>
        </w:trPr>
        <w:tc>
          <w:tcPr>
            <w:tcW w:w="14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REVENUE</w:t>
            </w:r>
          </w:p>
        </w:tc>
        <w:tc>
          <w:tcPr>
            <w:tcW w:w="2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United States</w:t>
            </w:r>
          </w:p>
        </w:tc>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Live theatre rental and ancillary income</w:t>
            </w: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89 %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91 %</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Property rental income</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11 %</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i w:val="1"/>
                <w:iCs w:val="1"/>
                <w:color w:val="auto"/>
              </w:rPr>
              <w:t>9 %</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48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3,848</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77"/>
              <w:spacing w:after="0" w:line="141" w:lineRule="exact"/>
              <w:rPr>
                <w:sz w:val="20"/>
                <w:szCs w:val="20"/>
                <w:color w:val="auto"/>
              </w:rPr>
            </w:pPr>
            <w:r>
              <w:rPr>
                <w:rFonts w:ascii="Arial" w:cs="Arial" w:eastAsia="Arial" w:hAnsi="Arial"/>
                <w:sz w:val="13"/>
                <w:szCs w:val="13"/>
                <w:i w:val="1"/>
                <w:iCs w:val="1"/>
                <w:color w:val="auto"/>
              </w:rPr>
              <w:t>100 %</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3,480</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7"/>
              <w:spacing w:after="0" w:line="141" w:lineRule="exact"/>
              <w:rPr>
                <w:sz w:val="20"/>
                <w:szCs w:val="20"/>
                <w:color w:val="auto"/>
              </w:rPr>
            </w:pPr>
            <w:r>
              <w:rPr>
                <w:rFonts w:ascii="Arial" w:cs="Arial" w:eastAsia="Arial" w:hAnsi="Arial"/>
                <w:sz w:val="13"/>
                <w:szCs w:val="13"/>
                <w:i w:val="1"/>
                <w:iCs w:val="1"/>
                <w:color w:val="auto"/>
              </w:rPr>
              <w:t>100 %</w:t>
            </w: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11</w:t>
            </w:r>
          </w:p>
        </w:tc>
        <w:tc>
          <w:tcPr>
            <w:tcW w:w="18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480" w:type="dxa"/>
            <w:vAlign w:val="bottom"/>
          </w:tcPr>
          <w:p>
            <w:pPr>
              <w:ind w:left="160"/>
              <w:spacing w:after="0"/>
              <w:rPr>
                <w:sz w:val="20"/>
                <w:szCs w:val="20"/>
                <w:color w:val="auto"/>
              </w:rPr>
            </w:pPr>
            <w:r>
              <w:rPr>
                <w:rFonts w:ascii="Arial" w:cs="Arial" w:eastAsia="Arial" w:hAnsi="Arial"/>
                <w:sz w:val="13"/>
                <w:szCs w:val="13"/>
                <w:b w:val="1"/>
                <w:bCs w:val="1"/>
                <w:color w:val="auto"/>
              </w:rPr>
              <w:t>Australia</w:t>
            </w:r>
          </w:p>
        </w:tc>
        <w:tc>
          <w:tcPr>
            <w:tcW w:w="2680" w:type="dxa"/>
            <w:vAlign w:val="bottom"/>
          </w:tcPr>
          <w:p>
            <w:pPr>
              <w:ind w:left="60"/>
              <w:spacing w:after="0"/>
              <w:rPr>
                <w:sz w:val="20"/>
                <w:szCs w:val="20"/>
                <w:color w:val="auto"/>
              </w:rPr>
            </w:pPr>
            <w:r>
              <w:rPr>
                <w:rFonts w:ascii="Arial" w:cs="Arial" w:eastAsia="Arial" w:hAnsi="Arial"/>
                <w:sz w:val="13"/>
                <w:szCs w:val="13"/>
                <w:color w:val="auto"/>
              </w:rPr>
              <w:t>Property rental income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15,656</w:t>
            </w:r>
          </w:p>
        </w:tc>
        <w:tc>
          <w:tcPr>
            <w:tcW w:w="160" w:type="dxa"/>
            <w:vAlign w:val="bottom"/>
          </w:tcPr>
          <w:p>
            <w:pPr>
              <w:spacing w:after="0"/>
              <w:rPr>
                <w:sz w:val="12"/>
                <w:szCs w:val="12"/>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16,122</w:t>
            </w:r>
          </w:p>
        </w:tc>
        <w:tc>
          <w:tcPr>
            <w:tcW w:w="16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1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New Zealand</w:t>
            </w:r>
          </w:p>
        </w:tc>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Property rental income</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4,633</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r>
        <w:trPr>
          <w:trHeight w:val="68"/>
        </w:trPr>
        <w:tc>
          <w:tcPr>
            <w:tcW w:w="1480" w:type="dxa"/>
            <w:vAlign w:val="bottom"/>
            <w:tcBorders>
              <w:bottom w:val="single" w:sz="8" w:color="CCEEFF"/>
            </w:tcBorders>
            <w:shd w:val="clear" w:color="auto" w:fill="CCEEFF"/>
          </w:tcPr>
          <w:p>
            <w:pPr>
              <w:spacing w:after="0"/>
              <w:rPr>
                <w:sz w:val="5"/>
                <w:szCs w:val="5"/>
                <w:color w:val="auto"/>
              </w:rPr>
            </w:pPr>
          </w:p>
        </w:tc>
        <w:tc>
          <w:tcPr>
            <w:tcW w:w="26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480" w:type="dxa"/>
            <w:vAlign w:val="bottom"/>
            <w:tcBorders>
              <w:bottom w:val="single" w:sz="8" w:color="CCEEFF"/>
            </w:tcBorders>
          </w:tcPr>
          <w:p>
            <w:pPr>
              <w:ind w:left="160"/>
              <w:spacing w:after="0"/>
              <w:rPr>
                <w:sz w:val="20"/>
                <w:szCs w:val="20"/>
                <w:color w:val="auto"/>
              </w:rPr>
            </w:pPr>
            <w:r>
              <w:rPr>
                <w:rFonts w:ascii="Arial" w:cs="Arial" w:eastAsia="Arial" w:hAnsi="Arial"/>
                <w:sz w:val="13"/>
                <w:szCs w:val="13"/>
                <w:b w:val="1"/>
                <w:bCs w:val="1"/>
                <w:color w:val="auto"/>
              </w:rPr>
              <w:t>Total revenue</w:t>
            </w:r>
          </w:p>
        </w:tc>
        <w:tc>
          <w:tcPr>
            <w:tcW w:w="26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21,905</w:t>
            </w: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24,235</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EXPENSE</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rPr>
                <w:sz w:val="20"/>
                <w:szCs w:val="20"/>
                <w:color w:val="auto"/>
              </w:rPr>
            </w:pPr>
            <w:r>
              <w:rPr>
                <w:rFonts w:ascii="Arial" w:cs="Arial" w:eastAsia="Arial" w:hAnsi="Arial"/>
                <w:sz w:val="13"/>
                <w:szCs w:val="13"/>
                <w:b w:val="1"/>
                <w:bCs w:val="1"/>
                <w:color w:val="auto"/>
              </w:rPr>
              <w:t>United States</w:t>
            </w:r>
          </w:p>
        </w:tc>
        <w:tc>
          <w:tcPr>
            <w:tcW w:w="2680" w:type="dxa"/>
            <w:vAlign w:val="bottom"/>
          </w:tcPr>
          <w:p>
            <w:pPr>
              <w:ind w:left="60"/>
              <w:spacing w:after="0"/>
              <w:rPr>
                <w:sz w:val="20"/>
                <w:szCs w:val="20"/>
                <w:color w:val="auto"/>
              </w:rPr>
            </w:pPr>
            <w:r>
              <w:rPr>
                <w:rFonts w:ascii="Arial" w:cs="Arial" w:eastAsia="Arial" w:hAnsi="Arial"/>
                <w:sz w:val="13"/>
                <w:szCs w:val="13"/>
                <w:color w:val="auto"/>
              </w:rPr>
              <w:t>Live theatre cost</w:t>
            </w:r>
          </w:p>
        </w:tc>
        <w:tc>
          <w:tcPr>
            <w:tcW w:w="4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(1,271)</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(33)%</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(1,222)</w:t>
            </w: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(35)%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Property cost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(640)</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(520)</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(507)</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(696)</w:t>
            </w: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(20)%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(2,418)</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(63)%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(2,438)</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(70)%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rPr>
                <w:sz w:val="20"/>
                <w:szCs w:val="20"/>
                <w:color w:val="auto"/>
              </w:rPr>
            </w:pPr>
            <w:r>
              <w:rPr>
                <w:rFonts w:ascii="Arial" w:cs="Arial" w:eastAsia="Arial" w:hAnsi="Arial"/>
                <w:sz w:val="13"/>
                <w:szCs w:val="13"/>
                <w:b w:val="1"/>
                <w:bCs w:val="1"/>
                <w:color w:val="auto"/>
              </w:rPr>
              <w:t>Australia</w:t>
            </w:r>
          </w:p>
        </w:tc>
        <w:tc>
          <w:tcPr>
            <w:tcW w:w="2680" w:type="dxa"/>
            <w:vAlign w:val="bottom"/>
          </w:tcPr>
          <w:p>
            <w:pPr>
              <w:ind w:left="60"/>
              <w:spacing w:after="0"/>
              <w:rPr>
                <w:sz w:val="20"/>
                <w:szCs w:val="20"/>
                <w:color w:val="auto"/>
              </w:rPr>
            </w:pPr>
            <w:r>
              <w:rPr>
                <w:rFonts w:ascii="Arial" w:cs="Arial" w:eastAsia="Arial" w:hAnsi="Arial"/>
                <w:sz w:val="13"/>
                <w:szCs w:val="13"/>
                <w:color w:val="auto"/>
              </w:rPr>
              <w:t>Property cost</w:t>
            </w:r>
          </w:p>
        </w:tc>
        <w:tc>
          <w:tcPr>
            <w:tcW w:w="4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(2,810)</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(18)%</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(3,138)</w:t>
            </w: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(19)%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Occupancy expense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(2,648)</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(2,531)</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(5,458)</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(35)%</w:t>
            </w:r>
          </w:p>
        </w:tc>
        <w:tc>
          <w:tcPr>
            <w:tcW w:w="140" w:type="dxa"/>
            <w:vAlign w:val="bottom"/>
          </w:tcPr>
          <w:p>
            <w:pPr>
              <w:spacing w:after="0"/>
              <w:rPr>
                <w:sz w:val="17"/>
                <w:szCs w:val="17"/>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(5,669)</w:t>
            </w: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(35)%</w:t>
            </w: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New Zealand</w:t>
            </w:r>
          </w:p>
        </w:tc>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Property cost</w:t>
            </w: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(1,073)</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(1,199)</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(26)%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(504)</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(598)</w:t>
            </w: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(13)%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(1,577)</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(66)%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(1,797)</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(39)%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w w:val="86"/>
              </w:rPr>
              <w:t>Total operating expense</w:t>
            </w:r>
          </w:p>
        </w:tc>
        <w:tc>
          <w:tcPr>
            <w:tcW w:w="2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(9,453)</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(9,904)</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90"/>
        </w:trPr>
        <w:tc>
          <w:tcPr>
            <w:tcW w:w="4160" w:type="dxa"/>
            <w:vAlign w:val="bottom"/>
            <w:tcBorders>
              <w:top w:val="single" w:sz="8" w:color="CCEEFF"/>
            </w:tcBorders>
            <w:gridSpan w:val="2"/>
          </w:tcPr>
          <w:p>
            <w:pPr>
              <w:spacing w:after="0" w:line="91" w:lineRule="exact"/>
              <w:rPr>
                <w:sz w:val="20"/>
                <w:szCs w:val="20"/>
                <w:color w:val="auto"/>
              </w:rPr>
            </w:pPr>
            <w:r>
              <w:rPr>
                <w:rFonts w:ascii="Arial" w:cs="Arial" w:eastAsia="Arial" w:hAnsi="Arial"/>
                <w:sz w:val="10"/>
                <w:szCs w:val="10"/>
                <w:b w:val="1"/>
                <w:bCs w:val="1"/>
                <w:color w:val="auto"/>
              </w:rPr>
              <w:t>DEPRECIATION, AMORTIZATION, GENERAL AND</w:t>
            </w:r>
          </w:p>
        </w:tc>
        <w:tc>
          <w:tcPr>
            <w:tcW w:w="160" w:type="dxa"/>
            <w:vAlign w:val="bottom"/>
            <w:tcBorders>
              <w:top w:val="single" w:sz="8" w:color="CCEEFF"/>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84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114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62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ADMINISTRATIVE EXPENSE</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United States</w:t>
            </w:r>
          </w:p>
        </w:tc>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Depreciation and amortization</w:t>
            </w: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(778)</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(777)</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(22)%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3"/>
                <w:szCs w:val="13"/>
                <w:color w:val="auto"/>
              </w:rPr>
              <w:t>General and administrative expense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(588)</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(627)</w:t>
            </w: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(1,366)</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(35)%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(1,404)</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(40)%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rPr>
                <w:sz w:val="20"/>
                <w:szCs w:val="20"/>
                <w:color w:val="auto"/>
              </w:rPr>
            </w:pPr>
            <w:r>
              <w:rPr>
                <w:rFonts w:ascii="Arial" w:cs="Arial" w:eastAsia="Arial" w:hAnsi="Arial"/>
                <w:sz w:val="13"/>
                <w:szCs w:val="13"/>
                <w:b w:val="1"/>
                <w:bCs w:val="1"/>
                <w:color w:val="auto"/>
              </w:rPr>
              <w:t>Australia</w:t>
            </w:r>
          </w:p>
        </w:tc>
        <w:tc>
          <w:tcPr>
            <w:tcW w:w="2680" w:type="dxa"/>
            <w:vAlign w:val="bottom"/>
          </w:tcPr>
          <w:p>
            <w:pPr>
              <w:ind w:left="60"/>
              <w:spacing w:after="0"/>
              <w:rPr>
                <w:sz w:val="20"/>
                <w:szCs w:val="20"/>
                <w:color w:val="auto"/>
              </w:rPr>
            </w:pPr>
            <w:r>
              <w:rPr>
                <w:rFonts w:ascii="Arial" w:cs="Arial" w:eastAsia="Arial" w:hAnsi="Arial"/>
                <w:sz w:val="13"/>
                <w:szCs w:val="13"/>
                <w:color w:val="auto"/>
              </w:rPr>
              <w:t>Depreciation and amortization</w:t>
            </w:r>
          </w:p>
        </w:tc>
        <w:tc>
          <w:tcPr>
            <w:tcW w:w="4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(3,622)</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(23)%</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(3,752)</w:t>
            </w: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(23)%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General and administrative expense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(1,127)</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(1,699)</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(4,749)</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(30)%</w:t>
            </w:r>
          </w:p>
        </w:tc>
        <w:tc>
          <w:tcPr>
            <w:tcW w:w="140" w:type="dxa"/>
            <w:vAlign w:val="bottom"/>
          </w:tcPr>
          <w:p>
            <w:pPr>
              <w:spacing w:after="0"/>
              <w:rPr>
                <w:sz w:val="17"/>
                <w:szCs w:val="17"/>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(5,451)</w:t>
            </w: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(34)%</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New Zealand</w:t>
            </w:r>
          </w:p>
        </w:tc>
        <w:tc>
          <w:tcPr>
            <w:tcW w:w="2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Depreciation and amortization</w:t>
            </w: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(992)</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(1,038)</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(22)%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3"/>
                <w:szCs w:val="13"/>
                <w:color w:val="auto"/>
              </w:rPr>
              <w:t>General and administrative expense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(204)</w:t>
            </w: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3"/>
                <w:szCs w:val="13"/>
                <w:i w:val="1"/>
                <w:i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(1,196)</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(50)%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(1,038)</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(22)%</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w w:val="88"/>
              </w:rPr>
              <w:t>Total depreciation, amortization, and general and administrative expense</w:t>
            </w: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(7,311)</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(33)%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(7,893)</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(33)%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223"/>
        </w:trPr>
        <w:tc>
          <w:tcPr>
            <w:tcW w:w="1480" w:type="dxa"/>
            <w:vAlign w:val="bottom"/>
            <w:tcBorders>
              <w:top w:val="single" w:sz="8" w:color="CCEEFF"/>
              <w:bottom w:val="single" w:sz="8" w:color="CCEEFF"/>
            </w:tcBorders>
          </w:tcPr>
          <w:p>
            <w:pPr>
              <w:spacing w:after="0"/>
              <w:rPr>
                <w:sz w:val="19"/>
                <w:szCs w:val="19"/>
                <w:color w:val="auto"/>
              </w:rPr>
            </w:pPr>
          </w:p>
        </w:tc>
        <w:tc>
          <w:tcPr>
            <w:tcW w:w="268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8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11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62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expenses</w:t>
            </w:r>
          </w:p>
        </w:tc>
        <w:tc>
          <w:tcPr>
            <w:tcW w:w="2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(16,764)</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(77)%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(17,797)</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(73)%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6 %</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INCOME (LOSS)</w:t>
            </w: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United States</w:t>
            </w:r>
          </w:p>
        </w:tc>
        <w:tc>
          <w:tcPr>
            <w:tcW w:w="2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(362)</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rPr>
                <w:sz w:val="20"/>
                <w:szCs w:val="20"/>
                <w:color w:val="auto"/>
              </w:rPr>
            </w:pPr>
            <w:r>
              <w:rPr>
                <w:rFonts w:ascii="Arial" w:cs="Arial" w:eastAsia="Arial" w:hAnsi="Arial"/>
                <w:sz w:val="13"/>
                <w:szCs w:val="13"/>
                <w:b w:val="1"/>
                <w:bCs w:val="1"/>
                <w:color w:val="auto"/>
              </w:rPr>
              <w:t>Australia</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5,449</w:t>
            </w:r>
          </w:p>
        </w:tc>
        <w:tc>
          <w:tcPr>
            <w:tcW w:w="16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i w:val="1"/>
                <w:iCs w:val="1"/>
                <w:color w:val="auto"/>
              </w:rPr>
              <w:t>35 %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5,002</w:t>
            </w:r>
          </w:p>
        </w:tc>
        <w:tc>
          <w:tcPr>
            <w:tcW w:w="16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i w:val="1"/>
                <w:iCs w:val="1"/>
                <w:color w:val="auto"/>
              </w:rPr>
              <w:t>31 %</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New Zealand</w:t>
            </w:r>
          </w:p>
        </w:tc>
        <w:tc>
          <w:tcPr>
            <w:tcW w:w="2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(372)</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i w:val="1"/>
                <w:iCs w:val="1"/>
                <w:color w:val="auto"/>
              </w:rPr>
              <w:t>39 %</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gridSpan w:val="2"/>
          </w:tcPr>
          <w:p>
            <w:pPr>
              <w:ind w:left="160"/>
              <w:spacing w:after="0"/>
              <w:rPr>
                <w:sz w:val="20"/>
                <w:szCs w:val="20"/>
                <w:color w:val="auto"/>
              </w:rPr>
            </w:pPr>
            <w:r>
              <w:rPr>
                <w:rFonts w:ascii="Arial" w:cs="Arial" w:eastAsia="Arial" w:hAnsi="Arial"/>
                <w:sz w:val="13"/>
                <w:szCs w:val="13"/>
                <w:b w:val="1"/>
                <w:bCs w:val="1"/>
                <w:color w:val="auto"/>
              </w:rPr>
              <w:t>Total operating income (loss)</w:t>
            </w: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5,141</w:t>
            </w: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23 %</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6,438</w:t>
            </w:r>
          </w:p>
        </w:tc>
        <w:tc>
          <w:tcPr>
            <w:tcW w:w="16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jc w:val="right"/>
              <w:ind w:right="57"/>
              <w:spacing w:after="0"/>
              <w:rPr>
                <w:sz w:val="20"/>
                <w:szCs w:val="20"/>
                <w:color w:val="auto"/>
              </w:rPr>
            </w:pPr>
            <w:r>
              <w:rPr>
                <w:rFonts w:ascii="Arial" w:cs="Arial" w:eastAsia="Arial" w:hAnsi="Arial"/>
                <w:sz w:val="13"/>
                <w:szCs w:val="13"/>
                <w:i w:val="1"/>
                <w:iCs w:val="1"/>
                <w:color w:val="auto"/>
              </w:rPr>
              <w:t>27 %</w:t>
            </w: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1" w:name="page52"/>
    <w:bookmarkEnd w:id="51"/>
    <w:p>
      <w:pPr>
        <w:ind w:right="300"/>
        <w:spacing w:after="0" w:line="282" w:lineRule="auto"/>
        <w:rPr>
          <w:sz w:val="20"/>
          <w:szCs w:val="20"/>
          <w:color w:val="auto"/>
        </w:rPr>
      </w:pPr>
      <w:r>
        <w:rPr>
          <w:rFonts w:ascii="Arial" w:cs="Arial" w:eastAsia="Arial" w:hAnsi="Arial"/>
          <w:sz w:val="18"/>
          <w:szCs w:val="18"/>
          <w:b w:val="1"/>
          <w:bCs w:val="1"/>
          <w:u w:val="single" w:color="auto"/>
          <w:color w:val="auto"/>
        </w:rPr>
        <w:t>Real Estate</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Real Estate segment operating results for the quarters ended December 31, 2019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2018, respectively: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2019 vs. 2018</w:t>
            </w:r>
          </w:p>
        </w:tc>
      </w:tr>
      <w:tr>
        <w:trPr>
          <w:trHeight w:val="135"/>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r>
      <w:tr>
        <w:trPr>
          <w:trHeight w:val="160"/>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3"/>
                <w:szCs w:val="13"/>
                <w:i w:val="1"/>
                <w:iCs w:val="1"/>
                <w:color w:val="auto"/>
                <w:w w:val="90"/>
              </w:rPr>
              <w:t>% of Revenue</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3"/>
                <w:szCs w:val="13"/>
                <w:i w:val="1"/>
                <w:iCs w:val="1"/>
                <w:color w:val="auto"/>
              </w:rPr>
              <w:t>% of Revenue</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(Unfavorable)</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630936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p>
      <w:pPr>
        <w:spacing w:after="0" w:line="67"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United States</w:t>
      </w:r>
    </w:p>
    <w:p>
      <w:pPr>
        <w:spacing w:after="0" w:line="200" w:lineRule="exact"/>
        <w:rPr>
          <w:sz w:val="20"/>
          <w:szCs w:val="20"/>
          <w:color w:val="auto"/>
        </w:rPr>
      </w:pPr>
    </w:p>
    <w:p>
      <w:pPr>
        <w:spacing w:after="0" w:line="312" w:lineRule="exact"/>
        <w:rPr>
          <w:sz w:val="20"/>
          <w:szCs w:val="20"/>
          <w:color w:val="auto"/>
        </w:rPr>
      </w:pPr>
    </w:p>
    <w:p>
      <w:pPr>
        <w:ind w:left="140" w:right="480"/>
        <w:spacing w:after="0" w:line="460" w:lineRule="auto"/>
        <w:rPr>
          <w:sz w:val="20"/>
          <w:szCs w:val="20"/>
          <w:color w:val="auto"/>
        </w:rPr>
      </w:pPr>
      <w:r>
        <w:rPr>
          <w:rFonts w:ascii="Arial" w:cs="Arial" w:eastAsia="Arial" w:hAnsi="Arial"/>
          <w:sz w:val="10"/>
          <w:szCs w:val="10"/>
          <w:b w:val="1"/>
          <w:bCs w:val="1"/>
          <w:color w:val="auto"/>
        </w:rPr>
        <w:t>Australia New Zealand Total revenue</w:t>
      </w:r>
    </w:p>
    <w:p>
      <w:pPr>
        <w:spacing w:after="0"/>
        <w:rPr>
          <w:sz w:val="20"/>
          <w:szCs w:val="20"/>
          <w:color w:val="auto"/>
        </w:rPr>
      </w:pPr>
      <w:r>
        <w:rPr>
          <w:rFonts w:ascii="Arial" w:cs="Arial" w:eastAsia="Arial" w:hAnsi="Arial"/>
          <w:sz w:val="12"/>
          <w:szCs w:val="12"/>
          <w:b w:val="1"/>
          <w:bCs w:val="1"/>
          <w:color w:val="auto"/>
        </w:rPr>
        <w:t>OPERATING EXPENSE</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Arial" w:cs="Arial" w:eastAsia="Arial" w:hAnsi="Arial"/>
                <w:sz w:val="13"/>
                <w:szCs w:val="13"/>
                <w:color w:val="auto"/>
              </w:rPr>
              <w:t>Live theatre rental and ancillary income</w:t>
            </w:r>
          </w:p>
        </w:tc>
        <w:tc>
          <w:tcPr>
            <w:tcW w:w="500" w:type="dxa"/>
            <w:vAlign w:val="bottom"/>
          </w:tcPr>
          <w:p>
            <w:pPr>
              <w:jc w:val="right"/>
              <w:ind w:right="38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705</w:t>
            </w:r>
          </w:p>
        </w:tc>
        <w:tc>
          <w:tcPr>
            <w:tcW w:w="1140" w:type="dxa"/>
            <w:vAlign w:val="bottom"/>
          </w:tcPr>
          <w:p>
            <w:pPr>
              <w:jc w:val="right"/>
              <w:ind w:right="217"/>
              <w:spacing w:after="0"/>
              <w:rPr>
                <w:sz w:val="20"/>
                <w:szCs w:val="20"/>
                <w:color w:val="auto"/>
              </w:rPr>
            </w:pPr>
            <w:r>
              <w:rPr>
                <w:rFonts w:ascii="Arial" w:cs="Arial" w:eastAsia="Arial" w:hAnsi="Arial"/>
                <w:sz w:val="13"/>
                <w:szCs w:val="13"/>
                <w:i w:val="1"/>
                <w:iCs w:val="1"/>
                <w:color w:val="auto"/>
              </w:rPr>
              <w:t>72 %</w:t>
            </w: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906</w:t>
            </w:r>
          </w:p>
        </w:tc>
        <w:tc>
          <w:tcPr>
            <w:tcW w:w="1560" w:type="dxa"/>
            <w:vAlign w:val="bottom"/>
          </w:tcPr>
          <w:p>
            <w:pPr>
              <w:jc w:val="right"/>
              <w:ind w:right="297"/>
              <w:spacing w:after="0"/>
              <w:rPr>
                <w:sz w:val="20"/>
                <w:szCs w:val="20"/>
                <w:color w:val="auto"/>
              </w:rPr>
            </w:pPr>
            <w:r>
              <w:rPr>
                <w:rFonts w:ascii="Arial" w:cs="Arial" w:eastAsia="Arial" w:hAnsi="Arial"/>
                <w:sz w:val="13"/>
                <w:szCs w:val="13"/>
                <w:i w:val="1"/>
                <w:iCs w:val="1"/>
                <w:color w:val="auto"/>
              </w:rPr>
              <w:t>85 %</w:t>
            </w:r>
          </w:p>
        </w:tc>
        <w:tc>
          <w:tcPr>
            <w:tcW w:w="680" w:type="dxa"/>
            <w:vAlign w:val="bottom"/>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98"/>
        </w:trPr>
        <w:tc>
          <w:tcPr>
            <w:tcW w:w="2800" w:type="dxa"/>
            <w:vAlign w:val="bottom"/>
          </w:tcPr>
          <w:p>
            <w:pPr>
              <w:spacing w:after="0"/>
              <w:rPr>
                <w:sz w:val="20"/>
                <w:szCs w:val="20"/>
                <w:color w:val="auto"/>
              </w:rPr>
            </w:pPr>
            <w:r>
              <w:rPr>
                <w:rFonts w:ascii="Arial" w:cs="Arial" w:eastAsia="Arial" w:hAnsi="Arial"/>
                <w:sz w:val="13"/>
                <w:szCs w:val="13"/>
                <w:color w:val="auto"/>
              </w:rPr>
              <w:t>Property rental income</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w:t>
            </w:r>
          </w:p>
        </w:tc>
        <w:tc>
          <w:tcPr>
            <w:tcW w:w="1140" w:type="dxa"/>
            <w:vAlign w:val="bottom"/>
          </w:tcPr>
          <w:p>
            <w:pPr>
              <w:jc w:val="right"/>
              <w:ind w:right="217"/>
              <w:spacing w:after="0"/>
              <w:rPr>
                <w:sz w:val="20"/>
                <w:szCs w:val="20"/>
                <w:color w:val="auto"/>
              </w:rPr>
            </w:pPr>
            <w:r>
              <w:rPr>
                <w:rFonts w:ascii="Arial" w:cs="Arial" w:eastAsia="Arial" w:hAnsi="Arial"/>
                <w:sz w:val="13"/>
                <w:szCs w:val="13"/>
                <w:i w:val="1"/>
                <w:iCs w:val="1"/>
                <w:color w:val="auto"/>
              </w:rPr>
              <w:t>28 %</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1560" w:type="dxa"/>
            <w:vAlign w:val="bottom"/>
          </w:tcPr>
          <w:p>
            <w:pPr>
              <w:jc w:val="right"/>
              <w:ind w:right="297"/>
              <w:spacing w:after="0"/>
              <w:rPr>
                <w:sz w:val="20"/>
                <w:szCs w:val="20"/>
                <w:color w:val="auto"/>
              </w:rPr>
            </w:pPr>
            <w:r>
              <w:rPr>
                <w:rFonts w:ascii="Arial" w:cs="Arial" w:eastAsia="Arial" w:hAnsi="Arial"/>
                <w:sz w:val="13"/>
                <w:szCs w:val="13"/>
                <w:i w:val="1"/>
                <w:iCs w:val="1"/>
                <w:color w:val="auto"/>
              </w:rPr>
              <w:t>15 %</w:t>
            </w:r>
          </w:p>
        </w:tc>
        <w:tc>
          <w:tcPr>
            <w:tcW w:w="680" w:type="dxa"/>
            <w:vAlign w:val="bottom"/>
          </w:tcPr>
          <w:p>
            <w:pPr>
              <w:jc w:val="right"/>
              <w:spacing w:after="0"/>
              <w:rPr>
                <w:sz w:val="20"/>
                <w:szCs w:val="20"/>
                <w:color w:val="auto"/>
              </w:rPr>
            </w:pPr>
            <w:r>
              <w:rPr>
                <w:rFonts w:ascii="Arial" w:cs="Arial" w:eastAsia="Arial" w:hAnsi="Arial"/>
                <w:sz w:val="13"/>
                <w:szCs w:val="13"/>
                <w:color w:val="auto"/>
              </w:rPr>
              <w:t>65 %</w:t>
            </w:r>
          </w:p>
        </w:tc>
        <w:tc>
          <w:tcPr>
            <w:tcW w:w="0" w:type="dxa"/>
            <w:vAlign w:val="bottom"/>
          </w:tcPr>
          <w:p>
            <w:pPr>
              <w:spacing w:after="0"/>
              <w:rPr>
                <w:sz w:val="1"/>
                <w:szCs w:val="1"/>
                <w:color w:val="auto"/>
              </w:rPr>
            </w:pPr>
          </w:p>
        </w:tc>
      </w:tr>
      <w:tr>
        <w:trPr>
          <w:trHeight w:val="164"/>
        </w:trPr>
        <w:tc>
          <w:tcPr>
            <w:tcW w:w="2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975</w:t>
            </w:r>
          </w:p>
        </w:tc>
        <w:tc>
          <w:tcPr>
            <w:tcW w:w="1140" w:type="dxa"/>
            <w:vAlign w:val="bottom"/>
          </w:tcPr>
          <w:p>
            <w:pPr>
              <w:jc w:val="right"/>
              <w:ind w:right="217"/>
              <w:spacing w:after="0" w:line="133" w:lineRule="exact"/>
              <w:rPr>
                <w:sz w:val="20"/>
                <w:szCs w:val="20"/>
                <w:color w:val="auto"/>
              </w:rPr>
            </w:pPr>
            <w:r>
              <w:rPr>
                <w:rFonts w:ascii="Arial" w:cs="Arial" w:eastAsia="Arial" w:hAnsi="Arial"/>
                <w:sz w:val="13"/>
                <w:szCs w:val="13"/>
                <w:i w:val="1"/>
                <w:iCs w:val="1"/>
                <w:color w:val="auto"/>
              </w:rPr>
              <w:t>100 %</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1,070</w:t>
            </w:r>
          </w:p>
        </w:tc>
        <w:tc>
          <w:tcPr>
            <w:tcW w:w="1560" w:type="dxa"/>
            <w:vAlign w:val="bottom"/>
          </w:tcPr>
          <w:p>
            <w:pPr>
              <w:jc w:val="right"/>
              <w:ind w:right="297"/>
              <w:spacing w:after="0" w:line="133" w:lineRule="exact"/>
              <w:rPr>
                <w:sz w:val="20"/>
                <w:szCs w:val="20"/>
                <w:color w:val="auto"/>
              </w:rPr>
            </w:pPr>
            <w:r>
              <w:rPr>
                <w:rFonts w:ascii="Arial" w:cs="Arial" w:eastAsia="Arial" w:hAnsi="Arial"/>
                <w:sz w:val="13"/>
                <w:szCs w:val="13"/>
                <w:i w:val="1"/>
                <w:iCs w:val="1"/>
                <w:color w:val="auto"/>
              </w:rPr>
              <w:t>100 %</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198"/>
        </w:trPr>
        <w:tc>
          <w:tcPr>
            <w:tcW w:w="2800" w:type="dxa"/>
            <w:vAlign w:val="bottom"/>
          </w:tcPr>
          <w:p>
            <w:pPr>
              <w:spacing w:after="0"/>
              <w:rPr>
                <w:sz w:val="20"/>
                <w:szCs w:val="20"/>
                <w:color w:val="auto"/>
              </w:rPr>
            </w:pPr>
            <w:r>
              <w:rPr>
                <w:rFonts w:ascii="Arial" w:cs="Arial" w:eastAsia="Arial" w:hAnsi="Arial"/>
                <w:sz w:val="13"/>
                <w:szCs w:val="13"/>
                <w:color w:val="auto"/>
              </w:rPr>
              <w:t>Property rental income</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3,783</w:t>
            </w:r>
          </w:p>
        </w:tc>
        <w:tc>
          <w:tcPr>
            <w:tcW w:w="1140" w:type="dxa"/>
            <w:vAlign w:val="bottom"/>
          </w:tcPr>
          <w:p>
            <w:pPr>
              <w:jc w:val="right"/>
              <w:ind w:right="217"/>
              <w:spacing w:after="0"/>
              <w:rPr>
                <w:sz w:val="20"/>
                <w:szCs w:val="20"/>
                <w:color w:val="auto"/>
              </w:rPr>
            </w:pPr>
            <w:r>
              <w:rPr>
                <w:rFonts w:ascii="Arial" w:cs="Arial" w:eastAsia="Arial" w:hAnsi="Arial"/>
                <w:sz w:val="13"/>
                <w:szCs w:val="13"/>
                <w:i w:val="1"/>
                <w:iCs w:val="1"/>
                <w:color w:val="auto"/>
              </w:rPr>
              <w:t>100 %</w:t>
            </w:r>
          </w:p>
        </w:tc>
        <w:tc>
          <w:tcPr>
            <w:tcW w:w="3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3,816</w:t>
            </w:r>
          </w:p>
        </w:tc>
        <w:tc>
          <w:tcPr>
            <w:tcW w:w="1560" w:type="dxa"/>
            <w:vAlign w:val="bottom"/>
          </w:tcPr>
          <w:p>
            <w:pPr>
              <w:jc w:val="right"/>
              <w:ind w:right="297"/>
              <w:spacing w:after="0"/>
              <w:rPr>
                <w:sz w:val="20"/>
                <w:szCs w:val="20"/>
                <w:color w:val="auto"/>
              </w:rPr>
            </w:pPr>
            <w:r>
              <w:rPr>
                <w:rFonts w:ascii="Arial" w:cs="Arial" w:eastAsia="Arial" w:hAnsi="Arial"/>
                <w:sz w:val="13"/>
                <w:szCs w:val="13"/>
                <w:i w:val="1"/>
                <w:iCs w:val="1"/>
                <w:color w:val="auto"/>
              </w:rPr>
              <w:t>100 %</w:t>
            </w:r>
          </w:p>
        </w:tc>
        <w:tc>
          <w:tcPr>
            <w:tcW w:w="68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20"/>
                <w:szCs w:val="20"/>
                <w:color w:val="auto"/>
              </w:rPr>
            </w:pPr>
            <w:r>
              <w:rPr>
                <w:rFonts w:ascii="Arial" w:cs="Arial" w:eastAsia="Arial" w:hAnsi="Arial"/>
                <w:sz w:val="13"/>
                <w:szCs w:val="13"/>
                <w:color w:val="auto"/>
              </w:rPr>
              <w:t>Property rental income</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622</w:t>
            </w:r>
          </w:p>
        </w:tc>
        <w:tc>
          <w:tcPr>
            <w:tcW w:w="1140" w:type="dxa"/>
            <w:vAlign w:val="bottom"/>
          </w:tcPr>
          <w:p>
            <w:pPr>
              <w:jc w:val="right"/>
              <w:ind w:right="217"/>
              <w:spacing w:after="0"/>
              <w:rPr>
                <w:sz w:val="20"/>
                <w:szCs w:val="20"/>
                <w:color w:val="auto"/>
              </w:rPr>
            </w:pPr>
            <w:r>
              <w:rPr>
                <w:rFonts w:ascii="Arial" w:cs="Arial" w:eastAsia="Arial" w:hAnsi="Arial"/>
                <w:sz w:val="13"/>
                <w:szCs w:val="13"/>
                <w:i w:val="1"/>
                <w:iCs w:val="1"/>
                <w:color w:val="auto"/>
              </w:rPr>
              <w:t>100 %</w:t>
            </w:r>
          </w:p>
        </w:tc>
        <w:tc>
          <w:tcPr>
            <w:tcW w:w="3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1,144</w:t>
            </w:r>
          </w:p>
        </w:tc>
        <w:tc>
          <w:tcPr>
            <w:tcW w:w="1560" w:type="dxa"/>
            <w:vAlign w:val="bottom"/>
          </w:tcPr>
          <w:p>
            <w:pPr>
              <w:jc w:val="right"/>
              <w:ind w:right="297"/>
              <w:spacing w:after="0"/>
              <w:rPr>
                <w:sz w:val="20"/>
                <w:szCs w:val="20"/>
                <w:color w:val="auto"/>
              </w:rPr>
            </w:pPr>
            <w:r>
              <w:rPr>
                <w:rFonts w:ascii="Arial" w:cs="Arial" w:eastAsia="Arial" w:hAnsi="Arial"/>
                <w:sz w:val="13"/>
                <w:szCs w:val="13"/>
                <w:i w:val="1"/>
                <w:iCs w:val="1"/>
                <w:color w:val="auto"/>
              </w:rPr>
              <w:t>100 %</w:t>
            </w:r>
          </w:p>
        </w:tc>
        <w:tc>
          <w:tcPr>
            <w:tcW w:w="680" w:type="dxa"/>
            <w:vAlign w:val="bottom"/>
          </w:tcPr>
          <w:p>
            <w:pPr>
              <w:jc w:val="right"/>
              <w:spacing w:after="0"/>
              <w:rPr>
                <w:sz w:val="20"/>
                <w:szCs w:val="20"/>
                <w:color w:val="auto"/>
              </w:rPr>
            </w:pPr>
            <w:r>
              <w:rPr>
                <w:rFonts w:ascii="Arial" w:cs="Arial" w:eastAsia="Arial" w:hAnsi="Arial"/>
                <w:sz w:val="13"/>
                <w:szCs w:val="13"/>
                <w:color w:val="auto"/>
              </w:rPr>
              <w:t>(46) %</w:t>
            </w:r>
          </w:p>
        </w:tc>
        <w:tc>
          <w:tcPr>
            <w:tcW w:w="0" w:type="dxa"/>
            <w:vAlign w:val="bottom"/>
          </w:tcPr>
          <w:p>
            <w:pPr>
              <w:spacing w:after="0"/>
              <w:rPr>
                <w:sz w:val="1"/>
                <w:szCs w:val="1"/>
                <w:color w:val="auto"/>
              </w:rPr>
            </w:pPr>
          </w:p>
        </w:tc>
      </w:tr>
      <w:tr>
        <w:trPr>
          <w:trHeight w:val="40"/>
        </w:trPr>
        <w:tc>
          <w:tcPr>
            <w:tcW w:w="2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50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5,380</w:t>
            </w:r>
          </w:p>
        </w:tc>
        <w:tc>
          <w:tcPr>
            <w:tcW w:w="1140" w:type="dxa"/>
            <w:vAlign w:val="bottom"/>
          </w:tcPr>
          <w:p>
            <w:pPr>
              <w:jc w:val="right"/>
              <w:ind w:right="217"/>
              <w:spacing w:after="0"/>
              <w:rPr>
                <w:sz w:val="20"/>
                <w:szCs w:val="20"/>
                <w:color w:val="auto"/>
              </w:rPr>
            </w:pPr>
            <w:r>
              <w:rPr>
                <w:rFonts w:ascii="Arial" w:cs="Arial" w:eastAsia="Arial" w:hAnsi="Arial"/>
                <w:sz w:val="13"/>
                <w:szCs w:val="13"/>
                <w:i w:val="1"/>
                <w:iCs w:val="1"/>
                <w:color w:val="auto"/>
              </w:rPr>
              <w:t>100 %</w:t>
            </w:r>
          </w:p>
        </w:tc>
        <w:tc>
          <w:tcPr>
            <w:tcW w:w="380" w:type="dxa"/>
            <w:vAlign w:val="bottom"/>
            <w:tcBorders>
              <w:bottom w:val="single" w:sz="8" w:color="auto"/>
            </w:tcBorders>
          </w:tcPr>
          <w:p>
            <w:pPr>
              <w:jc w:val="right"/>
              <w:ind w:right="268"/>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6,030</w:t>
            </w:r>
          </w:p>
        </w:tc>
        <w:tc>
          <w:tcPr>
            <w:tcW w:w="1560" w:type="dxa"/>
            <w:vAlign w:val="bottom"/>
          </w:tcPr>
          <w:p>
            <w:pPr>
              <w:jc w:val="right"/>
              <w:ind w:right="297"/>
              <w:spacing w:after="0"/>
              <w:rPr>
                <w:sz w:val="20"/>
                <w:szCs w:val="20"/>
                <w:color w:val="auto"/>
              </w:rPr>
            </w:pPr>
            <w:r>
              <w:rPr>
                <w:rFonts w:ascii="Arial" w:cs="Arial" w:eastAsia="Arial" w:hAnsi="Arial"/>
                <w:sz w:val="13"/>
                <w:szCs w:val="13"/>
                <w:i w:val="1"/>
                <w:iCs w:val="1"/>
                <w:color w:val="auto"/>
              </w:rPr>
              <w:t>100 %</w:t>
            </w:r>
          </w:p>
        </w:tc>
        <w:tc>
          <w:tcPr>
            <w:tcW w:w="680" w:type="dxa"/>
            <w:vAlign w:val="bottom"/>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-565150</wp:posOffset>
            </wp:positionV>
            <wp:extent cx="630936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09360" cy="145415"/>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-282575</wp:posOffset>
            </wp:positionV>
            <wp:extent cx="630936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-8255</wp:posOffset>
            </wp:positionV>
            <wp:extent cx="630936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9360" cy="14605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1360" w:space="100"/>
            <w:col w:w="8480"/>
          </w:cols>
          <w:pgMar w:left="980" w:top="121" w:right="97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1440" w:type="dxa"/>
            <w:vAlign w:val="bottom"/>
          </w:tcPr>
          <w:p>
            <w:pPr>
              <w:ind w:left="140"/>
              <w:spacing w:after="0"/>
              <w:rPr>
                <w:sz w:val="20"/>
                <w:szCs w:val="20"/>
                <w:color w:val="auto"/>
              </w:rPr>
            </w:pPr>
            <w:r>
              <w:rPr>
                <w:rFonts w:ascii="Arial" w:cs="Arial" w:eastAsia="Arial" w:hAnsi="Arial"/>
                <w:sz w:val="13"/>
                <w:szCs w:val="13"/>
                <w:b w:val="1"/>
                <w:bCs w:val="1"/>
                <w:color w:val="auto"/>
              </w:rPr>
              <w:t>United States</w:t>
            </w:r>
          </w:p>
        </w:tc>
        <w:tc>
          <w:tcPr>
            <w:tcW w:w="2820" w:type="dxa"/>
            <w:vAlign w:val="bottom"/>
          </w:tcPr>
          <w:p>
            <w:pPr>
              <w:ind w:left="20"/>
              <w:spacing w:after="0"/>
              <w:rPr>
                <w:sz w:val="20"/>
                <w:szCs w:val="20"/>
                <w:color w:val="auto"/>
              </w:rPr>
            </w:pPr>
            <w:r>
              <w:rPr>
                <w:rFonts w:ascii="Arial" w:cs="Arial" w:eastAsia="Arial" w:hAnsi="Arial"/>
                <w:sz w:val="13"/>
                <w:szCs w:val="13"/>
                <w:color w:val="auto"/>
              </w:rPr>
              <w:t>Live theatre cost</w:t>
            </w:r>
          </w:p>
        </w:tc>
        <w:tc>
          <w:tcPr>
            <w:tcW w:w="480" w:type="dxa"/>
            <w:vAlign w:val="bottom"/>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(351)</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(36)%</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3"/>
                <w:szCs w:val="13"/>
                <w:color w:val="auto"/>
              </w:rPr>
              <w:t>(271)</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(30) %</w:t>
            </w:r>
          </w:p>
        </w:tc>
      </w:tr>
      <w:tr>
        <w:trPr>
          <w:trHeight w:val="216"/>
        </w:trPr>
        <w:tc>
          <w:tcPr>
            <w:tcW w:w="1440" w:type="dxa"/>
            <w:vAlign w:val="bottom"/>
            <w:shd w:val="clear" w:color="auto" w:fill="CCEEFF"/>
          </w:tcPr>
          <w:p>
            <w:pPr>
              <w:spacing w:after="0"/>
              <w:rPr>
                <w:sz w:val="18"/>
                <w:szCs w:val="18"/>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cost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(179)</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(18)%</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(128)</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(12)%</w:t>
            </w:r>
          </w:p>
        </w:tc>
        <w:tc>
          <w:tcPr>
            <w:tcW w:w="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3"/>
                <w:szCs w:val="13"/>
                <w:color w:val="auto"/>
              </w:rPr>
              <w:t xml:space="preserve">(40) </w:t>
            </w:r>
            <w:r>
              <w:rPr>
                <w:rFonts w:ascii="Arial" w:cs="Arial" w:eastAsia="Arial" w:hAnsi="Arial"/>
                <w:sz w:val="25"/>
                <w:szCs w:val="25"/>
                <w:color w:val="auto"/>
                <w:vertAlign w:val="subscript"/>
              </w:rPr>
              <w:t>%</w:t>
            </w:r>
          </w:p>
        </w:tc>
      </w:tr>
      <w:tr>
        <w:trPr>
          <w:trHeight w:val="216"/>
        </w:trPr>
        <w:tc>
          <w:tcPr>
            <w:tcW w:w="14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3"/>
                <w:szCs w:val="13"/>
                <w:color w:val="auto"/>
              </w:rPr>
              <w:t>Occupancy expense</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(154)</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(16)%</w:t>
            </w:r>
          </w:p>
        </w:tc>
        <w:tc>
          <w:tcPr>
            <w:tcW w:w="3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color w:val="auto"/>
              </w:rPr>
              <w:t>(170)</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(16)%</w:t>
            </w: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44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r>
      <w:tr>
        <w:trPr>
          <w:trHeight w:val="196"/>
        </w:trPr>
        <w:tc>
          <w:tcPr>
            <w:tcW w:w="14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(684)</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(70)%</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(569)</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216"/>
        </w:trPr>
        <w:tc>
          <w:tcPr>
            <w:tcW w:w="144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820" w:type="dxa"/>
            <w:vAlign w:val="bottom"/>
          </w:tcPr>
          <w:p>
            <w:pPr>
              <w:ind w:left="20"/>
              <w:spacing w:after="0"/>
              <w:rPr>
                <w:sz w:val="20"/>
                <w:szCs w:val="20"/>
                <w:color w:val="auto"/>
              </w:rPr>
            </w:pPr>
            <w:r>
              <w:rPr>
                <w:rFonts w:ascii="Arial" w:cs="Arial" w:eastAsia="Arial" w:hAnsi="Arial"/>
                <w:sz w:val="13"/>
                <w:szCs w:val="13"/>
                <w:color w:val="auto"/>
              </w:rPr>
              <w:t>Property cost</w:t>
            </w:r>
          </w:p>
        </w:tc>
        <w:tc>
          <w:tcPr>
            <w:tcW w:w="480" w:type="dxa"/>
            <w:vAlign w:val="bottom"/>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(703)</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(19)%</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3"/>
                <w:szCs w:val="13"/>
                <w:color w:val="auto"/>
              </w:rPr>
              <w:t>(838)</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(22)%</w:t>
            </w: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40" w:type="dxa"/>
            <w:vAlign w:val="bottom"/>
            <w:shd w:val="clear" w:color="auto" w:fill="CCEEFF"/>
          </w:tcPr>
          <w:p>
            <w:pPr>
              <w:spacing w:after="0"/>
              <w:rPr>
                <w:sz w:val="18"/>
                <w:szCs w:val="18"/>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Occupancy expense</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(624)</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(16)%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(660)</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(17)%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80" w:type="dxa"/>
            <w:vAlign w:val="bottom"/>
          </w:tcPr>
          <w:p>
            <w:pPr>
              <w:jc w:val="right"/>
              <w:ind w:right="3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(1,327)</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(35)%</w:t>
            </w:r>
          </w:p>
        </w:tc>
        <w:tc>
          <w:tcPr>
            <w:tcW w:w="340" w:type="dxa"/>
            <w:vAlign w:val="bottom"/>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(1,498)</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(39)%</w:t>
            </w: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cost</w:t>
            </w: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(224)</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(36)%</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(279)</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(24)%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3"/>
                <w:szCs w:val="13"/>
                <w:color w:val="auto"/>
              </w:rPr>
              <w:t>Occupancy expense</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(110)</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(18)%</w:t>
            </w:r>
          </w:p>
        </w:tc>
        <w:tc>
          <w:tcPr>
            <w:tcW w:w="3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color w:val="auto"/>
              </w:rPr>
              <w:t>(149)</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(13)%</w:t>
            </w:r>
          </w:p>
        </w:tc>
        <w:tc>
          <w:tcPr>
            <w:tcW w:w="620" w:type="dxa"/>
            <w:vAlign w:val="bottom"/>
          </w:tcPr>
          <w:p>
            <w:pPr>
              <w:jc w:val="right"/>
              <w:spacing w:after="0"/>
              <w:rPr>
                <w:sz w:val="20"/>
                <w:szCs w:val="20"/>
                <w:color w:val="auto"/>
              </w:rPr>
            </w:pPr>
            <w:r>
              <w:rPr>
                <w:rFonts w:ascii="Arial" w:cs="Arial" w:eastAsia="Arial" w:hAnsi="Arial"/>
                <w:sz w:val="13"/>
                <w:szCs w:val="13"/>
                <w:color w:val="auto"/>
              </w:rPr>
              <w:t>26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44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96"/>
        </w:trPr>
        <w:tc>
          <w:tcPr>
            <w:tcW w:w="14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(334)</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(54)%</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(428)</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(37)%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144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gridSpan w:val="2"/>
          </w:tcPr>
          <w:p>
            <w:pPr>
              <w:spacing w:after="0"/>
              <w:rPr>
                <w:sz w:val="19"/>
                <w:szCs w:val="19"/>
                <w:color w:val="auto"/>
              </w:rPr>
            </w:pPr>
          </w:p>
        </w:tc>
      </w:tr>
      <w:tr>
        <w:trPr>
          <w:trHeight w:val="209"/>
        </w:trPr>
        <w:tc>
          <w:tcPr>
            <w:tcW w:w="14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w w:val="85"/>
              </w:rPr>
              <w:t>Total operating expense</w:t>
            </w:r>
          </w:p>
        </w:tc>
        <w:tc>
          <w:tcPr>
            <w:tcW w:w="2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(2,345)</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(44)%</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(2,495)</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90"/>
        </w:trPr>
        <w:tc>
          <w:tcPr>
            <w:tcW w:w="4260" w:type="dxa"/>
            <w:vAlign w:val="bottom"/>
            <w:tcBorders>
              <w:top w:val="single" w:sz="8" w:color="CCEEFF"/>
            </w:tcBorders>
            <w:gridSpan w:val="2"/>
          </w:tcPr>
          <w:p>
            <w:pPr>
              <w:spacing w:after="0" w:line="91" w:lineRule="exact"/>
              <w:rPr>
                <w:sz w:val="20"/>
                <w:szCs w:val="20"/>
                <w:color w:val="auto"/>
              </w:rPr>
            </w:pPr>
            <w:r>
              <w:rPr>
                <w:rFonts w:ascii="Arial" w:cs="Arial" w:eastAsia="Arial" w:hAnsi="Arial"/>
                <w:sz w:val="10"/>
                <w:szCs w:val="10"/>
                <w:b w:val="1"/>
                <w:bCs w:val="1"/>
                <w:color w:val="auto"/>
              </w:rPr>
              <w:t>DEPRECIATION, AMORTIZATION, GENERAL AND</w:t>
            </w:r>
          </w:p>
        </w:tc>
        <w:tc>
          <w:tcPr>
            <w:tcW w:w="4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c>
          <w:tcPr>
            <w:tcW w:w="860" w:type="dxa"/>
            <w:vAlign w:val="bottom"/>
            <w:tcBorders>
              <w:top w:val="single" w:sz="8" w:color="CCEEFF"/>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40" w:type="dxa"/>
            <w:vAlign w:val="bottom"/>
            <w:tcBorders>
              <w:top w:val="single" w:sz="8" w:color="CCEEFF"/>
            </w:tcBorders>
          </w:tcPr>
          <w:p>
            <w:pPr>
              <w:spacing w:after="0"/>
              <w:rPr>
                <w:sz w:val="7"/>
                <w:szCs w:val="7"/>
                <w:color w:val="auto"/>
              </w:rPr>
            </w:pPr>
          </w:p>
        </w:tc>
        <w:tc>
          <w:tcPr>
            <w:tcW w:w="1040" w:type="dxa"/>
            <w:vAlign w:val="bottom"/>
            <w:tcBorders>
              <w:top w:val="single" w:sz="8" w:color="CCEEFF"/>
            </w:tcBorders>
          </w:tcPr>
          <w:p>
            <w:pPr>
              <w:spacing w:after="0"/>
              <w:rPr>
                <w:sz w:val="7"/>
                <w:szCs w:val="7"/>
                <w:color w:val="auto"/>
              </w:rPr>
            </w:pPr>
          </w:p>
        </w:tc>
        <w:tc>
          <w:tcPr>
            <w:tcW w:w="62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r>
      <w:tr>
        <w:trPr>
          <w:trHeight w:val="153"/>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ADMINISTRATIVE EXPENSE</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United States</w:t>
            </w:r>
          </w:p>
        </w:tc>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(194)</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(21)%</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(195)</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(18)%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3"/>
                <w:szCs w:val="13"/>
                <w:color w:val="auto"/>
              </w:rPr>
              <w:t>General and administrative expense</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(196)</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(20)%</w:t>
            </w:r>
          </w:p>
        </w:tc>
        <w:tc>
          <w:tcPr>
            <w:tcW w:w="3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color w:val="auto"/>
              </w:rPr>
              <w:t>(154)</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(15)%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(27) %</w:t>
            </w:r>
          </w:p>
        </w:tc>
      </w:tr>
      <w:tr>
        <w:trPr>
          <w:trHeight w:val="20"/>
        </w:trPr>
        <w:tc>
          <w:tcPr>
            <w:tcW w:w="144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r>
      <w:tr>
        <w:trPr>
          <w:trHeight w:val="196"/>
        </w:trPr>
        <w:tc>
          <w:tcPr>
            <w:tcW w:w="14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(390)</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(41)%</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(349)</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216"/>
        </w:trPr>
        <w:tc>
          <w:tcPr>
            <w:tcW w:w="144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82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480" w:type="dxa"/>
            <w:vAlign w:val="bottom"/>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(893)</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(24)%</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3"/>
                <w:szCs w:val="13"/>
                <w:color w:val="auto"/>
              </w:rPr>
              <w:t>(922)</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(24)%</w:t>
            </w: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40" w:type="dxa"/>
            <w:vAlign w:val="bottom"/>
            <w:shd w:val="clear" w:color="auto" w:fill="CCEEFF"/>
          </w:tcPr>
          <w:p>
            <w:pPr>
              <w:spacing w:after="0"/>
              <w:rPr>
                <w:sz w:val="18"/>
                <w:szCs w:val="18"/>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(267)</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(7)%</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(466)</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(12)%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80" w:type="dxa"/>
            <w:vAlign w:val="bottom"/>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(1,160)</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(31)%</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(1,388)</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(36)%</w:t>
            </w: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(244)</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(39)%</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(257)</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(22)%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3"/>
                <w:szCs w:val="13"/>
                <w:color w:val="auto"/>
              </w:rPr>
              <w:t>General and administrative expense</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(87)</w:t>
            </w: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(14)%</w:t>
            </w:r>
          </w:p>
        </w:tc>
        <w:tc>
          <w:tcPr>
            <w:tcW w:w="3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w:t>
            </w:r>
          </w:p>
        </w:tc>
      </w:tr>
      <w:tr>
        <w:trPr>
          <w:trHeight w:val="20"/>
        </w:trPr>
        <w:tc>
          <w:tcPr>
            <w:tcW w:w="144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r>
      <w:tr>
        <w:trPr>
          <w:trHeight w:val="196"/>
        </w:trPr>
        <w:tc>
          <w:tcPr>
            <w:tcW w:w="14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(331)</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(53)%</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(257)</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 %</w:t>
            </w:r>
          </w:p>
        </w:tc>
      </w:tr>
      <w:tr>
        <w:trPr>
          <w:trHeight w:val="223"/>
        </w:trPr>
        <w:tc>
          <w:tcPr>
            <w:tcW w:w="4260" w:type="dxa"/>
            <w:vAlign w:val="bottom"/>
            <w:tcBorders>
              <w:bottom w:val="single" w:sz="8" w:color="CCEEFF"/>
            </w:tcBorders>
            <w:gridSpan w:val="2"/>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gridSpan w:val="2"/>
          </w:tcPr>
          <w:p>
            <w:pPr>
              <w:spacing w:after="0"/>
              <w:rPr>
                <w:sz w:val="19"/>
                <w:szCs w:val="19"/>
                <w:color w:val="auto"/>
              </w:rPr>
            </w:pPr>
          </w:p>
        </w:tc>
      </w:tr>
      <w:tr>
        <w:trPr>
          <w:trHeight w:val="196"/>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w w:val="90"/>
              </w:rPr>
              <w:t>Total depreciation, amortization, and general and administrative expense</w:t>
            </w: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(1,881)</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(35)%</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(1,994)</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223"/>
        </w:trPr>
        <w:tc>
          <w:tcPr>
            <w:tcW w:w="1440" w:type="dxa"/>
            <w:vAlign w:val="bottom"/>
            <w:tcBorders>
              <w:top w:val="single" w:sz="8" w:color="CCEEFF"/>
              <w:bottom w:val="single" w:sz="8" w:color="CCEEFF"/>
            </w:tcBorders>
          </w:tcPr>
          <w:p>
            <w:pPr>
              <w:spacing w:after="0"/>
              <w:rPr>
                <w:sz w:val="19"/>
                <w:szCs w:val="19"/>
                <w:color w:val="auto"/>
              </w:rPr>
            </w:pPr>
          </w:p>
        </w:tc>
        <w:tc>
          <w:tcPr>
            <w:tcW w:w="282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CEEFF"/>
              <w:bottom w:val="single" w:sz="8" w:color="CCEEFF"/>
            </w:tcBorders>
          </w:tcPr>
          <w:p>
            <w:pPr>
              <w:spacing w:after="0"/>
              <w:rPr>
                <w:sz w:val="19"/>
                <w:szCs w:val="19"/>
                <w:color w:val="auto"/>
              </w:rPr>
            </w:pPr>
          </w:p>
        </w:tc>
        <w:tc>
          <w:tcPr>
            <w:tcW w:w="86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CCEEFF"/>
              <w:bottom w:val="single" w:sz="8" w:color="CCEEFF"/>
            </w:tcBorders>
          </w:tcPr>
          <w:p>
            <w:pPr>
              <w:spacing w:after="0"/>
              <w:rPr>
                <w:sz w:val="19"/>
                <w:szCs w:val="19"/>
                <w:color w:val="auto"/>
              </w:rPr>
            </w:pPr>
          </w:p>
        </w:tc>
        <w:tc>
          <w:tcPr>
            <w:tcW w:w="1040" w:type="dxa"/>
            <w:vAlign w:val="bottom"/>
            <w:tcBorders>
              <w:top w:val="single" w:sz="8" w:color="CCEEFF"/>
              <w:bottom w:val="single" w:sz="8" w:color="CCEEFF"/>
            </w:tcBorders>
          </w:tcPr>
          <w:p>
            <w:pPr>
              <w:spacing w:after="0"/>
              <w:rPr>
                <w:sz w:val="19"/>
                <w:szCs w:val="19"/>
                <w:color w:val="auto"/>
              </w:rPr>
            </w:pPr>
          </w:p>
        </w:tc>
        <w:tc>
          <w:tcPr>
            <w:tcW w:w="62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r>
      <w:tr>
        <w:trPr>
          <w:trHeight w:val="209"/>
        </w:trPr>
        <w:tc>
          <w:tcPr>
            <w:tcW w:w="14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expenses</w:t>
            </w:r>
          </w:p>
        </w:tc>
        <w:tc>
          <w:tcPr>
            <w:tcW w:w="2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(4,226)</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(79)%</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(4,489)</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203"/>
        </w:trPr>
        <w:tc>
          <w:tcPr>
            <w:tcW w:w="144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OPERATING INCOME</w:t>
            </w:r>
          </w:p>
        </w:tc>
        <w:tc>
          <w:tcPr>
            <w:tcW w:w="28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16"/>
        </w:trPr>
        <w:tc>
          <w:tcPr>
            <w:tcW w:w="14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United States</w:t>
            </w:r>
          </w:p>
        </w:tc>
        <w:tc>
          <w:tcPr>
            <w:tcW w:w="2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68"/>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(99)</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(10)%</w:t>
            </w:r>
          </w:p>
        </w:tc>
        <w:tc>
          <w:tcPr>
            <w:tcW w:w="3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14 %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(&gt;100) %</w:t>
            </w:r>
          </w:p>
        </w:tc>
      </w:tr>
      <w:tr>
        <w:trPr>
          <w:trHeight w:val="216"/>
        </w:trPr>
        <w:tc>
          <w:tcPr>
            <w:tcW w:w="144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1,296</w:t>
            </w:r>
          </w:p>
        </w:tc>
        <w:tc>
          <w:tcPr>
            <w:tcW w:w="280" w:type="dxa"/>
            <w:vAlign w:val="bottom"/>
          </w:tcPr>
          <w:p>
            <w:pPr>
              <w:spacing w:after="0"/>
              <w:rPr>
                <w:sz w:val="18"/>
                <w:szCs w:val="18"/>
                <w:color w:val="auto"/>
              </w:rPr>
            </w:pPr>
          </w:p>
        </w:tc>
        <w:tc>
          <w:tcPr>
            <w:tcW w:w="860" w:type="dxa"/>
            <w:vAlign w:val="bottom"/>
          </w:tcPr>
          <w:p>
            <w:pPr>
              <w:jc w:val="right"/>
              <w:ind w:right="217"/>
              <w:spacing w:after="0"/>
              <w:rPr>
                <w:sz w:val="20"/>
                <w:szCs w:val="20"/>
                <w:color w:val="auto"/>
              </w:rPr>
            </w:pPr>
            <w:r>
              <w:rPr>
                <w:rFonts w:ascii="Arial" w:cs="Arial" w:eastAsia="Arial" w:hAnsi="Arial"/>
                <w:sz w:val="13"/>
                <w:szCs w:val="13"/>
                <w:i w:val="1"/>
                <w:iCs w:val="1"/>
                <w:color w:val="auto"/>
              </w:rPr>
              <w:t>34 %</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930</w:t>
            </w:r>
          </w:p>
        </w:tc>
        <w:tc>
          <w:tcPr>
            <w:tcW w:w="440" w:type="dxa"/>
            <w:vAlign w:val="bottom"/>
          </w:tcPr>
          <w:p>
            <w:pPr>
              <w:spacing w:after="0"/>
              <w:rPr>
                <w:sz w:val="18"/>
                <w:szCs w:val="18"/>
                <w:color w:val="auto"/>
              </w:rPr>
            </w:pPr>
          </w:p>
        </w:tc>
        <w:tc>
          <w:tcPr>
            <w:tcW w:w="1040" w:type="dxa"/>
            <w:vAlign w:val="bottom"/>
          </w:tcPr>
          <w:p>
            <w:pPr>
              <w:jc w:val="right"/>
              <w:ind w:right="217"/>
              <w:spacing w:after="0"/>
              <w:rPr>
                <w:sz w:val="20"/>
                <w:szCs w:val="20"/>
                <w:color w:val="auto"/>
              </w:rPr>
            </w:pPr>
            <w:r>
              <w:rPr>
                <w:rFonts w:ascii="Arial" w:cs="Arial" w:eastAsia="Arial" w:hAnsi="Arial"/>
                <w:sz w:val="13"/>
                <w:szCs w:val="13"/>
                <w:i w:val="1"/>
                <w:iCs w:val="1"/>
                <w:color w:val="auto"/>
              </w:rPr>
              <w:t>24 %</w:t>
            </w:r>
          </w:p>
        </w:tc>
        <w:tc>
          <w:tcPr>
            <w:tcW w:w="620" w:type="dxa"/>
            <w:vAlign w:val="bottom"/>
          </w:tcPr>
          <w:p>
            <w:pPr>
              <w:jc w:val="right"/>
              <w:spacing w:after="0"/>
              <w:rPr>
                <w:sz w:val="20"/>
                <w:szCs w:val="20"/>
                <w:color w:val="auto"/>
              </w:rPr>
            </w:pPr>
            <w:r>
              <w:rPr>
                <w:rFonts w:ascii="Arial" w:cs="Arial" w:eastAsia="Arial" w:hAnsi="Arial"/>
                <w:sz w:val="13"/>
                <w:szCs w:val="13"/>
                <w:color w:val="auto"/>
              </w:rPr>
              <w:t>39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14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(43)</w:t>
            </w:r>
          </w:p>
        </w:tc>
        <w:tc>
          <w:tcPr>
            <w:tcW w:w="86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(7)%</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i w:val="1"/>
                <w:iCs w:val="1"/>
                <w:color w:val="auto"/>
              </w:rPr>
              <w:t>40 %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(&gt;100) %</w:t>
            </w:r>
          </w:p>
        </w:tc>
      </w:tr>
      <w:tr>
        <w:trPr>
          <w:trHeight w:val="196"/>
        </w:trPr>
        <w:tc>
          <w:tcPr>
            <w:tcW w:w="1440" w:type="dxa"/>
            <w:vAlign w:val="bottom"/>
            <w:tcBorders>
              <w:top w:val="single" w:sz="8" w:color="CCEEFF"/>
            </w:tcBorders>
          </w:tcPr>
          <w:p>
            <w:pPr>
              <w:ind w:left="140"/>
              <w:spacing w:after="0"/>
              <w:rPr>
                <w:sz w:val="20"/>
                <w:szCs w:val="20"/>
                <w:color w:val="auto"/>
              </w:rPr>
            </w:pPr>
            <w:r>
              <w:rPr>
                <w:rFonts w:ascii="Arial" w:cs="Arial" w:eastAsia="Arial" w:hAnsi="Arial"/>
                <w:sz w:val="13"/>
                <w:szCs w:val="13"/>
                <w:b w:val="1"/>
                <w:bCs w:val="1"/>
                <w:color w:val="auto"/>
                <w:w w:val="89"/>
              </w:rPr>
              <w:t>Total operating income</w:t>
            </w:r>
          </w:p>
        </w:tc>
        <w:tc>
          <w:tcPr>
            <w:tcW w:w="282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1,154</w:t>
            </w: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jc w:val="right"/>
              <w:ind w:right="217"/>
              <w:spacing w:after="0"/>
              <w:rPr>
                <w:sz w:val="20"/>
                <w:szCs w:val="20"/>
                <w:color w:val="auto"/>
              </w:rPr>
            </w:pPr>
            <w:r>
              <w:rPr>
                <w:rFonts w:ascii="Arial" w:cs="Arial" w:eastAsia="Arial" w:hAnsi="Arial"/>
                <w:sz w:val="13"/>
                <w:szCs w:val="13"/>
                <w:i w:val="1"/>
                <w:iCs w:val="1"/>
                <w:color w:val="auto"/>
              </w:rPr>
              <w:t>21 %</w:t>
            </w:r>
          </w:p>
        </w:tc>
        <w:tc>
          <w:tcPr>
            <w:tcW w:w="3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1,541</w:t>
            </w:r>
          </w:p>
        </w:tc>
        <w:tc>
          <w:tcPr>
            <w:tcW w:w="4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jc w:val="right"/>
              <w:ind w:right="217"/>
              <w:spacing w:after="0"/>
              <w:rPr>
                <w:sz w:val="20"/>
                <w:szCs w:val="20"/>
                <w:color w:val="auto"/>
              </w:rPr>
            </w:pPr>
            <w:r>
              <w:rPr>
                <w:rFonts w:ascii="Arial" w:cs="Arial" w:eastAsia="Arial" w:hAnsi="Arial"/>
                <w:sz w:val="13"/>
                <w:szCs w:val="13"/>
                <w:i w:val="1"/>
                <w:iCs w:val="1"/>
                <w:color w:val="auto"/>
              </w:rPr>
              <w:t>26 %</w:t>
            </w:r>
          </w:p>
        </w:tc>
        <w:tc>
          <w:tcPr>
            <w:tcW w:w="82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color w:val="auto"/>
              </w:rPr>
              <w:t>(25)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 Operating Income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Real Estate segment operating income decreased by 20%, or $1.3 million, to $5.1 million for the year ended December 31, 2019 compared to 2018, primarily due to a decrease in revenue in the New Zealand operations, specifically the ongoing closure of most of the net rentable area of Courtenay Central. This decrease was partially offset by an increase in rental and ancillary income in our Live Theatre business unit.</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Real Estate segment operating income decreased by 25%, or $0.4 million, to $1.2 million for the quarter ended December 31, 2019 compared to 2018, primarily due to the ongoing closure of most of the net rentable area of Courtenay Central in New Zealand and a decrease in Live theatre rental and ancillary income in the U.S., offset by a decrease in operating expense in Australia and New Zealand.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is the revenue breakdown by country for each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 of</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178"/>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3,848</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18 %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3,480</w:t>
            </w: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14 %</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Australia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15,656</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71 %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16,122</w:t>
            </w:r>
          </w:p>
        </w:tc>
        <w:tc>
          <w:tcPr>
            <w:tcW w:w="920" w:type="dxa"/>
            <w:vAlign w:val="bottom"/>
            <w:gridSpan w:val="2"/>
          </w:tcPr>
          <w:p>
            <w:pPr>
              <w:jc w:val="right"/>
              <w:ind w:right="28"/>
              <w:spacing w:after="0"/>
              <w:rPr>
                <w:sz w:val="20"/>
                <w:szCs w:val="20"/>
                <w:color w:val="auto"/>
              </w:rPr>
            </w:pPr>
            <w:r>
              <w:rPr>
                <w:rFonts w:ascii="Arial" w:cs="Arial" w:eastAsia="Arial" w:hAnsi="Arial"/>
                <w:sz w:val="14"/>
                <w:szCs w:val="14"/>
                <w:i w:val="1"/>
                <w:iCs w:val="1"/>
                <w:color w:val="auto"/>
              </w:rPr>
              <w:t>67 %</w:t>
            </w:r>
          </w:p>
        </w:tc>
        <w:tc>
          <w:tcPr>
            <w:tcW w:w="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New Zealand</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11 %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19 %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Segment Revenues</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21,905</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100 %</w:t>
            </w:r>
          </w:p>
        </w:tc>
        <w:tc>
          <w:tcPr>
            <w:tcW w:w="8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24,235</w:t>
            </w:r>
          </w:p>
        </w:tc>
        <w:tc>
          <w:tcPr>
            <w:tcW w:w="920" w:type="dxa"/>
            <w:vAlign w:val="bottom"/>
            <w:gridSpan w:val="2"/>
          </w:tcPr>
          <w:p>
            <w:pPr>
              <w:jc w:val="right"/>
              <w:ind w:right="28"/>
              <w:spacing w:after="0"/>
              <w:rPr>
                <w:sz w:val="20"/>
                <w:szCs w:val="20"/>
                <w:color w:val="auto"/>
              </w:rPr>
            </w:pPr>
            <w:r>
              <w:rPr>
                <w:rFonts w:ascii="Arial" w:cs="Arial" w:eastAsia="Arial" w:hAnsi="Arial"/>
                <w:sz w:val="14"/>
                <w:szCs w:val="14"/>
                <w:i w:val="1"/>
                <w:iCs w:val="1"/>
                <w:color w:val="auto"/>
              </w:rPr>
              <w:t>100 %</w:t>
            </w:r>
          </w:p>
        </w:tc>
        <w:tc>
          <w:tcPr>
            <w:tcW w:w="8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Real estate revenue for the year ended December 31, 2019 decreased by 10% or $2.3 million, to $21.9 million primarily due to a decrease in revenues from our New Zealand segment related to the ongoing closure of portions of Courtenay Central and Australia segment related to the weakening foreign exchange rate.</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quarter ended December 31, 2019, Real Estate revenue decreased by 11%, or $0.7 million, to $5.4 million primarily related to the ongoing closure of most of the net rentable area of Courtenay Central due to seismic concerns.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 for the Real Estate segment for the year ended December 31, 2019 decreased by 5%, or $0.5 million, to $9.5 million when compared to the same period in 2018 mainly driven by a reduction in both property cost and occupancy expense in New Zealand as a result of the ongoing closure of most of the net rentable area of Courtenay Central. This decrease was further impacted by the weakening Australia and New Zealand dollars.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the quarter ended December 31, 2019, operating expense for the Real Estate segment decreased by 6%, or $0.2 million, to $2.3 million when compared to the same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General and Administrative Expense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amortization, general and administrative expenses for 2019 decreased by 7%, or $0.6 million, to $7.3 million, compared to the same period in 2018 impacted by the weakening Australia and New Zealand dollars.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quarter ended December 31, 2019, depreciation, amortization, and general, and administrative expenses decreased by 6%, or $0.1 million, to $1.9 million compared to the quarter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NON-SEGMENT RESULTS – 2019 vs.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Non-segment general and administrative expense for the year ended December 31, 2019 decreased by $2.4 million or 11%, to $18.9 million compared to the same period in the prior year, primarily related to lower legal expenses.</w:t>
      </w:r>
    </w:p>
    <w:p>
      <w:pPr>
        <w:spacing w:after="0" w:line="14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For more information about the legal expense, please refer to </w:t>
      </w:r>
      <w:r>
        <w:rPr>
          <w:rFonts w:ascii="Arial" w:cs="Arial" w:eastAsia="Arial" w:hAnsi="Arial"/>
          <w:sz w:val="17"/>
          <w:szCs w:val="17"/>
          <w:i w:val="1"/>
          <w:iCs w:val="1"/>
          <w:color w:val="auto"/>
        </w:rPr>
        <w:t>Note 12 – Commitments and Contingencies</w:t>
      </w:r>
      <w:r>
        <w:rPr>
          <w:rFonts w:ascii="Arial" w:cs="Arial" w:eastAsia="Arial" w:hAnsi="Arial"/>
          <w:sz w:val="17"/>
          <w:szCs w:val="17"/>
          <w:color w:val="auto"/>
        </w:rPr>
        <w:t xml:space="preserve"> to the Consolidated Financial Statements included herein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22, 2017, the U.S. Tax Cuts and Jobs Act of 2017 (the “Tax Act”) was signed into law. The Tax Act significantly changed the U.S. corporate income tax law by lowering the statutory corporate tax rate from 35% to 21%, imposed a one-time mandatory repatriation tax on deferred earnings of foreign subsidiaries, and changed how foreign earnings are subject to U.S. tax.</w:t>
      </w:r>
    </w:p>
    <w:p>
      <w:pPr>
        <w:ind w:right="40"/>
        <w:spacing w:after="0" w:line="290" w:lineRule="auto"/>
        <w:rPr>
          <w:sz w:val="20"/>
          <w:szCs w:val="20"/>
          <w:color w:val="auto"/>
        </w:rPr>
      </w:pPr>
      <w:r>
        <w:rPr>
          <w:rFonts w:ascii="Arial" w:cs="Arial" w:eastAsia="Arial" w:hAnsi="Arial"/>
          <w:sz w:val="16"/>
          <w:szCs w:val="16"/>
          <w:color w:val="auto"/>
        </w:rPr>
        <w:t>As the result of the Tax Act and under the guidance of the U.S. Securities and Exchange Commission Staff Accounting Bulletin No. 118, we recorded a provisional tax expense of approximately $13.0 million for the impact of the Tax Act in the fourth quarter of 2017. During the fourth quarter of 2018, upon finalizing the analysis of the impact from the Tax Act, we recorded a tax benefit of $2.3 million as an adjustment to the provisional estimate, for a net tax impact of $10.7 million. The $2.3 million is comprised of an adjustment of $1.2 million to the impact of the one-time mandatory repatriation tax on previously undistributed earnings of our foreign subsidiaries and $1.1 million from the re-measurement of federal net deferred tax liabilities resulting from the reduction in the U.S. statutory corporate tax rate.</w:t>
      </w:r>
    </w:p>
    <w:p>
      <w:pPr>
        <w:spacing w:after="0" w:line="16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Income tax expense increased by $25.5 million, to $28.8 million, compared to 2018, mainly due to the recording of a valuation allowance on the U.S. deferred tax assets in the fourth quarter of 2019, partially offset by the lower pretax income in 2019. Please refer to </w:t>
      </w:r>
      <w:r>
        <w:rPr>
          <w:rFonts w:ascii="Arial" w:cs="Arial" w:eastAsia="Arial" w:hAnsi="Arial"/>
          <w:sz w:val="16"/>
          <w:szCs w:val="16"/>
          <w:i w:val="1"/>
          <w:iCs w:val="1"/>
          <w:color w:val="auto"/>
        </w:rPr>
        <w:t>Note 9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of the Notes to Consolidated Financial Statements in Part II of this Annual Report for further information.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Interest expense (net of interest income) increased by $1.1 million, or 16%, mainly due to an increase in the borrowings in Australia for the acquisitions of CMax Cinema in Devonport and State Cinema in Hobart, and the capital expenditures related to Burwood.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 2018 vs. 2017</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is the comparison of the segment operating income for our two business segments for the years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and 2017,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Cinema</w:t>
            </w:r>
            <w:r>
              <w:rPr>
                <w:rFonts w:ascii="Arial" w:cs="Arial" w:eastAsia="Arial" w:hAnsi="Arial"/>
                <w:sz w:val="7"/>
                <w:szCs w:val="7"/>
                <w:b w:val="1"/>
                <w:bCs w:val="1"/>
                <w:color w:val="auto"/>
                <w:w w:val="98"/>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Real Estate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Cinema</w:t>
            </w:r>
            <w:r>
              <w:rPr>
                <w:rFonts w:ascii="Arial" w:cs="Arial" w:eastAsia="Arial" w:hAnsi="Arial"/>
                <w:sz w:val="7"/>
                <w:szCs w:val="7"/>
                <w:b w:val="1"/>
                <w:bCs w:val="1"/>
                <w:color w:val="auto"/>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Cinema</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Real Estate</w:t>
            </w: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Segments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293,723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Segment 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Operating Expense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(234,818)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(9,904)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(215,020)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(9,436)</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4120" w:type="dxa"/>
            <w:vAlign w:val="bottom"/>
            <w:gridSpan w:val="2"/>
          </w:tcPr>
          <w:p>
            <w:pPr>
              <w:ind w:left="1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(16,314)</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(5,567)</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(12,213)</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(4,256)</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General and administrative expense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(2,140)</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4"/>
                <w:szCs w:val="14"/>
                <w:color w:val="auto"/>
              </w:rPr>
              <w:t>Total segment expenses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(254,856)</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(17,797)</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(230,494)</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(15,832)</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Segment 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203"/>
        </w:trPr>
        <w:tc>
          <w:tcPr>
            <w:tcW w:w="4120" w:type="dxa"/>
            <w:vAlign w:val="bottom"/>
            <w:gridSpan w:val="2"/>
          </w:tcPr>
          <w:p>
            <w:pPr>
              <w:ind w:left="320"/>
              <w:spacing w:after="0"/>
              <w:rPr>
                <w:sz w:val="20"/>
                <w:szCs w:val="20"/>
                <w:color w:val="auto"/>
              </w:rPr>
            </w:pPr>
            <w:r>
              <w:rPr>
                <w:rFonts w:ascii="Arial" w:cs="Arial" w:eastAsia="Arial" w:hAnsi="Arial"/>
                <w:sz w:val="14"/>
                <w:szCs w:val="14"/>
                <w:b w:val="1"/>
                <w:bCs w:val="1"/>
                <w:i w:val="1"/>
                <w:iCs w:val="1"/>
                <w:color w:val="auto"/>
              </w:rPr>
              <w:t>Breakdown by country:</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United States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78 %</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216"/>
        </w:trPr>
        <w:tc>
          <w:tcPr>
            <w:tcW w:w="4120" w:type="dxa"/>
            <w:vAlign w:val="bottom"/>
            <w:gridSpan w:val="2"/>
          </w:tcPr>
          <w:p>
            <w:pPr>
              <w:ind w:left="540"/>
              <w:spacing w:after="0"/>
              <w:rPr>
                <w:sz w:val="20"/>
                <w:szCs w:val="20"/>
                <w:color w:val="auto"/>
              </w:rPr>
            </w:pPr>
            <w:r>
              <w:rPr>
                <w:rFonts w:ascii="Arial" w:cs="Arial" w:eastAsia="Arial" w:hAnsi="Arial"/>
                <w:sz w:val="14"/>
                <w:szCs w:val="14"/>
                <w:color w:val="auto"/>
              </w:rPr>
              <w:t>Australia</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5,623</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New Zealand</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21 %</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38,867</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6,438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32,647</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8,156</w:t>
            </w:r>
          </w:p>
        </w:tc>
        <w:tc>
          <w:tcPr>
            <w:tcW w:w="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19 %</w:t>
            </w:r>
          </w:p>
        </w:tc>
        <w:tc>
          <w:tcPr>
            <w:tcW w:w="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20"/>
        <w:spacing w:after="0"/>
        <w:tabs>
          <w:tab w:leader="none" w:pos="6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See Note 2 of the 2019 10-K for the prior period adjustments for accounting for accrued sales tax deemed not material.</w:t>
      </w:r>
    </w:p>
    <w:p>
      <w:pPr>
        <w:spacing w:after="0" w:line="356" w:lineRule="exact"/>
        <w:rPr>
          <w:rFonts w:ascii="Arial" w:cs="Arial" w:eastAsia="Arial" w:hAnsi="Arial"/>
          <w:sz w:val="14"/>
          <w:szCs w:val="14"/>
          <w:color w:val="auto"/>
        </w:rPr>
      </w:pPr>
    </w:p>
    <w:p>
      <w:pPr>
        <w:ind w:left="4880" w:hanging="156"/>
        <w:spacing w:after="0"/>
        <w:tabs>
          <w:tab w:leader="none" w:pos="4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discussion for each segment follows:</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u w:val="single" w:color="auto"/>
          <w:color w:val="auto"/>
        </w:rPr>
        <w:t>Cinema Exhibition</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Cinema Exhibition segment operating results for the years ended December 31,</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2018 and 2017, respectively:</w:t>
      </w:r>
    </w:p>
    <w:p>
      <w:pPr>
        <w:sectPr>
          <w:pgSz w:w="11900" w:h="16838" w:orient="portrait"/>
          <w:cols w:equalWidth="0" w:num="1">
            <w:col w:w="9940"/>
          </w:cols>
          <w:pgMar w:left="980" w:top="125" w:right="979" w:bottom="1440" w:gutter="0" w:footer="0" w:header="0"/>
        </w:sect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3"/>
              </w:rPr>
              <w:t>(Dollars in thousands)</w:t>
            </w:r>
          </w:p>
        </w:tc>
        <w:tc>
          <w:tcPr>
            <w:tcW w:w="2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103,421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47,656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10,720</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161,797</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65,263</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29,722</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7,011</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101,996</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19,708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8,683</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1,539</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29,930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293,723</w:t>
            </w:r>
          </w:p>
        </w:tc>
        <w:tc>
          <w:tcPr>
            <w:tcW w:w="0" w:type="dxa"/>
            <w:vAlign w:val="bottom"/>
          </w:tcPr>
          <w:p>
            <w:pPr>
              <w:spacing w:after="0"/>
              <w:rPr>
                <w:sz w:val="1"/>
                <w:szCs w:val="1"/>
                <w:color w:val="auto"/>
              </w:rPr>
            </w:pPr>
          </w:p>
        </w:tc>
      </w:tr>
      <w:tr>
        <w:trPr>
          <w:trHeight w:val="227"/>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OPERATING EXPENSE</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(55,269)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(10,457)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(28,963)</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(42,515)</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(137,204)</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(30,151)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(5,967)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(15,995)</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(22,520)</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(74,633)</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(9,259)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(5,153)</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(6,654)</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(22,981)</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39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8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expenses</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(234,818)</w:t>
            </w:r>
          </w:p>
        </w:tc>
        <w:tc>
          <w:tcPr>
            <w:tcW w:w="0" w:type="dxa"/>
            <w:vAlign w:val="bottom"/>
          </w:tcPr>
          <w:p>
            <w:pPr>
              <w:spacing w:after="0"/>
              <w:rPr>
                <w:sz w:val="1"/>
                <w:szCs w:val="1"/>
                <w:color w:val="auto"/>
              </w:rPr>
            </w:pPr>
          </w:p>
        </w:tc>
      </w:tr>
      <w:tr>
        <w:trPr>
          <w:trHeight w:val="103"/>
        </w:trPr>
        <w:tc>
          <w:tcPr>
            <w:tcW w:w="40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DEPRECIATION, AMORTIZATION, GENERAL AND</w:t>
            </w: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ADMINISTRATIVE EXPENSE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(9,957)</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(2,407)</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(12,364)</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(4,763)</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(6,068)</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(1,595)</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(1,606)</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08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w w:val="98"/>
              </w:rPr>
              <w:t>Total depreciation, amortization, and general and administrative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80" w:type="dxa"/>
            <w:vAlign w:val="bottom"/>
            <w:gridSpan w:val="3"/>
            <w:vMerge w:val="continue"/>
          </w:tcPr>
          <w:p>
            <w:pPr>
              <w:spacing w:after="0"/>
              <w:rPr>
                <w:sz w:val="8"/>
                <w:szCs w:val="8"/>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(20,038)</w:t>
            </w:r>
          </w:p>
        </w:tc>
        <w:tc>
          <w:tcPr>
            <w:tcW w:w="0" w:type="dxa"/>
            <w:vAlign w:val="bottom"/>
          </w:tcPr>
          <w:p>
            <w:pPr>
              <w:spacing w:after="0"/>
              <w:rPr>
                <w:sz w:val="1"/>
                <w:szCs w:val="1"/>
                <w:color w:val="auto"/>
              </w:rPr>
            </w:pPr>
          </w:p>
        </w:tc>
      </w:tr>
      <w:tr>
        <w:trPr>
          <w:trHeight w:val="152"/>
        </w:trPr>
        <w:tc>
          <w:tcPr>
            <w:tcW w:w="1200" w:type="dxa"/>
            <w:vAlign w:val="bottom"/>
          </w:tcPr>
          <w:p>
            <w:pPr>
              <w:ind w:left="180"/>
              <w:spacing w:after="0" w:line="140" w:lineRule="exact"/>
              <w:rPr>
                <w:sz w:val="20"/>
                <w:szCs w:val="20"/>
                <w:color w:val="auto"/>
              </w:rPr>
            </w:pPr>
            <w:r>
              <w:rPr>
                <w:rFonts w:ascii="Arial" w:cs="Arial" w:eastAsia="Arial" w:hAnsi="Arial"/>
                <w:sz w:val="13"/>
                <w:szCs w:val="13"/>
                <w:b w:val="1"/>
                <w:bCs w:val="1"/>
                <w:color w:val="auto"/>
              </w:rPr>
              <w:t>expense</w:t>
            </w: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(254,856)</w:t>
            </w:r>
          </w:p>
        </w:tc>
        <w:tc>
          <w:tcPr>
            <w:tcW w:w="0" w:type="dxa"/>
            <w:vAlign w:val="bottom"/>
          </w:tcPr>
          <w:p>
            <w:pPr>
              <w:spacing w:after="0"/>
              <w:rPr>
                <w:sz w:val="1"/>
                <w:szCs w:val="1"/>
                <w:color w:val="auto"/>
              </w:rPr>
            </w:pPr>
          </w:p>
        </w:tc>
      </w:tr>
      <w:tr>
        <w:trPr>
          <w:trHeight w:val="227"/>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OPERATING INCOME (LOSS)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12,229</w:t>
            </w: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21,295</w:t>
            </w:r>
          </w:p>
        </w:tc>
        <w:tc>
          <w:tcPr>
            <w:tcW w:w="0" w:type="dxa"/>
            <w:vAlign w:val="bottom"/>
          </w:tcPr>
          <w:p>
            <w:pPr>
              <w:spacing w:after="0"/>
              <w:rPr>
                <w:sz w:val="1"/>
                <w:szCs w:val="1"/>
                <w:color w:val="auto"/>
              </w:rPr>
            </w:pPr>
          </w:p>
        </w:tc>
      </w:tr>
      <w:tr>
        <w:trPr>
          <w:trHeight w:val="212"/>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5,343</w:t>
            </w:r>
          </w:p>
        </w:tc>
        <w:tc>
          <w:tcPr>
            <w:tcW w:w="0" w:type="dxa"/>
            <w:vAlign w:val="bottom"/>
          </w:tcPr>
          <w:p>
            <w:pPr>
              <w:spacing w:after="0"/>
              <w:rPr>
                <w:sz w:val="1"/>
                <w:szCs w:val="1"/>
                <w:color w:val="auto"/>
              </w:rPr>
            </w:pPr>
          </w:p>
        </w:tc>
      </w:tr>
      <w:tr>
        <w:trPr>
          <w:trHeight w:val="196"/>
        </w:trPr>
        <w:tc>
          <w:tcPr>
            <w:tcW w:w="408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income (loss)</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38,867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-7114540</wp:posOffset>
            </wp:positionV>
            <wp:extent cx="630936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-6840220</wp:posOffset>
            </wp:positionV>
            <wp:extent cx="63093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-6565900</wp:posOffset>
            </wp:positionV>
            <wp:extent cx="630936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-6291580</wp:posOffset>
            </wp:positionV>
            <wp:extent cx="630936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-6017260</wp:posOffset>
            </wp:positionV>
            <wp:extent cx="630936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-5742940</wp:posOffset>
            </wp:positionV>
            <wp:extent cx="630936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-5468620</wp:posOffset>
            </wp:positionV>
            <wp:extent cx="630936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-4911090</wp:posOffset>
            </wp:positionV>
            <wp:extent cx="630936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-4636770</wp:posOffset>
            </wp:positionV>
            <wp:extent cx="63093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-4362450</wp:posOffset>
            </wp:positionV>
            <wp:extent cx="630936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-4088130</wp:posOffset>
            </wp:positionV>
            <wp:extent cx="630936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-3539490</wp:posOffset>
            </wp:positionV>
            <wp:extent cx="630936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-3265170</wp:posOffset>
            </wp:positionV>
            <wp:extent cx="630936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-2990850</wp:posOffset>
            </wp:positionV>
            <wp:extent cx="630936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-2407920</wp:posOffset>
            </wp:positionV>
            <wp:extent cx="630936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-2133600</wp:posOffset>
            </wp:positionV>
            <wp:extent cx="630936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-1585595</wp:posOffset>
            </wp:positionV>
            <wp:extent cx="63093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-1310640</wp:posOffset>
            </wp:positionV>
            <wp:extent cx="63093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630936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30936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-719455</wp:posOffset>
            </wp:positionV>
            <wp:extent cx="630936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-1010920</wp:posOffset>
            </wp:positionV>
            <wp:extent cx="630936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09360"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-1859280</wp:posOffset>
            </wp:positionV>
            <wp:extent cx="63093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-2725420</wp:posOffset>
            </wp:positionV>
            <wp:extent cx="6309360"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093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-3813810</wp:posOffset>
            </wp:positionV>
            <wp:extent cx="630936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-5202555</wp:posOffset>
            </wp:positionV>
            <wp:extent cx="630936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093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21590</wp:posOffset>
            </wp:positionV>
            <wp:extent cx="56578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64 %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29 %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7 %</w:t>
      </w:r>
    </w:p>
    <w:p>
      <w:pPr>
        <w:ind w:left="300"/>
        <w:spacing w:after="0"/>
        <w:rPr>
          <w:sz w:val="20"/>
          <w:szCs w:val="20"/>
          <w:color w:val="auto"/>
        </w:rPr>
      </w:pPr>
      <w:r>
        <w:rPr>
          <w:rFonts w:ascii="Arial" w:cs="Arial" w:eastAsia="Arial" w:hAnsi="Arial"/>
          <w:sz w:val="13"/>
          <w:szCs w:val="13"/>
          <w:i w:val="1"/>
          <w:iCs w:val="1"/>
          <w:color w:val="auto"/>
        </w:rPr>
        <w:t>100 %</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64 %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29 %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7 %</w:t>
      </w:r>
    </w:p>
    <w:p>
      <w:pPr>
        <w:ind w:left="300"/>
        <w:spacing w:after="0"/>
        <w:rPr>
          <w:sz w:val="20"/>
          <w:szCs w:val="20"/>
          <w:color w:val="auto"/>
        </w:rPr>
      </w:pPr>
      <w:r>
        <w:rPr>
          <w:rFonts w:ascii="Arial" w:cs="Arial" w:eastAsia="Arial" w:hAnsi="Arial"/>
          <w:sz w:val="13"/>
          <w:szCs w:val="13"/>
          <w:i w:val="1"/>
          <w:iCs w:val="1"/>
          <w:color w:val="auto"/>
        </w:rPr>
        <w:t>100 %</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66 %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29 %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5 %</w:t>
      </w:r>
    </w:p>
    <w:p>
      <w:pPr>
        <w:ind w:left="300"/>
        <w:spacing w:after="0"/>
        <w:rPr>
          <w:sz w:val="20"/>
          <w:szCs w:val="20"/>
          <w:color w:val="auto"/>
        </w:rPr>
      </w:pPr>
      <w:r>
        <w:rPr>
          <w:rFonts w:ascii="Arial" w:cs="Arial" w:eastAsia="Arial" w:hAnsi="Arial"/>
          <w:sz w:val="13"/>
          <w:szCs w:val="13"/>
          <w:i w:val="1"/>
          <w:iCs w:val="1"/>
          <w:color w:val="auto"/>
        </w:rPr>
        <w:t>100 %</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100 %</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(34)%</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(18)%</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(27)%</w:t>
      </w:r>
    </w:p>
    <w:p>
      <w:pPr>
        <w:ind w:left="300"/>
        <w:spacing w:after="0"/>
        <w:rPr>
          <w:sz w:val="20"/>
          <w:szCs w:val="20"/>
          <w:color w:val="auto"/>
        </w:rPr>
      </w:pPr>
      <w:r>
        <w:rPr>
          <w:rFonts w:ascii="Arial" w:cs="Arial" w:eastAsia="Arial" w:hAnsi="Arial"/>
          <w:sz w:val="13"/>
          <w:szCs w:val="13"/>
          <w:i w:val="1"/>
          <w:iCs w:val="1"/>
          <w:color w:val="auto"/>
        </w:rPr>
        <w:t>(85)%</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(30)%</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(16)%</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(22)%</w:t>
      </w:r>
    </w:p>
    <w:p>
      <w:pPr>
        <w:ind w:left="300"/>
        <w:spacing w:after="0"/>
        <w:rPr>
          <w:sz w:val="20"/>
          <w:szCs w:val="20"/>
          <w:color w:val="auto"/>
        </w:rPr>
      </w:pPr>
      <w:r>
        <w:rPr>
          <w:rFonts w:ascii="Arial" w:cs="Arial" w:eastAsia="Arial" w:hAnsi="Arial"/>
          <w:sz w:val="13"/>
          <w:szCs w:val="13"/>
          <w:i w:val="1"/>
          <w:iCs w:val="1"/>
          <w:color w:val="auto"/>
        </w:rPr>
        <w:t>(74)%</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(31)%</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(17)%</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(22)%</w:t>
      </w:r>
    </w:p>
    <w:p>
      <w:pPr>
        <w:ind w:left="300"/>
        <w:spacing w:after="0"/>
        <w:rPr>
          <w:sz w:val="20"/>
          <w:szCs w:val="20"/>
          <w:color w:val="auto"/>
        </w:rPr>
      </w:pPr>
      <w:r>
        <w:rPr>
          <w:rFonts w:ascii="Arial" w:cs="Arial" w:eastAsia="Arial" w:hAnsi="Arial"/>
          <w:sz w:val="13"/>
          <w:szCs w:val="13"/>
          <w:i w:val="1"/>
          <w:iCs w:val="1"/>
          <w:color w:val="auto"/>
        </w:rPr>
        <w:t>(76)%</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(80)%</w:t>
      </w:r>
    </w:p>
    <w:p>
      <w:pPr>
        <w:spacing w:after="0" w:line="33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(2)%</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(8)%</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(5)%</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(1)%</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(5)%</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w:t>
      </w:r>
    </w:p>
    <w:p>
      <w:pPr>
        <w:jc w:val="right"/>
        <w:ind w:right="60"/>
        <w:spacing w:after="0"/>
        <w:rPr>
          <w:sz w:val="20"/>
          <w:szCs w:val="20"/>
          <w:color w:val="auto"/>
        </w:rPr>
      </w:pPr>
      <w:r>
        <w:rPr>
          <w:rFonts w:ascii="Arial" w:cs="Arial" w:eastAsia="Arial" w:hAnsi="Arial"/>
          <w:sz w:val="13"/>
          <w:szCs w:val="13"/>
          <w:i w:val="1"/>
          <w:iCs w:val="1"/>
          <w:color w:val="auto"/>
        </w:rPr>
        <w:t>(5)%</w:t>
      </w: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(7)%</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(87)%</w:t>
      </w:r>
    </w:p>
    <w:p>
      <w:pPr>
        <w:spacing w:after="0" w:line="154"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 xml:space="preserve">8 </w:t>
      </w:r>
      <w:r>
        <w:rPr>
          <w:rFonts w:ascii="Arial" w:cs="Arial" w:eastAsia="Arial" w:hAnsi="Arial"/>
          <w:sz w:val="25"/>
          <w:szCs w:val="25"/>
          <w:i w:val="1"/>
          <w:iCs w:val="1"/>
          <w:color w:val="auto"/>
          <w:vertAlign w:val="superscript"/>
        </w:rPr>
        <w:t>%</w:t>
      </w:r>
    </w:p>
    <w:p>
      <w:pPr>
        <w:jc w:val="right"/>
        <w:ind w:right="60"/>
        <w:spacing w:after="0" w:line="180" w:lineRule="auto"/>
        <w:rPr>
          <w:sz w:val="20"/>
          <w:szCs w:val="20"/>
          <w:color w:val="auto"/>
        </w:rPr>
      </w:pPr>
      <w:r>
        <w:rPr>
          <w:rFonts w:ascii="Arial" w:cs="Arial" w:eastAsia="Arial" w:hAnsi="Arial"/>
          <w:sz w:val="13"/>
          <w:szCs w:val="13"/>
          <w:i w:val="1"/>
          <w:iCs w:val="1"/>
          <w:color w:val="auto"/>
        </w:rPr>
        <w:t xml:space="preserve">21 </w:t>
      </w:r>
      <w:r>
        <w:rPr>
          <w:rFonts w:ascii="Arial" w:cs="Arial" w:eastAsia="Arial" w:hAnsi="Arial"/>
          <w:sz w:val="25"/>
          <w:szCs w:val="25"/>
          <w:i w:val="1"/>
          <w:iCs w:val="1"/>
          <w:color w:val="auto"/>
          <w:vertAlign w:val="superscript"/>
        </w:rPr>
        <w:t>%</w:t>
      </w:r>
    </w:p>
    <w:p>
      <w:pPr>
        <w:ind w:left="360"/>
        <w:spacing w:after="0"/>
        <w:rPr>
          <w:sz w:val="20"/>
          <w:szCs w:val="20"/>
          <w:color w:val="auto"/>
        </w:rPr>
      </w:pPr>
      <w:r>
        <w:rPr>
          <w:rFonts w:ascii="Arial" w:cs="Arial" w:eastAsia="Arial" w:hAnsi="Arial"/>
          <w:sz w:val="12"/>
          <w:szCs w:val="12"/>
          <w:i w:val="1"/>
          <w:iCs w:val="1"/>
          <w:color w:val="auto"/>
        </w:rPr>
        <w:t xml:space="preserve">18 </w:t>
      </w:r>
      <w:r>
        <w:rPr>
          <w:rFonts w:ascii="Arial" w:cs="Arial" w:eastAsia="Arial" w:hAnsi="Arial"/>
          <w:sz w:val="24"/>
          <w:szCs w:val="24"/>
          <w:i w:val="1"/>
          <w:iCs w:val="1"/>
          <w:color w:val="auto"/>
          <w:vertAlign w:val="superscript"/>
        </w:rPr>
        <w:t>%</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13 %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383"/>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5151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94" w:lineRule="exact"/>
        <w:rPr>
          <w:sz w:val="20"/>
          <w:szCs w:val="20"/>
          <w:color w:val="auto"/>
        </w:rPr>
      </w:pPr>
    </w:p>
    <w:p>
      <w:pPr>
        <w:ind w:left="643" w:hanging="643"/>
        <w:spacing w:after="0"/>
        <w:tabs>
          <w:tab w:leader="none" w:pos="643" w:val="left"/>
        </w:tabs>
        <w:numPr>
          <w:ilvl w:val="0"/>
          <w:numId w:val="90"/>
        </w:numPr>
        <w:rPr>
          <w:rFonts w:ascii="Arial" w:cs="Arial" w:eastAsia="Arial" w:hAnsi="Arial"/>
          <w:sz w:val="12"/>
          <w:szCs w:val="12"/>
          <w:color w:val="auto"/>
        </w:rPr>
      </w:pPr>
      <w:r>
        <w:rPr>
          <w:rFonts w:ascii="Arial" w:cs="Arial" w:eastAsia="Arial" w:hAnsi="Arial"/>
          <w:sz w:val="12"/>
          <w:szCs w:val="12"/>
          <w:color w:val="auto"/>
        </w:rPr>
        <w:t>87,646</w:t>
      </w:r>
    </w:p>
    <w:p>
      <w:pPr>
        <w:spacing w:after="0" w:line="78" w:lineRule="exact"/>
        <w:rPr>
          <w:rFonts w:ascii="Arial" w:cs="Arial" w:eastAsia="Arial" w:hAnsi="Arial"/>
          <w:sz w:val="12"/>
          <w:szCs w:val="12"/>
          <w:color w:val="auto"/>
        </w:rPr>
      </w:pPr>
    </w:p>
    <w:p>
      <w:pPr>
        <w:ind w:left="643"/>
        <w:spacing w:after="0"/>
        <w:rPr>
          <w:rFonts w:ascii="Arial" w:cs="Arial" w:eastAsia="Arial" w:hAnsi="Arial"/>
          <w:sz w:val="12"/>
          <w:szCs w:val="12"/>
          <w:color w:val="auto"/>
        </w:rPr>
      </w:pPr>
      <w:r>
        <w:rPr>
          <w:rFonts w:ascii="Arial" w:cs="Arial" w:eastAsia="Arial" w:hAnsi="Arial"/>
          <w:sz w:val="12"/>
          <w:szCs w:val="12"/>
          <w:color w:val="auto"/>
        </w:rPr>
        <w:t>41,588</w:t>
      </w:r>
    </w:p>
    <w:p>
      <w:pPr>
        <w:spacing w:after="0" w:line="78" w:lineRule="exact"/>
        <w:rPr>
          <w:sz w:val="20"/>
          <w:szCs w:val="20"/>
          <w:color w:val="auto"/>
        </w:rPr>
      </w:pPr>
    </w:p>
    <w:p>
      <w:pPr>
        <w:ind w:left="703"/>
        <w:spacing w:after="0"/>
        <w:rPr>
          <w:sz w:val="20"/>
          <w:szCs w:val="20"/>
          <w:color w:val="auto"/>
        </w:rPr>
      </w:pPr>
      <w:r>
        <w:rPr>
          <w:rFonts w:ascii="Arial" w:cs="Arial" w:eastAsia="Arial" w:hAnsi="Arial"/>
          <w:sz w:val="12"/>
          <w:szCs w:val="12"/>
          <w:color w:val="auto"/>
        </w:rPr>
        <w:t>9,521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583" w:hanging="583"/>
        <w:spacing w:after="0" w:line="187" w:lineRule="auto"/>
        <w:tabs>
          <w:tab w:leader="none" w:pos="583" w:val="left"/>
        </w:tabs>
        <w:numPr>
          <w:ilvl w:val="0"/>
          <w:numId w:val="91"/>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138,755</w:t>
      </w:r>
    </w:p>
    <w:p>
      <w:pPr>
        <w:spacing w:after="0" w:line="124" w:lineRule="exact"/>
        <w:rPr>
          <w:sz w:val="20"/>
          <w:szCs w:val="20"/>
          <w:color w:val="auto"/>
        </w:rPr>
      </w:pPr>
    </w:p>
    <w:p>
      <w:pPr>
        <w:ind w:left="643" w:hanging="643"/>
        <w:spacing w:after="0"/>
        <w:tabs>
          <w:tab w:leader="none" w:pos="643" w:val="left"/>
        </w:tabs>
        <w:numPr>
          <w:ilvl w:val="0"/>
          <w:numId w:val="92"/>
        </w:numPr>
        <w:rPr>
          <w:rFonts w:ascii="Arial" w:cs="Arial" w:eastAsia="Arial" w:hAnsi="Arial"/>
          <w:sz w:val="12"/>
          <w:szCs w:val="12"/>
          <w:color w:val="auto"/>
        </w:rPr>
      </w:pPr>
      <w:r>
        <w:rPr>
          <w:rFonts w:ascii="Arial" w:cs="Arial" w:eastAsia="Arial" w:hAnsi="Arial"/>
          <w:sz w:val="12"/>
          <w:szCs w:val="12"/>
          <w:color w:val="auto"/>
        </w:rPr>
        <w:t>60,736</w:t>
      </w:r>
    </w:p>
    <w:p>
      <w:pPr>
        <w:spacing w:after="0" w:line="78" w:lineRule="exact"/>
        <w:rPr>
          <w:rFonts w:ascii="Arial" w:cs="Arial" w:eastAsia="Arial" w:hAnsi="Arial"/>
          <w:sz w:val="12"/>
          <w:szCs w:val="12"/>
          <w:color w:val="auto"/>
        </w:rPr>
      </w:pPr>
    </w:p>
    <w:p>
      <w:pPr>
        <w:ind w:left="643"/>
        <w:spacing w:after="0"/>
        <w:rPr>
          <w:rFonts w:ascii="Arial" w:cs="Arial" w:eastAsia="Arial" w:hAnsi="Arial"/>
          <w:sz w:val="12"/>
          <w:szCs w:val="12"/>
          <w:color w:val="auto"/>
        </w:rPr>
      </w:pPr>
      <w:r>
        <w:rPr>
          <w:rFonts w:ascii="Arial" w:cs="Arial" w:eastAsia="Arial" w:hAnsi="Arial"/>
          <w:sz w:val="12"/>
          <w:szCs w:val="12"/>
          <w:color w:val="auto"/>
        </w:rPr>
        <w:t>28,746</w:t>
      </w:r>
    </w:p>
    <w:p>
      <w:pPr>
        <w:spacing w:after="0" w:line="78" w:lineRule="exact"/>
        <w:rPr>
          <w:sz w:val="20"/>
          <w:szCs w:val="20"/>
          <w:color w:val="auto"/>
        </w:rPr>
      </w:pPr>
    </w:p>
    <w:p>
      <w:pPr>
        <w:ind w:left="703"/>
        <w:spacing w:after="0"/>
        <w:rPr>
          <w:sz w:val="20"/>
          <w:szCs w:val="20"/>
          <w:color w:val="auto"/>
        </w:rPr>
      </w:pPr>
      <w:r>
        <w:rPr>
          <w:rFonts w:ascii="Arial" w:cs="Arial" w:eastAsia="Arial" w:hAnsi="Arial"/>
          <w:sz w:val="12"/>
          <w:szCs w:val="12"/>
          <w:color w:val="auto"/>
        </w:rPr>
        <w:t>7,124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43" w:hanging="643"/>
        <w:spacing w:after="0" w:line="187" w:lineRule="auto"/>
        <w:tabs>
          <w:tab w:leader="none" w:pos="643" w:val="left"/>
        </w:tabs>
        <w:numPr>
          <w:ilvl w:val="0"/>
          <w:numId w:val="93"/>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96,606</w:t>
      </w:r>
    </w:p>
    <w:p>
      <w:pPr>
        <w:spacing w:after="0" w:line="124" w:lineRule="exact"/>
        <w:rPr>
          <w:sz w:val="20"/>
          <w:szCs w:val="20"/>
          <w:color w:val="auto"/>
        </w:rPr>
      </w:pPr>
    </w:p>
    <w:p>
      <w:pPr>
        <w:ind w:left="643" w:hanging="643"/>
        <w:spacing w:after="0"/>
        <w:tabs>
          <w:tab w:leader="none" w:pos="643" w:val="left"/>
        </w:tabs>
        <w:numPr>
          <w:ilvl w:val="0"/>
          <w:numId w:val="94"/>
        </w:numPr>
        <w:rPr>
          <w:rFonts w:ascii="Arial" w:cs="Arial" w:eastAsia="Arial" w:hAnsi="Arial"/>
          <w:sz w:val="12"/>
          <w:szCs w:val="12"/>
          <w:color w:val="auto"/>
        </w:rPr>
      </w:pPr>
      <w:r>
        <w:rPr>
          <w:rFonts w:ascii="Arial" w:cs="Arial" w:eastAsia="Arial" w:hAnsi="Arial"/>
          <w:sz w:val="12"/>
          <w:szCs w:val="12"/>
          <w:color w:val="auto"/>
        </w:rPr>
        <w:t>17,495</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7,689</w:t>
      </w:r>
    </w:p>
    <w:p>
      <w:pPr>
        <w:spacing w:after="0" w:line="78" w:lineRule="exact"/>
        <w:rPr>
          <w:sz w:val="20"/>
          <w:szCs w:val="20"/>
          <w:color w:val="auto"/>
        </w:rPr>
      </w:pPr>
    </w:p>
    <w:p>
      <w:pPr>
        <w:ind w:left="703"/>
        <w:spacing w:after="0"/>
        <w:rPr>
          <w:sz w:val="20"/>
          <w:szCs w:val="20"/>
          <w:color w:val="auto"/>
        </w:rPr>
      </w:pPr>
      <w:r>
        <w:rPr>
          <w:rFonts w:ascii="Arial" w:cs="Arial" w:eastAsia="Arial" w:hAnsi="Arial"/>
          <w:sz w:val="12"/>
          <w:szCs w:val="12"/>
          <w:color w:val="auto"/>
        </w:rPr>
        <w:t>2,596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643" w:hanging="643"/>
        <w:spacing w:after="0" w:line="187" w:lineRule="auto"/>
        <w:tabs>
          <w:tab w:leader="none" w:pos="643" w:val="left"/>
        </w:tabs>
        <w:numPr>
          <w:ilvl w:val="0"/>
          <w:numId w:val="95"/>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27,780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6515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302" w:lineRule="exact"/>
        <w:rPr>
          <w:sz w:val="20"/>
          <w:szCs w:val="20"/>
          <w:color w:val="auto"/>
        </w:rPr>
      </w:pPr>
    </w:p>
    <w:p>
      <w:pPr>
        <w:ind w:left="583" w:hanging="583"/>
        <w:spacing w:after="0"/>
        <w:tabs>
          <w:tab w:leader="none" w:pos="583"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263,141</w:t>
      </w:r>
    </w:p>
    <w:p>
      <w:pPr>
        <w:spacing w:after="0" w:line="325" w:lineRule="exact"/>
        <w:rPr>
          <w:sz w:val="20"/>
          <w:szCs w:val="20"/>
          <w:color w:val="auto"/>
        </w:rPr>
      </w:pPr>
    </w:p>
    <w:p>
      <w:pPr>
        <w:ind w:left="603" w:hanging="603"/>
        <w:spacing w:after="0"/>
        <w:tabs>
          <w:tab w:leader="none" w:pos="603" w:val="left"/>
        </w:tabs>
        <w:numPr>
          <w:ilvl w:val="0"/>
          <w:numId w:val="97"/>
        </w:numPr>
        <w:rPr>
          <w:rFonts w:ascii="Arial" w:cs="Arial" w:eastAsia="Arial" w:hAnsi="Arial"/>
          <w:sz w:val="10"/>
          <w:szCs w:val="10"/>
          <w:color w:val="auto"/>
        </w:rPr>
      </w:pPr>
      <w:r>
        <w:rPr>
          <w:rFonts w:ascii="Arial" w:cs="Arial" w:eastAsia="Arial" w:hAnsi="Arial"/>
          <w:sz w:val="10"/>
          <w:szCs w:val="10"/>
          <w:color w:val="auto"/>
        </w:rPr>
        <w:t>(46,520)</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(8,325)</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(28,903)</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(39,920)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543" w:hanging="543"/>
        <w:spacing w:after="0" w:line="184" w:lineRule="auto"/>
        <w:tabs>
          <w:tab w:leader="none" w:pos="543" w:val="left"/>
        </w:tabs>
        <w:numPr>
          <w:ilvl w:val="0"/>
          <w:numId w:val="98"/>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(123,668)</w:t>
      </w:r>
    </w:p>
    <w:p>
      <w:pPr>
        <w:spacing w:after="0" w:line="124" w:lineRule="exact"/>
        <w:rPr>
          <w:sz w:val="20"/>
          <w:szCs w:val="20"/>
          <w:color w:val="auto"/>
        </w:rPr>
      </w:pPr>
    </w:p>
    <w:p>
      <w:pPr>
        <w:ind w:left="603" w:hanging="603"/>
        <w:spacing w:after="0"/>
        <w:tabs>
          <w:tab w:leader="none" w:pos="603" w:val="left"/>
        </w:tabs>
        <w:numPr>
          <w:ilvl w:val="0"/>
          <w:numId w:val="99"/>
        </w:numPr>
        <w:rPr>
          <w:rFonts w:ascii="Arial" w:cs="Arial" w:eastAsia="Arial" w:hAnsi="Arial"/>
          <w:sz w:val="10"/>
          <w:szCs w:val="10"/>
          <w:color w:val="auto"/>
        </w:rPr>
      </w:pPr>
      <w:r>
        <w:rPr>
          <w:rFonts w:ascii="Arial" w:cs="Arial" w:eastAsia="Arial" w:hAnsi="Arial"/>
          <w:sz w:val="10"/>
          <w:szCs w:val="10"/>
          <w:color w:val="auto"/>
        </w:rPr>
        <w:t>(28,286)</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(5,964)</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(14,921)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(20,620)</w:t>
      </w:r>
    </w:p>
    <w:p>
      <w:pPr>
        <w:ind w:left="603" w:hanging="603"/>
        <w:spacing w:after="0" w:line="184" w:lineRule="auto"/>
        <w:tabs>
          <w:tab w:leader="none" w:pos="603" w:val="left"/>
        </w:tabs>
        <w:numPr>
          <w:ilvl w:val="0"/>
          <w:numId w:val="100"/>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(69,791)</w:t>
      </w:r>
    </w:p>
    <w:p>
      <w:pPr>
        <w:spacing w:after="0" w:line="124" w:lineRule="exact"/>
        <w:rPr>
          <w:sz w:val="20"/>
          <w:szCs w:val="20"/>
          <w:color w:val="auto"/>
        </w:rPr>
      </w:pPr>
    </w:p>
    <w:p>
      <w:pPr>
        <w:ind w:left="663" w:hanging="663"/>
        <w:spacing w:after="0"/>
        <w:tabs>
          <w:tab w:leader="none" w:pos="663" w:val="left"/>
        </w:tabs>
        <w:numPr>
          <w:ilvl w:val="0"/>
          <w:numId w:val="101"/>
        </w:numPr>
        <w:rPr>
          <w:rFonts w:ascii="Arial" w:cs="Arial" w:eastAsia="Arial" w:hAnsi="Arial"/>
          <w:sz w:val="10"/>
          <w:szCs w:val="10"/>
          <w:color w:val="auto"/>
        </w:rPr>
      </w:pPr>
      <w:r>
        <w:rPr>
          <w:rFonts w:ascii="Arial" w:cs="Arial" w:eastAsia="Arial" w:hAnsi="Arial"/>
          <w:sz w:val="10"/>
          <w:szCs w:val="10"/>
          <w:color w:val="auto"/>
        </w:rPr>
        <w:t>(8,203)</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(1,771)</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(5,128)</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03" w:hanging="603"/>
        <w:spacing w:after="0" w:line="184" w:lineRule="auto"/>
        <w:tabs>
          <w:tab w:leader="none" w:pos="603" w:val="left"/>
        </w:tabs>
        <w:numPr>
          <w:ilvl w:val="0"/>
          <w:numId w:val="102"/>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(21,561)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6515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302" w:lineRule="exact"/>
        <w:rPr>
          <w:sz w:val="20"/>
          <w:szCs w:val="20"/>
          <w:color w:val="auto"/>
        </w:rPr>
      </w:pPr>
    </w:p>
    <w:p>
      <w:pPr>
        <w:ind w:left="543" w:hanging="543"/>
        <w:spacing w:after="0"/>
        <w:tabs>
          <w:tab w:leader="none" w:pos="543" w:val="left"/>
        </w:tabs>
        <w:numPr>
          <w:ilvl w:val="0"/>
          <w:numId w:val="103"/>
        </w:numPr>
        <w:rPr>
          <w:rFonts w:ascii="Arial" w:cs="Arial" w:eastAsia="Arial" w:hAnsi="Arial"/>
          <w:sz w:val="10"/>
          <w:szCs w:val="10"/>
          <w:b w:val="1"/>
          <w:bCs w:val="1"/>
          <w:color w:val="auto"/>
        </w:rPr>
      </w:pPr>
      <w:r>
        <w:rPr>
          <w:rFonts w:ascii="Arial" w:cs="Arial" w:eastAsia="Arial" w:hAnsi="Arial"/>
          <w:sz w:val="10"/>
          <w:szCs w:val="10"/>
          <w:b w:val="1"/>
          <w:bCs w:val="1"/>
          <w:color w:val="auto"/>
        </w:rPr>
        <w:t>(215,020)</w:t>
      </w:r>
    </w:p>
    <w:p>
      <w:pPr>
        <w:spacing w:after="0" w:line="389" w:lineRule="exact"/>
        <w:rPr>
          <w:sz w:val="20"/>
          <w:szCs w:val="20"/>
          <w:color w:val="auto"/>
        </w:rPr>
      </w:pPr>
    </w:p>
    <w:p>
      <w:pPr>
        <w:ind w:left="663" w:hanging="663"/>
        <w:spacing w:after="0"/>
        <w:tabs>
          <w:tab w:leader="none" w:pos="663" w:val="left"/>
        </w:tabs>
        <w:numPr>
          <w:ilvl w:val="0"/>
          <w:numId w:val="104"/>
        </w:numPr>
        <w:rPr>
          <w:rFonts w:ascii="Arial" w:cs="Arial" w:eastAsia="Arial" w:hAnsi="Arial"/>
          <w:sz w:val="10"/>
          <w:szCs w:val="10"/>
          <w:color w:val="auto"/>
        </w:rPr>
      </w:pPr>
      <w:r>
        <w:rPr>
          <w:rFonts w:ascii="Arial" w:cs="Arial" w:eastAsia="Arial" w:hAnsi="Arial"/>
          <w:sz w:val="10"/>
          <w:szCs w:val="10"/>
          <w:color w:val="auto"/>
        </w:rPr>
        <w:t>(6,092)</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63" w:hanging="663"/>
        <w:spacing w:after="0" w:line="184" w:lineRule="auto"/>
        <w:tabs>
          <w:tab w:leader="none" w:pos="663" w:val="left"/>
        </w:tabs>
        <w:numPr>
          <w:ilvl w:val="0"/>
          <w:numId w:val="105"/>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(8,203)</w:t>
      </w:r>
    </w:p>
    <w:p>
      <w:pPr>
        <w:spacing w:after="0" w:line="124" w:lineRule="exact"/>
        <w:rPr>
          <w:sz w:val="20"/>
          <w:szCs w:val="20"/>
          <w:color w:val="auto"/>
        </w:rPr>
      </w:pPr>
    </w:p>
    <w:p>
      <w:pPr>
        <w:ind w:left="663" w:hanging="663"/>
        <w:spacing w:after="0"/>
        <w:tabs>
          <w:tab w:leader="none" w:pos="663" w:val="left"/>
        </w:tabs>
        <w:numPr>
          <w:ilvl w:val="0"/>
          <w:numId w:val="106"/>
        </w:numPr>
        <w:rPr>
          <w:rFonts w:ascii="Arial" w:cs="Arial" w:eastAsia="Arial" w:hAnsi="Arial"/>
          <w:sz w:val="10"/>
          <w:szCs w:val="10"/>
          <w:color w:val="auto"/>
        </w:rPr>
      </w:pPr>
      <w:r>
        <w:rPr>
          <w:rFonts w:ascii="Arial" w:cs="Arial" w:eastAsia="Arial" w:hAnsi="Arial"/>
          <w:sz w:val="10"/>
          <w:szCs w:val="10"/>
          <w:color w:val="auto"/>
        </w:rPr>
        <w:t>(4,357)</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(1,100)</w:t>
      </w:r>
    </w:p>
    <w:p>
      <w:pPr>
        <w:ind w:left="663" w:hanging="663"/>
        <w:spacing w:after="0" w:line="184" w:lineRule="auto"/>
        <w:tabs>
          <w:tab w:leader="none" w:pos="663" w:val="left"/>
        </w:tabs>
        <w:numPr>
          <w:ilvl w:val="0"/>
          <w:numId w:val="107"/>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(5,457)</w:t>
      </w:r>
    </w:p>
    <w:p>
      <w:pPr>
        <w:spacing w:after="0" w:line="124" w:lineRule="exact"/>
        <w:rPr>
          <w:sz w:val="20"/>
          <w:szCs w:val="20"/>
          <w:color w:val="auto"/>
        </w:rPr>
      </w:pPr>
    </w:p>
    <w:p>
      <w:pPr>
        <w:ind w:left="663" w:hanging="663"/>
        <w:spacing w:after="0"/>
        <w:tabs>
          <w:tab w:leader="none" w:pos="663" w:val="left"/>
        </w:tabs>
        <w:numPr>
          <w:ilvl w:val="0"/>
          <w:numId w:val="108"/>
        </w:numPr>
        <w:rPr>
          <w:rFonts w:ascii="Arial" w:cs="Arial" w:eastAsia="Arial" w:hAnsi="Arial"/>
          <w:sz w:val="10"/>
          <w:szCs w:val="10"/>
          <w:color w:val="auto"/>
        </w:rPr>
      </w:pPr>
      <w:r>
        <w:rPr>
          <w:rFonts w:ascii="Arial" w:cs="Arial" w:eastAsia="Arial" w:hAnsi="Arial"/>
          <w:sz w:val="10"/>
          <w:szCs w:val="10"/>
          <w:color w:val="auto"/>
        </w:rPr>
        <w:t>(1,763)</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63" w:hanging="663"/>
        <w:spacing w:after="0" w:line="184" w:lineRule="auto"/>
        <w:tabs>
          <w:tab w:leader="none" w:pos="663" w:val="left"/>
        </w:tabs>
        <w:numPr>
          <w:ilvl w:val="0"/>
          <w:numId w:val="109"/>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6515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356" w:lineRule="exact"/>
        <w:rPr>
          <w:sz w:val="20"/>
          <w:szCs w:val="20"/>
          <w:color w:val="auto"/>
        </w:rPr>
      </w:pPr>
    </w:p>
    <w:p>
      <w:pPr>
        <w:ind w:left="603" w:hanging="603"/>
        <w:spacing w:after="0"/>
        <w:tabs>
          <w:tab w:leader="none" w:pos="603" w:val="left"/>
        </w:tabs>
        <w:numPr>
          <w:ilvl w:val="0"/>
          <w:numId w:val="110"/>
        </w:numPr>
        <w:rPr>
          <w:rFonts w:ascii="Arial" w:cs="Arial" w:eastAsia="Arial" w:hAnsi="Arial"/>
          <w:sz w:val="10"/>
          <w:szCs w:val="10"/>
          <w:b w:val="1"/>
          <w:bCs w:val="1"/>
          <w:color w:val="auto"/>
        </w:rPr>
      </w:pPr>
      <w:r>
        <w:rPr>
          <w:rFonts w:ascii="Arial" w:cs="Arial" w:eastAsia="Arial" w:hAnsi="Arial"/>
          <w:sz w:val="10"/>
          <w:szCs w:val="10"/>
          <w:b w:val="1"/>
          <w:bCs w:val="1"/>
          <w:color w:val="auto"/>
        </w:rPr>
        <w:t>(15,474)</w:t>
      </w:r>
    </w:p>
    <w:p>
      <w:pPr>
        <w:spacing w:after="0" w:line="344" w:lineRule="exact"/>
        <w:rPr>
          <w:sz w:val="20"/>
          <w:szCs w:val="20"/>
          <w:color w:val="auto"/>
        </w:rPr>
      </w:pPr>
    </w:p>
    <w:p>
      <w:pPr>
        <w:ind w:left="543" w:hanging="543"/>
        <w:spacing w:after="0"/>
        <w:tabs>
          <w:tab w:leader="none" w:pos="543" w:val="left"/>
        </w:tabs>
        <w:numPr>
          <w:ilvl w:val="0"/>
          <w:numId w:val="111"/>
        </w:numPr>
        <w:rPr>
          <w:rFonts w:ascii="Arial" w:cs="Arial" w:eastAsia="Arial" w:hAnsi="Arial"/>
          <w:sz w:val="10"/>
          <w:szCs w:val="10"/>
          <w:b w:val="1"/>
          <w:bCs w:val="1"/>
          <w:color w:val="auto"/>
        </w:rPr>
      </w:pPr>
      <w:r>
        <w:rPr>
          <w:rFonts w:ascii="Arial" w:cs="Arial" w:eastAsia="Arial" w:hAnsi="Arial"/>
          <w:sz w:val="10"/>
          <w:szCs w:val="10"/>
          <w:b w:val="1"/>
          <w:bCs w:val="1"/>
          <w:color w:val="auto"/>
        </w:rPr>
        <w:t>(230,494)</w:t>
      </w:r>
    </w:p>
    <w:p>
      <w:pPr>
        <w:spacing w:after="0" w:line="348" w:lineRule="exact"/>
        <w:rPr>
          <w:sz w:val="20"/>
          <w:szCs w:val="20"/>
          <w:color w:val="auto"/>
        </w:rPr>
      </w:pPr>
    </w:p>
    <w:p>
      <w:pPr>
        <w:ind w:left="703" w:hanging="703"/>
        <w:spacing w:after="0"/>
        <w:tabs>
          <w:tab w:leader="none" w:pos="703" w:val="left"/>
        </w:tabs>
        <w:numPr>
          <w:ilvl w:val="0"/>
          <w:numId w:val="112"/>
        </w:numPr>
        <w:rPr>
          <w:rFonts w:ascii="Arial" w:cs="Arial" w:eastAsia="Arial" w:hAnsi="Arial"/>
          <w:sz w:val="12"/>
          <w:szCs w:val="12"/>
          <w:color w:val="auto"/>
        </w:rPr>
      </w:pPr>
      <w:r>
        <w:rPr>
          <w:rFonts w:ascii="Arial" w:cs="Arial" w:eastAsia="Arial" w:hAnsi="Arial"/>
          <w:sz w:val="12"/>
          <w:szCs w:val="12"/>
          <w:color w:val="auto"/>
        </w:rPr>
        <w:t>6,884</w:t>
      </w:r>
    </w:p>
    <w:p>
      <w:pPr>
        <w:spacing w:after="0" w:line="78" w:lineRule="exact"/>
        <w:rPr>
          <w:rFonts w:ascii="Arial" w:cs="Arial" w:eastAsia="Arial" w:hAnsi="Arial"/>
          <w:sz w:val="12"/>
          <w:szCs w:val="12"/>
          <w:color w:val="auto"/>
        </w:rPr>
      </w:pPr>
    </w:p>
    <w:p>
      <w:pPr>
        <w:ind w:left="643"/>
        <w:spacing w:after="0"/>
        <w:rPr>
          <w:rFonts w:ascii="Arial" w:cs="Arial" w:eastAsia="Arial" w:hAnsi="Arial"/>
          <w:sz w:val="12"/>
          <w:szCs w:val="12"/>
          <w:color w:val="auto"/>
        </w:rPr>
      </w:pPr>
      <w:r>
        <w:rPr>
          <w:rFonts w:ascii="Arial" w:cs="Arial" w:eastAsia="Arial" w:hAnsi="Arial"/>
          <w:sz w:val="12"/>
          <w:szCs w:val="12"/>
          <w:color w:val="auto"/>
        </w:rPr>
        <w:t>21,358</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4,405</w:t>
      </w:r>
    </w:p>
    <w:p>
      <w:pPr>
        <w:spacing w:after="0" w:line="74" w:lineRule="exact"/>
        <w:rPr>
          <w:sz w:val="20"/>
          <w:szCs w:val="20"/>
          <w:color w:val="auto"/>
        </w:rPr>
      </w:pPr>
    </w:p>
    <w:p>
      <w:pPr>
        <w:ind w:left="643" w:hanging="643"/>
        <w:spacing w:after="0"/>
        <w:tabs>
          <w:tab w:leader="none" w:pos="643"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32,647</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2018 vs. 2017</w:t>
            </w:r>
          </w:p>
        </w:tc>
      </w:tr>
      <w:tr>
        <w:trPr>
          <w:trHeight w:val="135"/>
        </w:trPr>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r>
      <w:tr>
        <w:trPr>
          <w:trHeight w:val="160"/>
        </w:trPr>
        <w:tc>
          <w:tcPr>
            <w:tcW w:w="1340" w:type="dxa"/>
            <w:vAlign w:val="bottom"/>
            <w:gridSpan w:val="2"/>
          </w:tcPr>
          <w:p>
            <w:pPr>
              <w:ind w:left="240"/>
              <w:spacing w:after="0"/>
              <w:rPr>
                <w:sz w:val="20"/>
                <w:szCs w:val="20"/>
                <w:color w:val="auto"/>
              </w:rPr>
            </w:pPr>
            <w:r>
              <w:rPr>
                <w:rFonts w:ascii="Arial" w:cs="Arial" w:eastAsia="Arial" w:hAnsi="Arial"/>
                <w:sz w:val="13"/>
                <w:szCs w:val="13"/>
                <w:i w:val="1"/>
                <w:iCs w:val="1"/>
                <w:color w:val="auto"/>
              </w:rPr>
              <w:t>% of Revenue</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r>
      <w:tr>
        <w:trPr>
          <w:trHeight w:val="443"/>
        </w:trPr>
        <w:tc>
          <w:tcPr>
            <w:tcW w:w="11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i w:val="1"/>
                <w:iCs w:val="1"/>
                <w:color w:val="auto"/>
              </w:rPr>
              <w:t>63 %</w:t>
            </w:r>
          </w:p>
        </w:tc>
        <w:tc>
          <w:tcPr>
            <w:tcW w:w="1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30 %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63 %</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30 %</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63 %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28 %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9 %</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(41)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8 %</w:t>
            </w:r>
          </w:p>
        </w:tc>
      </w:tr>
      <w:tr>
        <w:trPr>
          <w:trHeight w:val="513"/>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45"/>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(34)%</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(19)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(26)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(21)%</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(28)%</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(89)%</w:t>
            </w:r>
          </w:p>
        </w:tc>
        <w:tc>
          <w:tcPr>
            <w:tcW w:w="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(29)%</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(15)%</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(21)%</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(72)%</w:t>
            </w:r>
          </w:p>
        </w:tc>
        <w:tc>
          <w:tcPr>
            <w:tcW w:w="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(30)%</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(13)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(18)%</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(24)%</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(78)%</w:t>
            </w:r>
          </w:p>
        </w:tc>
        <w:tc>
          <w:tcPr>
            <w:tcW w:w="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 %</w:t>
            </w:r>
          </w:p>
        </w:tc>
      </w:tr>
      <w:tr>
        <w:trPr>
          <w:trHeight w:val="513"/>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(82)%</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 %</w:t>
            </w:r>
          </w:p>
        </w:tc>
      </w:tr>
      <w:tr>
        <w:trPr>
          <w:trHeight w:val="48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(4)%</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(63)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xml:space="preserve">(51) </w:t>
            </w:r>
            <w:r>
              <w:rPr>
                <w:rFonts w:ascii="Arial" w:cs="Arial" w:eastAsia="Arial" w:hAnsi="Arial"/>
                <w:sz w:val="25"/>
                <w:szCs w:val="25"/>
                <w:color w:val="auto"/>
                <w:vertAlign w:val="superscript"/>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(19)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25"/>
                <w:szCs w:val="25"/>
                <w:color w:val="auto"/>
                <w:vertAlign w:val="superscript"/>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(0)%</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56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(29) %</w:t>
            </w:r>
          </w:p>
        </w:tc>
      </w:tr>
      <w:tr>
        <w:trPr>
          <w:trHeight w:val="459"/>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(88)%</w:t>
            </w: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 %</w:t>
            </w:r>
          </w:p>
        </w:tc>
      </w:tr>
      <w:tr>
        <w:trPr>
          <w:trHeight w:val="42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5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180" w:type="dxa"/>
            <w:vAlign w:val="bottom"/>
          </w:tcPr>
          <w:p>
            <w:pPr>
              <w:jc w:val="right"/>
              <w:ind w:right="57"/>
              <w:spacing w:after="0" w:line="216" w:lineRule="exact"/>
              <w:rPr>
                <w:sz w:val="20"/>
                <w:szCs w:val="20"/>
                <w:color w:val="auto"/>
              </w:rPr>
            </w:pPr>
            <w:r>
              <w:rPr>
                <w:rFonts w:ascii="Arial" w:cs="Arial" w:eastAsia="Arial" w:hAnsi="Arial"/>
                <w:sz w:val="13"/>
                <w:szCs w:val="13"/>
                <w:i w:val="1"/>
                <w:iCs w:val="1"/>
                <w:color w:val="auto"/>
              </w:rPr>
              <w:t xml:space="preserve">22 </w:t>
            </w:r>
            <w:r>
              <w:rPr>
                <w:rFonts w:ascii="Arial" w:cs="Arial" w:eastAsia="Arial" w:hAnsi="Arial"/>
                <w:sz w:val="25"/>
                <w:szCs w:val="25"/>
                <w:i w:val="1"/>
                <w:iCs w:val="1"/>
                <w:color w:val="auto"/>
                <w:vertAlign w:val="superscript"/>
              </w:rPr>
              <w:t>%</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w:t>
            </w:r>
          </w:p>
        </w:tc>
      </w:tr>
      <w:tr>
        <w:trPr>
          <w:trHeight w:val="31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16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12 %</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sectPr>
          <w:pgSz w:w="11900" w:h="16838" w:orient="portrait"/>
          <w:cols w:equalWidth="0" w:num="4">
            <w:col w:w="5360" w:space="280"/>
            <w:col w:w="680" w:space="277"/>
            <w:col w:w="1023" w:space="160"/>
            <w:col w:w="2160"/>
          </w:cols>
          <w:pgMar w:left="980" w:top="125" w:right="979" w:bottom="1440" w:gutter="0" w:footer="0" w:header="0"/>
          <w:type w:val="continuous"/>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type w:val="continuous"/>
        </w:sectPr>
      </w:pPr>
    </w:p>
    <w:bookmarkStart w:id="55" w:name="page56"/>
    <w:bookmarkEnd w:id="55"/>
    <w:p>
      <w:pPr>
        <w:ind w:right="100"/>
        <w:spacing w:after="0" w:line="282" w:lineRule="auto"/>
        <w:rPr>
          <w:sz w:val="20"/>
          <w:szCs w:val="20"/>
          <w:color w:val="auto"/>
        </w:rPr>
      </w:pPr>
      <w:r>
        <w:rPr>
          <w:rFonts w:ascii="Arial" w:cs="Arial" w:eastAsia="Arial" w:hAnsi="Arial"/>
          <w:sz w:val="18"/>
          <w:szCs w:val="18"/>
          <w:b w:val="1"/>
          <w:bCs w:val="1"/>
          <w:u w:val="single" w:color="auto"/>
          <w:color w:val="auto"/>
        </w:rPr>
        <w:t>Cinema Exhibition</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Cinema Exhibition segment operating results for the quarters ended December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31, 2018 and 2017, respectively:</w:t>
      </w:r>
    </w:p>
    <w:p>
      <w:pPr>
        <w:sectPr>
          <w:pgSz w:w="11900" w:h="16838" w:orient="portrait"/>
          <w:cols w:equalWidth="0" w:num="1">
            <w:col w:w="9940"/>
          </w:cols>
          <w:pgMar w:left="980" w:top="121" w:right="979" w:bottom="187" w:gutter="0" w:footer="0" w:header="0"/>
        </w:sect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3"/>
              </w:rPr>
              <w:t>(Dollars in thousands)</w:t>
            </w:r>
          </w:p>
        </w:tc>
        <w:tc>
          <w:tcPr>
            <w:tcW w:w="2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7"/>
        </w:trPr>
        <w:tc>
          <w:tcPr>
            <w:tcW w:w="12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24,915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11,967</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39,700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15,605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6,853</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2,025</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24,483</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4,599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1,891</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6,771</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70,954</w:t>
            </w:r>
          </w:p>
        </w:tc>
        <w:tc>
          <w:tcPr>
            <w:tcW w:w="0" w:type="dxa"/>
            <w:vAlign w:val="bottom"/>
          </w:tcPr>
          <w:p>
            <w:pPr>
              <w:spacing w:after="0"/>
              <w:rPr>
                <w:sz w:val="1"/>
                <w:szCs w:val="1"/>
                <w:color w:val="auto"/>
              </w:rPr>
            </w:pPr>
          </w:p>
        </w:tc>
      </w:tr>
      <w:tr>
        <w:trPr>
          <w:trHeight w:val="227"/>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OPERATING EXPENSE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(13,311)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(2,640)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(7,186)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(10,876)</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(34,013)</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(7,216)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(1,404)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(3,779)</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(5,909)</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(18,308)</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(2,157)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Food &amp; beverage cost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(1,230)</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Other operating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(1,608)</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(5,397)</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39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8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expense</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(57,718)</w:t>
            </w:r>
          </w:p>
        </w:tc>
        <w:tc>
          <w:tcPr>
            <w:tcW w:w="0" w:type="dxa"/>
            <w:vAlign w:val="bottom"/>
          </w:tcPr>
          <w:p>
            <w:pPr>
              <w:spacing w:after="0"/>
              <w:rPr>
                <w:sz w:val="1"/>
                <w:szCs w:val="1"/>
                <w:color w:val="auto"/>
              </w:rPr>
            </w:pPr>
          </w:p>
        </w:tc>
      </w:tr>
      <w:tr>
        <w:trPr>
          <w:trHeight w:val="103"/>
        </w:trPr>
        <w:tc>
          <w:tcPr>
            <w:tcW w:w="40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DEPRECIATION, AMORTIZATION, GENERAL AND</w:t>
            </w: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ADMINISTRATIVE EXPENSE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(2,569)</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(3,126)</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(1,191)</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(1,522)</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(365)</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08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w w:val="98"/>
              </w:rPr>
              <w:t>Total depreciation, amortization, and general and administrative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80" w:type="dxa"/>
            <w:vAlign w:val="bottom"/>
            <w:gridSpan w:val="3"/>
            <w:vMerge w:val="continue"/>
          </w:tcPr>
          <w:p>
            <w:pPr>
              <w:spacing w:after="0"/>
              <w:rPr>
                <w:sz w:val="8"/>
                <w:szCs w:val="8"/>
                <w:color w:val="auto"/>
              </w:rPr>
            </w:pPr>
          </w:p>
        </w:tc>
        <w:tc>
          <w:tcPr>
            <w:tcW w:w="2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(5,013)</w:t>
            </w:r>
          </w:p>
        </w:tc>
        <w:tc>
          <w:tcPr>
            <w:tcW w:w="0" w:type="dxa"/>
            <w:vAlign w:val="bottom"/>
          </w:tcPr>
          <w:p>
            <w:pPr>
              <w:spacing w:after="0"/>
              <w:rPr>
                <w:sz w:val="1"/>
                <w:szCs w:val="1"/>
                <w:color w:val="auto"/>
              </w:rPr>
            </w:pPr>
          </w:p>
        </w:tc>
      </w:tr>
      <w:tr>
        <w:trPr>
          <w:trHeight w:val="152"/>
        </w:trPr>
        <w:tc>
          <w:tcPr>
            <w:tcW w:w="1200" w:type="dxa"/>
            <w:vAlign w:val="bottom"/>
          </w:tcPr>
          <w:p>
            <w:pPr>
              <w:ind w:left="180"/>
              <w:spacing w:after="0" w:line="140" w:lineRule="exact"/>
              <w:rPr>
                <w:sz w:val="20"/>
                <w:szCs w:val="20"/>
                <w:color w:val="auto"/>
              </w:rPr>
            </w:pPr>
            <w:r>
              <w:rPr>
                <w:rFonts w:ascii="Arial" w:cs="Arial" w:eastAsia="Arial" w:hAnsi="Arial"/>
                <w:sz w:val="13"/>
                <w:szCs w:val="13"/>
                <w:b w:val="1"/>
                <w:bCs w:val="1"/>
                <w:color w:val="auto"/>
              </w:rPr>
              <w:t>expense</w:t>
            </w: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(62,731)</w:t>
            </w:r>
          </w:p>
        </w:tc>
        <w:tc>
          <w:tcPr>
            <w:tcW w:w="0" w:type="dxa"/>
            <w:vAlign w:val="bottom"/>
          </w:tcPr>
          <w:p>
            <w:pPr>
              <w:spacing w:after="0"/>
              <w:rPr>
                <w:sz w:val="1"/>
                <w:szCs w:val="1"/>
                <w:color w:val="auto"/>
              </w:rPr>
            </w:pPr>
          </w:p>
        </w:tc>
      </w:tr>
      <w:tr>
        <w:trPr>
          <w:trHeight w:val="227"/>
        </w:trPr>
        <w:tc>
          <w:tcPr>
            <w:tcW w:w="4080" w:type="dxa"/>
            <w:vAlign w:val="bottom"/>
            <w:gridSpan w:val="3"/>
          </w:tcPr>
          <w:p>
            <w:pPr>
              <w:spacing w:after="0"/>
              <w:rPr>
                <w:sz w:val="20"/>
                <w:szCs w:val="20"/>
                <w:color w:val="auto"/>
              </w:rPr>
            </w:pPr>
            <w:r>
              <w:rPr>
                <w:rFonts w:ascii="Arial" w:cs="Arial" w:eastAsia="Arial" w:hAnsi="Arial"/>
                <w:sz w:val="13"/>
                <w:szCs w:val="13"/>
                <w:b w:val="1"/>
                <w:bCs w:val="1"/>
                <w:color w:val="auto"/>
              </w:rPr>
              <w:t>OPERATING INCOME (LOSS)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United States</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2,561</w:t>
            </w: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Australia</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4,653</w:t>
            </w:r>
          </w:p>
        </w:tc>
        <w:tc>
          <w:tcPr>
            <w:tcW w:w="0" w:type="dxa"/>
            <w:vAlign w:val="bottom"/>
          </w:tcPr>
          <w:p>
            <w:pPr>
              <w:spacing w:after="0"/>
              <w:rPr>
                <w:sz w:val="1"/>
                <w:szCs w:val="1"/>
                <w:color w:val="auto"/>
              </w:rPr>
            </w:pPr>
          </w:p>
        </w:tc>
      </w:tr>
      <w:tr>
        <w:trPr>
          <w:trHeight w:val="212"/>
        </w:trPr>
        <w:tc>
          <w:tcPr>
            <w:tcW w:w="1200" w:type="dxa"/>
            <w:vAlign w:val="bottom"/>
          </w:tcPr>
          <w:p>
            <w:pPr>
              <w:ind w:left="180"/>
              <w:spacing w:after="0"/>
              <w:rPr>
                <w:sz w:val="20"/>
                <w:szCs w:val="20"/>
                <w:color w:val="auto"/>
              </w:rPr>
            </w:pPr>
            <w:r>
              <w:rPr>
                <w:rFonts w:ascii="Arial" w:cs="Arial" w:eastAsia="Arial" w:hAnsi="Arial"/>
                <w:sz w:val="13"/>
                <w:szCs w:val="13"/>
                <w:b w:val="1"/>
                <w:bCs w:val="1"/>
                <w:color w:val="auto"/>
              </w:rPr>
              <w:t>New Zealand</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w:t>
            </w:r>
          </w:p>
        </w:tc>
        <w:tc>
          <w:tcPr>
            <w:tcW w:w="0" w:type="dxa"/>
            <w:vAlign w:val="bottom"/>
          </w:tcPr>
          <w:p>
            <w:pPr>
              <w:spacing w:after="0"/>
              <w:rPr>
                <w:sz w:val="1"/>
                <w:szCs w:val="1"/>
                <w:color w:val="auto"/>
              </w:rPr>
            </w:pPr>
          </w:p>
        </w:tc>
      </w:tr>
      <w:tr>
        <w:trPr>
          <w:trHeight w:val="196"/>
        </w:trPr>
        <w:tc>
          <w:tcPr>
            <w:tcW w:w="4080" w:type="dxa"/>
            <w:vAlign w:val="bottom"/>
            <w:gridSpan w:val="3"/>
          </w:tcPr>
          <w:p>
            <w:pPr>
              <w:ind w:left="180"/>
              <w:spacing w:after="0"/>
              <w:rPr>
                <w:sz w:val="20"/>
                <w:szCs w:val="20"/>
                <w:color w:val="auto"/>
              </w:rPr>
            </w:pPr>
            <w:r>
              <w:rPr>
                <w:rFonts w:ascii="Arial" w:cs="Arial" w:eastAsia="Arial" w:hAnsi="Arial"/>
                <w:sz w:val="13"/>
                <w:szCs w:val="13"/>
                <w:b w:val="1"/>
                <w:bCs w:val="1"/>
                <w:color w:val="auto"/>
              </w:rPr>
              <w:t>Total operating income (loss)</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-7114540</wp:posOffset>
            </wp:positionV>
            <wp:extent cx="630936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-6840220</wp:posOffset>
            </wp:positionV>
            <wp:extent cx="630936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-6565900</wp:posOffset>
            </wp:positionV>
            <wp:extent cx="630936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-6291580</wp:posOffset>
            </wp:positionV>
            <wp:extent cx="630936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-6017260</wp:posOffset>
            </wp:positionV>
            <wp:extent cx="63093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-5742940</wp:posOffset>
            </wp:positionV>
            <wp:extent cx="630936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-5468620</wp:posOffset>
            </wp:positionV>
            <wp:extent cx="630936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-4911090</wp:posOffset>
            </wp:positionV>
            <wp:extent cx="630936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-4636770</wp:posOffset>
            </wp:positionV>
            <wp:extent cx="630936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-4362450</wp:posOffset>
            </wp:positionV>
            <wp:extent cx="630936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-4088130</wp:posOffset>
            </wp:positionV>
            <wp:extent cx="630936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-3539490</wp:posOffset>
            </wp:positionV>
            <wp:extent cx="630936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-3265170</wp:posOffset>
            </wp:positionV>
            <wp:extent cx="630936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-2990850</wp:posOffset>
            </wp:positionV>
            <wp:extent cx="630936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-2407920</wp:posOffset>
            </wp:positionV>
            <wp:extent cx="630936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-2133600</wp:posOffset>
            </wp:positionV>
            <wp:extent cx="630936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-1585595</wp:posOffset>
            </wp:positionV>
            <wp:extent cx="630936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-1310640</wp:posOffset>
            </wp:positionV>
            <wp:extent cx="630936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630936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30936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-719455</wp:posOffset>
            </wp:positionV>
            <wp:extent cx="630936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-1010920</wp:posOffset>
            </wp:positionV>
            <wp:extent cx="630936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09360"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-1859280</wp:posOffset>
            </wp:positionV>
            <wp:extent cx="630936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-2725420</wp:posOffset>
            </wp:positionV>
            <wp:extent cx="6309360"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093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-3813810</wp:posOffset>
            </wp:positionV>
            <wp:extent cx="630936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-5202555</wp:posOffset>
            </wp:positionV>
            <wp:extent cx="630936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0936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Exhibition Segment Operating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21590</wp:posOffset>
            </wp:positionV>
            <wp:extent cx="56578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63 %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30 %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7 %</w:t>
      </w:r>
    </w:p>
    <w:p>
      <w:pPr>
        <w:ind w:left="300"/>
        <w:spacing w:after="0"/>
        <w:rPr>
          <w:sz w:val="20"/>
          <w:szCs w:val="20"/>
          <w:color w:val="auto"/>
        </w:rPr>
      </w:pPr>
      <w:r>
        <w:rPr>
          <w:rFonts w:ascii="Arial" w:cs="Arial" w:eastAsia="Arial" w:hAnsi="Arial"/>
          <w:sz w:val="13"/>
          <w:szCs w:val="13"/>
          <w:i w:val="1"/>
          <w:iCs w:val="1"/>
          <w:color w:val="auto"/>
        </w:rPr>
        <w:t>100 %</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64 %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28 %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8 %</w:t>
      </w:r>
    </w:p>
    <w:p>
      <w:pPr>
        <w:ind w:left="300"/>
        <w:spacing w:after="0"/>
        <w:rPr>
          <w:sz w:val="20"/>
          <w:szCs w:val="20"/>
          <w:color w:val="auto"/>
        </w:rPr>
      </w:pPr>
      <w:r>
        <w:rPr>
          <w:rFonts w:ascii="Arial" w:cs="Arial" w:eastAsia="Arial" w:hAnsi="Arial"/>
          <w:sz w:val="13"/>
          <w:szCs w:val="13"/>
          <w:i w:val="1"/>
          <w:iCs w:val="1"/>
          <w:color w:val="auto"/>
        </w:rPr>
        <w:t>100 %</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68 %</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28 %</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4 %</w:t>
      </w:r>
    </w:p>
    <w:p>
      <w:pPr>
        <w:ind w:left="300"/>
        <w:spacing w:after="0"/>
        <w:rPr>
          <w:sz w:val="20"/>
          <w:szCs w:val="20"/>
          <w:color w:val="auto"/>
        </w:rPr>
      </w:pPr>
      <w:r>
        <w:rPr>
          <w:rFonts w:ascii="Arial" w:cs="Arial" w:eastAsia="Arial" w:hAnsi="Arial"/>
          <w:sz w:val="13"/>
          <w:szCs w:val="13"/>
          <w:i w:val="1"/>
          <w:iCs w:val="1"/>
          <w:color w:val="auto"/>
        </w:rPr>
        <w:t>100 %</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100 %</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(34)%</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(7)%</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(18)%</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(27)%</w:t>
      </w:r>
    </w:p>
    <w:p>
      <w:pPr>
        <w:ind w:left="300"/>
        <w:spacing w:after="0"/>
        <w:rPr>
          <w:sz w:val="20"/>
          <w:szCs w:val="20"/>
          <w:color w:val="auto"/>
        </w:rPr>
      </w:pPr>
      <w:r>
        <w:rPr>
          <w:rFonts w:ascii="Arial" w:cs="Arial" w:eastAsia="Arial" w:hAnsi="Arial"/>
          <w:sz w:val="13"/>
          <w:szCs w:val="13"/>
          <w:i w:val="1"/>
          <w:iCs w:val="1"/>
          <w:color w:val="auto"/>
        </w:rPr>
        <w:t>(86)%</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(29)%</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(15)%</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(25)%</w:t>
      </w:r>
    </w:p>
    <w:p>
      <w:pPr>
        <w:ind w:left="300"/>
        <w:spacing w:after="0"/>
        <w:rPr>
          <w:sz w:val="20"/>
          <w:szCs w:val="20"/>
          <w:color w:val="auto"/>
        </w:rPr>
      </w:pPr>
      <w:r>
        <w:rPr>
          <w:rFonts w:ascii="Arial" w:cs="Arial" w:eastAsia="Arial" w:hAnsi="Arial"/>
          <w:sz w:val="13"/>
          <w:szCs w:val="13"/>
          <w:i w:val="1"/>
          <w:iCs w:val="1"/>
          <w:color w:val="auto"/>
        </w:rPr>
        <w:t>(75)%</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(32)%</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(18)%</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(24)%</w:t>
      </w:r>
    </w:p>
    <w:p>
      <w:pPr>
        <w:ind w:left="300"/>
        <w:spacing w:after="0"/>
        <w:rPr>
          <w:sz w:val="20"/>
          <w:szCs w:val="20"/>
          <w:color w:val="auto"/>
        </w:rPr>
      </w:pPr>
      <w:r>
        <w:rPr>
          <w:rFonts w:ascii="Arial" w:cs="Arial" w:eastAsia="Arial" w:hAnsi="Arial"/>
          <w:sz w:val="13"/>
          <w:szCs w:val="13"/>
          <w:i w:val="1"/>
          <w:iCs w:val="1"/>
          <w:color w:val="auto"/>
        </w:rPr>
        <w:t>(80)%</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(81)%</w:t>
      </w:r>
    </w:p>
    <w:p>
      <w:pPr>
        <w:spacing w:after="0" w:line="33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(2)%</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(8)%</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(5)%</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(1)%</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(6)%</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(5)%</w:t>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w:t>
      </w:r>
    </w:p>
    <w:p>
      <w:pPr>
        <w:jc w:val="right"/>
        <w:ind w:right="60"/>
        <w:spacing w:after="0"/>
        <w:rPr>
          <w:sz w:val="20"/>
          <w:szCs w:val="20"/>
          <w:color w:val="auto"/>
        </w:rPr>
      </w:pPr>
      <w:r>
        <w:rPr>
          <w:rFonts w:ascii="Arial" w:cs="Arial" w:eastAsia="Arial" w:hAnsi="Arial"/>
          <w:sz w:val="13"/>
          <w:szCs w:val="13"/>
          <w:i w:val="1"/>
          <w:iCs w:val="1"/>
          <w:color w:val="auto"/>
        </w:rPr>
        <w:t>(5)%</w:t>
      </w: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(7)%</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(88)%</w:t>
      </w:r>
    </w:p>
    <w:p>
      <w:pPr>
        <w:spacing w:after="0" w:line="154" w:lineRule="exact"/>
        <w:rPr>
          <w:sz w:val="20"/>
          <w:szCs w:val="20"/>
          <w:color w:val="auto"/>
        </w:rPr>
      </w:pPr>
    </w:p>
    <w:p>
      <w:pPr>
        <w:jc w:val="right"/>
        <w:ind w:right="60"/>
        <w:spacing w:after="0"/>
        <w:rPr>
          <w:sz w:val="20"/>
          <w:szCs w:val="20"/>
          <w:color w:val="auto"/>
        </w:rPr>
      </w:pPr>
      <w:r>
        <w:rPr>
          <w:rFonts w:ascii="Arial" w:cs="Arial" w:eastAsia="Arial" w:hAnsi="Arial"/>
          <w:sz w:val="13"/>
          <w:szCs w:val="13"/>
          <w:i w:val="1"/>
          <w:iCs w:val="1"/>
          <w:color w:val="auto"/>
        </w:rPr>
        <w:t xml:space="preserve">6 </w:t>
      </w:r>
      <w:r>
        <w:rPr>
          <w:rFonts w:ascii="Arial" w:cs="Arial" w:eastAsia="Arial" w:hAnsi="Arial"/>
          <w:sz w:val="25"/>
          <w:szCs w:val="25"/>
          <w:i w:val="1"/>
          <w:iCs w:val="1"/>
          <w:color w:val="auto"/>
          <w:vertAlign w:val="superscript"/>
        </w:rPr>
        <w:t>%</w:t>
      </w:r>
    </w:p>
    <w:p>
      <w:pPr>
        <w:jc w:val="right"/>
        <w:ind w:right="60"/>
        <w:spacing w:after="0" w:line="180" w:lineRule="auto"/>
        <w:rPr>
          <w:sz w:val="20"/>
          <w:szCs w:val="20"/>
          <w:color w:val="auto"/>
        </w:rPr>
      </w:pPr>
      <w:r>
        <w:rPr>
          <w:rFonts w:ascii="Arial" w:cs="Arial" w:eastAsia="Arial" w:hAnsi="Arial"/>
          <w:sz w:val="13"/>
          <w:szCs w:val="13"/>
          <w:i w:val="1"/>
          <w:iCs w:val="1"/>
          <w:color w:val="auto"/>
        </w:rPr>
        <w:t xml:space="preserve">19 </w:t>
      </w:r>
      <w:r>
        <w:rPr>
          <w:rFonts w:ascii="Arial" w:cs="Arial" w:eastAsia="Arial" w:hAnsi="Arial"/>
          <w:sz w:val="25"/>
          <w:szCs w:val="25"/>
          <w:i w:val="1"/>
          <w:iCs w:val="1"/>
          <w:color w:val="auto"/>
          <w:vertAlign w:val="superscript"/>
        </w:rPr>
        <w:t>%</w:t>
      </w:r>
    </w:p>
    <w:p>
      <w:pPr>
        <w:ind w:left="360"/>
        <w:spacing w:after="0"/>
        <w:rPr>
          <w:sz w:val="20"/>
          <w:szCs w:val="20"/>
          <w:color w:val="auto"/>
        </w:rPr>
      </w:pPr>
      <w:r>
        <w:rPr>
          <w:rFonts w:ascii="Arial" w:cs="Arial" w:eastAsia="Arial" w:hAnsi="Arial"/>
          <w:sz w:val="12"/>
          <w:szCs w:val="12"/>
          <w:i w:val="1"/>
          <w:iCs w:val="1"/>
          <w:color w:val="auto"/>
        </w:rPr>
        <w:t xml:space="preserve">15 </w:t>
      </w:r>
      <w:r>
        <w:rPr>
          <w:rFonts w:ascii="Arial" w:cs="Arial" w:eastAsia="Arial" w:hAnsi="Arial"/>
          <w:sz w:val="24"/>
          <w:szCs w:val="24"/>
          <w:i w:val="1"/>
          <w:iCs w:val="1"/>
          <w:color w:val="auto"/>
          <w:vertAlign w:val="superscript"/>
        </w:rPr>
        <w:t>%</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12 %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383"/>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5151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94" w:lineRule="exact"/>
        <w:rPr>
          <w:sz w:val="20"/>
          <w:szCs w:val="20"/>
          <w:color w:val="auto"/>
        </w:rPr>
      </w:pPr>
    </w:p>
    <w:p>
      <w:pPr>
        <w:ind w:left="643" w:hanging="643"/>
        <w:spacing w:after="0"/>
        <w:tabs>
          <w:tab w:leader="none" w:pos="64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23,916</w:t>
      </w:r>
    </w:p>
    <w:p>
      <w:pPr>
        <w:spacing w:after="0" w:line="78" w:lineRule="exact"/>
        <w:rPr>
          <w:rFonts w:ascii="Arial" w:cs="Arial" w:eastAsia="Arial" w:hAnsi="Arial"/>
          <w:sz w:val="12"/>
          <w:szCs w:val="12"/>
          <w:color w:val="auto"/>
        </w:rPr>
      </w:pPr>
    </w:p>
    <w:p>
      <w:pPr>
        <w:ind w:left="643"/>
        <w:spacing w:after="0"/>
        <w:rPr>
          <w:rFonts w:ascii="Arial" w:cs="Arial" w:eastAsia="Arial" w:hAnsi="Arial"/>
          <w:sz w:val="12"/>
          <w:szCs w:val="12"/>
          <w:color w:val="auto"/>
        </w:rPr>
      </w:pPr>
      <w:r>
        <w:rPr>
          <w:rFonts w:ascii="Arial" w:cs="Arial" w:eastAsia="Arial" w:hAnsi="Arial"/>
          <w:sz w:val="12"/>
          <w:szCs w:val="12"/>
          <w:color w:val="auto"/>
        </w:rPr>
        <w:t>10,776</w:t>
      </w:r>
    </w:p>
    <w:p>
      <w:pPr>
        <w:spacing w:after="0" w:line="78" w:lineRule="exact"/>
        <w:rPr>
          <w:sz w:val="20"/>
          <w:szCs w:val="20"/>
          <w:color w:val="auto"/>
        </w:rPr>
      </w:pPr>
    </w:p>
    <w:p>
      <w:pPr>
        <w:ind w:left="703"/>
        <w:spacing w:after="0"/>
        <w:rPr>
          <w:sz w:val="20"/>
          <w:szCs w:val="20"/>
          <w:color w:val="auto"/>
        </w:rPr>
      </w:pPr>
      <w:r>
        <w:rPr>
          <w:rFonts w:ascii="Arial" w:cs="Arial" w:eastAsia="Arial" w:hAnsi="Arial"/>
          <w:sz w:val="12"/>
          <w:szCs w:val="12"/>
          <w:color w:val="auto"/>
        </w:rPr>
        <w:t>2,452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643" w:hanging="643"/>
        <w:spacing w:after="0" w:line="187" w:lineRule="auto"/>
        <w:tabs>
          <w:tab w:leader="none" w:pos="643" w:val="left"/>
        </w:tabs>
        <w:numPr>
          <w:ilvl w:val="0"/>
          <w:numId w:val="115"/>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37,144</w:t>
      </w:r>
    </w:p>
    <w:p>
      <w:pPr>
        <w:spacing w:after="0" w:line="124" w:lineRule="exact"/>
        <w:rPr>
          <w:sz w:val="20"/>
          <w:szCs w:val="20"/>
          <w:color w:val="auto"/>
        </w:rPr>
      </w:pPr>
    </w:p>
    <w:p>
      <w:pPr>
        <w:ind w:left="643" w:hanging="643"/>
        <w:spacing w:after="0"/>
        <w:tabs>
          <w:tab w:leader="none" w:pos="643" w:val="left"/>
        </w:tabs>
        <w:numPr>
          <w:ilvl w:val="0"/>
          <w:numId w:val="116"/>
        </w:numPr>
        <w:rPr>
          <w:rFonts w:ascii="Arial" w:cs="Arial" w:eastAsia="Arial" w:hAnsi="Arial"/>
          <w:sz w:val="12"/>
          <w:szCs w:val="12"/>
          <w:color w:val="auto"/>
        </w:rPr>
      </w:pPr>
      <w:r>
        <w:rPr>
          <w:rFonts w:ascii="Arial" w:cs="Arial" w:eastAsia="Arial" w:hAnsi="Arial"/>
          <w:sz w:val="12"/>
          <w:szCs w:val="12"/>
          <w:color w:val="auto"/>
        </w:rPr>
        <w:t>14,475</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6,957</w:t>
      </w:r>
    </w:p>
    <w:p>
      <w:pPr>
        <w:spacing w:after="0" w:line="78" w:lineRule="exact"/>
        <w:rPr>
          <w:sz w:val="20"/>
          <w:szCs w:val="20"/>
          <w:color w:val="auto"/>
        </w:rPr>
      </w:pPr>
    </w:p>
    <w:p>
      <w:pPr>
        <w:ind w:left="703"/>
        <w:spacing w:after="0"/>
        <w:rPr>
          <w:sz w:val="20"/>
          <w:szCs w:val="20"/>
          <w:color w:val="auto"/>
        </w:rPr>
      </w:pPr>
      <w:r>
        <w:rPr>
          <w:rFonts w:ascii="Arial" w:cs="Arial" w:eastAsia="Arial" w:hAnsi="Arial"/>
          <w:sz w:val="12"/>
          <w:szCs w:val="12"/>
          <w:color w:val="auto"/>
        </w:rPr>
        <w:t>1,890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43" w:hanging="643"/>
        <w:spacing w:after="0" w:line="187" w:lineRule="auto"/>
        <w:tabs>
          <w:tab w:leader="none" w:pos="643" w:val="left"/>
        </w:tabs>
        <w:numPr>
          <w:ilvl w:val="0"/>
          <w:numId w:val="117"/>
        </w:numPr>
        <w:rPr>
          <w:rFonts w:ascii="Arial" w:cs="Arial" w:eastAsia="Arial" w:hAnsi="Arial"/>
          <w:sz w:val="19"/>
          <w:szCs w:val="19"/>
          <w:b w:val="1"/>
          <w:bCs w:val="1"/>
          <w:color w:val="auto"/>
          <w:vertAlign w:val="subscript"/>
        </w:rPr>
      </w:pPr>
      <w:r>
        <w:rPr>
          <w:rFonts w:ascii="Arial" w:cs="Arial" w:eastAsia="Arial" w:hAnsi="Arial"/>
          <w:sz w:val="10"/>
          <w:szCs w:val="10"/>
          <w:b w:val="1"/>
          <w:bCs w:val="1"/>
          <w:color w:val="auto"/>
        </w:rPr>
        <w:t>23,322</w:t>
      </w:r>
    </w:p>
    <w:p>
      <w:pPr>
        <w:spacing w:after="0" w:line="124" w:lineRule="exact"/>
        <w:rPr>
          <w:sz w:val="20"/>
          <w:szCs w:val="20"/>
          <w:color w:val="auto"/>
        </w:rPr>
      </w:pPr>
    </w:p>
    <w:p>
      <w:pPr>
        <w:ind w:left="703" w:hanging="703"/>
        <w:spacing w:after="0"/>
        <w:tabs>
          <w:tab w:leader="none" w:pos="703" w:val="left"/>
        </w:tabs>
        <w:numPr>
          <w:ilvl w:val="0"/>
          <w:numId w:val="118"/>
        </w:numPr>
        <w:rPr>
          <w:rFonts w:ascii="Arial" w:cs="Arial" w:eastAsia="Arial" w:hAnsi="Arial"/>
          <w:sz w:val="12"/>
          <w:szCs w:val="12"/>
          <w:color w:val="auto"/>
        </w:rPr>
      </w:pPr>
      <w:r>
        <w:rPr>
          <w:rFonts w:ascii="Arial" w:cs="Arial" w:eastAsia="Arial" w:hAnsi="Arial"/>
          <w:sz w:val="12"/>
          <w:szCs w:val="12"/>
          <w:color w:val="auto"/>
        </w:rPr>
        <w:t>4,331</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2,012</w:t>
      </w:r>
    </w:p>
    <w:p>
      <w:pPr>
        <w:spacing w:after="0" w:line="78" w:lineRule="exact"/>
        <w:rPr>
          <w:sz w:val="20"/>
          <w:szCs w:val="20"/>
          <w:color w:val="auto"/>
        </w:rPr>
      </w:pPr>
    </w:p>
    <w:p>
      <w:pPr>
        <w:ind w:left="803"/>
        <w:spacing w:after="0"/>
        <w:rPr>
          <w:sz w:val="20"/>
          <w:szCs w:val="20"/>
          <w:color w:val="auto"/>
        </w:rPr>
      </w:pPr>
      <w:r>
        <w:rPr>
          <w:rFonts w:ascii="Arial" w:cs="Arial" w:eastAsia="Arial" w:hAnsi="Arial"/>
          <w:sz w:val="13"/>
          <w:szCs w:val="13"/>
          <w:color w:val="auto"/>
        </w:rPr>
        <w:t>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703" w:hanging="703"/>
        <w:spacing w:after="0" w:line="184" w:lineRule="auto"/>
        <w:tabs>
          <w:tab w:leader="none" w:pos="703" w:val="left"/>
        </w:tabs>
        <w:numPr>
          <w:ilvl w:val="0"/>
          <w:numId w:val="119"/>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6,859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6515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302" w:lineRule="exact"/>
        <w:rPr>
          <w:sz w:val="20"/>
          <w:szCs w:val="20"/>
          <w:color w:val="auto"/>
        </w:rPr>
      </w:pPr>
    </w:p>
    <w:p>
      <w:pPr>
        <w:ind w:left="643" w:hanging="643"/>
        <w:spacing w:after="0"/>
        <w:tabs>
          <w:tab w:leader="none" w:pos="643"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67,325</w:t>
      </w:r>
    </w:p>
    <w:p>
      <w:pPr>
        <w:spacing w:after="0" w:line="325" w:lineRule="exact"/>
        <w:rPr>
          <w:sz w:val="20"/>
          <w:szCs w:val="20"/>
          <w:color w:val="auto"/>
        </w:rPr>
      </w:pPr>
    </w:p>
    <w:p>
      <w:pPr>
        <w:ind w:left="603" w:hanging="603"/>
        <w:spacing w:after="0"/>
        <w:tabs>
          <w:tab w:leader="none" w:pos="603" w:val="left"/>
        </w:tabs>
        <w:numPr>
          <w:ilvl w:val="0"/>
          <w:numId w:val="121"/>
        </w:numPr>
        <w:rPr>
          <w:rFonts w:ascii="Arial" w:cs="Arial" w:eastAsia="Arial" w:hAnsi="Arial"/>
          <w:sz w:val="10"/>
          <w:szCs w:val="10"/>
          <w:color w:val="auto"/>
        </w:rPr>
      </w:pPr>
      <w:r>
        <w:rPr>
          <w:rFonts w:ascii="Arial" w:cs="Arial" w:eastAsia="Arial" w:hAnsi="Arial"/>
          <w:sz w:val="10"/>
          <w:szCs w:val="10"/>
          <w:color w:val="auto"/>
        </w:rPr>
        <w:t>(12,882)</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(2,181)</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(8,150)</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03" w:hanging="603"/>
        <w:spacing w:after="0" w:line="184" w:lineRule="auto"/>
        <w:tabs>
          <w:tab w:leader="none" w:pos="603" w:val="left"/>
        </w:tabs>
        <w:numPr>
          <w:ilvl w:val="0"/>
          <w:numId w:val="122"/>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(32,535)</w:t>
      </w:r>
    </w:p>
    <w:p>
      <w:pPr>
        <w:spacing w:after="0" w:line="124" w:lineRule="exact"/>
        <w:rPr>
          <w:sz w:val="20"/>
          <w:szCs w:val="20"/>
          <w:color w:val="auto"/>
        </w:rPr>
      </w:pPr>
    </w:p>
    <w:p>
      <w:pPr>
        <w:ind w:left="663" w:hanging="663"/>
        <w:spacing w:after="0"/>
        <w:tabs>
          <w:tab w:leader="none" w:pos="663" w:val="left"/>
        </w:tabs>
        <w:numPr>
          <w:ilvl w:val="0"/>
          <w:numId w:val="123"/>
        </w:numPr>
        <w:rPr>
          <w:rFonts w:ascii="Arial" w:cs="Arial" w:eastAsia="Arial" w:hAnsi="Arial"/>
          <w:sz w:val="10"/>
          <w:szCs w:val="10"/>
          <w:color w:val="auto"/>
        </w:rPr>
      </w:pPr>
      <w:r>
        <w:rPr>
          <w:rFonts w:ascii="Arial" w:cs="Arial" w:eastAsia="Arial" w:hAnsi="Arial"/>
          <w:sz w:val="10"/>
          <w:szCs w:val="10"/>
          <w:color w:val="auto"/>
        </w:rPr>
        <w:t>(7,010)</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(1,345)</w:t>
      </w:r>
    </w:p>
    <w:p>
      <w:pPr>
        <w:spacing w:after="0" w:line="101" w:lineRule="exact"/>
        <w:rPr>
          <w:rFonts w:ascii="Arial" w:cs="Arial" w:eastAsia="Arial" w:hAnsi="Arial"/>
          <w:sz w:val="10"/>
          <w:szCs w:val="10"/>
          <w:color w:val="auto"/>
        </w:rPr>
      </w:pPr>
    </w:p>
    <w:p>
      <w:pPr>
        <w:ind w:left="663"/>
        <w:spacing w:after="0"/>
        <w:rPr>
          <w:rFonts w:ascii="Arial" w:cs="Arial" w:eastAsia="Arial" w:hAnsi="Arial"/>
          <w:sz w:val="10"/>
          <w:szCs w:val="10"/>
          <w:color w:val="auto"/>
        </w:rPr>
      </w:pPr>
      <w:r>
        <w:rPr>
          <w:rFonts w:ascii="Arial" w:cs="Arial" w:eastAsia="Arial" w:hAnsi="Arial"/>
          <w:sz w:val="10"/>
          <w:szCs w:val="10"/>
          <w:color w:val="auto"/>
        </w:rPr>
        <w:t>(3,773)</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(5,307)</w:t>
      </w:r>
    </w:p>
    <w:p>
      <w:pPr>
        <w:ind w:left="603" w:hanging="603"/>
        <w:spacing w:after="0" w:line="184" w:lineRule="auto"/>
        <w:tabs>
          <w:tab w:leader="none" w:pos="603" w:val="left"/>
        </w:tabs>
        <w:numPr>
          <w:ilvl w:val="0"/>
          <w:numId w:val="124"/>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(17,435)</w:t>
      </w:r>
    </w:p>
    <w:p>
      <w:pPr>
        <w:spacing w:after="0" w:line="124" w:lineRule="exact"/>
        <w:rPr>
          <w:sz w:val="20"/>
          <w:szCs w:val="20"/>
          <w:color w:val="auto"/>
        </w:rPr>
      </w:pPr>
    </w:p>
    <w:p>
      <w:pPr>
        <w:ind w:left="663" w:hanging="663"/>
        <w:spacing w:after="0"/>
        <w:tabs>
          <w:tab w:leader="none" w:pos="663" w:val="left"/>
        </w:tabs>
        <w:numPr>
          <w:ilvl w:val="0"/>
          <w:numId w:val="125"/>
        </w:numPr>
        <w:rPr>
          <w:rFonts w:ascii="Arial" w:cs="Arial" w:eastAsia="Arial" w:hAnsi="Arial"/>
          <w:sz w:val="10"/>
          <w:szCs w:val="10"/>
          <w:color w:val="auto"/>
        </w:rPr>
      </w:pPr>
      <w:r>
        <w:rPr>
          <w:rFonts w:ascii="Arial" w:cs="Arial" w:eastAsia="Arial" w:hAnsi="Arial"/>
          <w:sz w:val="10"/>
          <w:szCs w:val="10"/>
          <w:color w:val="auto"/>
        </w:rPr>
        <w:t>(2,082)</w:t>
      </w:r>
    </w:p>
    <w:p>
      <w:pPr>
        <w:spacing w:after="0" w:line="101" w:lineRule="exact"/>
        <w:rPr>
          <w:rFonts w:ascii="Arial" w:cs="Arial" w:eastAsia="Arial" w:hAnsi="Arial"/>
          <w:sz w:val="10"/>
          <w:szCs w:val="10"/>
          <w:color w:val="auto"/>
        </w:rPr>
      </w:pPr>
    </w:p>
    <w:p>
      <w:pPr>
        <w:ind w:left="763"/>
        <w:spacing w:after="0"/>
        <w:rPr>
          <w:rFonts w:ascii="Arial" w:cs="Arial" w:eastAsia="Arial" w:hAnsi="Arial"/>
          <w:sz w:val="10"/>
          <w:szCs w:val="10"/>
          <w:color w:val="auto"/>
        </w:rPr>
      </w:pPr>
      <w:r>
        <w:rPr>
          <w:rFonts w:ascii="Arial" w:cs="Arial" w:eastAsia="Arial" w:hAnsi="Arial"/>
          <w:sz w:val="10"/>
          <w:szCs w:val="10"/>
          <w:color w:val="auto"/>
        </w:rPr>
        <w:t>(442)</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(1,781)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63" w:hanging="663"/>
        <w:spacing w:after="0" w:line="184" w:lineRule="auto"/>
        <w:tabs>
          <w:tab w:leader="none" w:pos="663" w:val="left"/>
        </w:tabs>
        <w:numPr>
          <w:ilvl w:val="0"/>
          <w:numId w:val="126"/>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(5,963)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6515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302" w:lineRule="exact"/>
        <w:rPr>
          <w:sz w:val="20"/>
          <w:szCs w:val="20"/>
          <w:color w:val="auto"/>
        </w:rPr>
      </w:pPr>
    </w:p>
    <w:p>
      <w:pPr>
        <w:ind w:left="603" w:hanging="603"/>
        <w:spacing w:after="0"/>
        <w:tabs>
          <w:tab w:leader="none" w:pos="603" w:val="left"/>
        </w:tabs>
        <w:numPr>
          <w:ilvl w:val="0"/>
          <w:numId w:val="127"/>
        </w:numPr>
        <w:rPr>
          <w:rFonts w:ascii="Arial" w:cs="Arial" w:eastAsia="Arial" w:hAnsi="Arial"/>
          <w:sz w:val="10"/>
          <w:szCs w:val="10"/>
          <w:b w:val="1"/>
          <w:bCs w:val="1"/>
          <w:color w:val="auto"/>
        </w:rPr>
      </w:pPr>
      <w:r>
        <w:rPr>
          <w:rFonts w:ascii="Arial" w:cs="Arial" w:eastAsia="Arial" w:hAnsi="Arial"/>
          <w:sz w:val="10"/>
          <w:szCs w:val="10"/>
          <w:b w:val="1"/>
          <w:bCs w:val="1"/>
          <w:color w:val="auto"/>
        </w:rPr>
        <w:t>(55,933)</w:t>
      </w:r>
    </w:p>
    <w:p>
      <w:pPr>
        <w:spacing w:after="0" w:line="389" w:lineRule="exact"/>
        <w:rPr>
          <w:sz w:val="20"/>
          <w:szCs w:val="20"/>
          <w:color w:val="auto"/>
        </w:rPr>
      </w:pPr>
    </w:p>
    <w:p>
      <w:pPr>
        <w:ind w:left="663" w:hanging="663"/>
        <w:spacing w:after="0"/>
        <w:tabs>
          <w:tab w:leader="none" w:pos="663" w:val="left"/>
        </w:tabs>
        <w:numPr>
          <w:ilvl w:val="0"/>
          <w:numId w:val="128"/>
        </w:numPr>
        <w:rPr>
          <w:rFonts w:ascii="Arial" w:cs="Arial" w:eastAsia="Arial" w:hAnsi="Arial"/>
          <w:sz w:val="10"/>
          <w:szCs w:val="10"/>
          <w:color w:val="auto"/>
        </w:rPr>
      </w:pPr>
      <w:r>
        <w:rPr>
          <w:rFonts w:ascii="Arial" w:cs="Arial" w:eastAsia="Arial" w:hAnsi="Arial"/>
          <w:sz w:val="10"/>
          <w:szCs w:val="10"/>
          <w:color w:val="auto"/>
        </w:rPr>
        <w:t>(1,831)</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63" w:hanging="663"/>
        <w:spacing w:after="0" w:line="184" w:lineRule="auto"/>
        <w:tabs>
          <w:tab w:leader="none" w:pos="663" w:val="left"/>
        </w:tabs>
        <w:numPr>
          <w:ilvl w:val="0"/>
          <w:numId w:val="129"/>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(2,268)</w:t>
      </w:r>
    </w:p>
    <w:p>
      <w:pPr>
        <w:spacing w:after="0" w:line="124" w:lineRule="exact"/>
        <w:rPr>
          <w:sz w:val="20"/>
          <w:szCs w:val="20"/>
          <w:color w:val="auto"/>
        </w:rPr>
      </w:pPr>
    </w:p>
    <w:p>
      <w:pPr>
        <w:ind w:left="663" w:hanging="663"/>
        <w:spacing w:after="0"/>
        <w:tabs>
          <w:tab w:leader="none" w:pos="663" w:val="left"/>
        </w:tabs>
        <w:numPr>
          <w:ilvl w:val="0"/>
          <w:numId w:val="130"/>
        </w:numPr>
        <w:rPr>
          <w:rFonts w:ascii="Arial" w:cs="Arial" w:eastAsia="Arial" w:hAnsi="Arial"/>
          <w:sz w:val="10"/>
          <w:szCs w:val="10"/>
          <w:color w:val="auto"/>
        </w:rPr>
      </w:pPr>
      <w:r>
        <w:rPr>
          <w:rFonts w:ascii="Arial" w:cs="Arial" w:eastAsia="Arial" w:hAnsi="Arial"/>
          <w:sz w:val="10"/>
          <w:szCs w:val="10"/>
          <w:color w:val="auto"/>
        </w:rPr>
        <w:t>(1,073)</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(268)</w:t>
      </w:r>
    </w:p>
    <w:p>
      <w:pPr>
        <w:ind w:left="663" w:hanging="663"/>
        <w:spacing w:after="0" w:line="184" w:lineRule="auto"/>
        <w:tabs>
          <w:tab w:leader="none" w:pos="663" w:val="left"/>
        </w:tabs>
        <w:numPr>
          <w:ilvl w:val="0"/>
          <w:numId w:val="131"/>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(1,341)</w:t>
      </w:r>
    </w:p>
    <w:p>
      <w:pPr>
        <w:spacing w:after="0" w:line="124" w:lineRule="exact"/>
        <w:rPr>
          <w:sz w:val="20"/>
          <w:szCs w:val="20"/>
          <w:color w:val="auto"/>
        </w:rPr>
      </w:pPr>
    </w:p>
    <w:p>
      <w:pPr>
        <w:ind w:left="763" w:hanging="763"/>
        <w:spacing w:after="0"/>
        <w:tabs>
          <w:tab w:leader="none" w:pos="763" w:val="left"/>
        </w:tabs>
        <w:numPr>
          <w:ilvl w:val="0"/>
          <w:numId w:val="132"/>
        </w:numPr>
        <w:rPr>
          <w:rFonts w:ascii="Arial" w:cs="Arial" w:eastAsia="Arial" w:hAnsi="Arial"/>
          <w:sz w:val="10"/>
          <w:szCs w:val="10"/>
          <w:color w:val="auto"/>
        </w:rPr>
      </w:pPr>
      <w:r>
        <w:rPr>
          <w:rFonts w:ascii="Arial" w:cs="Arial" w:eastAsia="Arial" w:hAnsi="Arial"/>
          <w:sz w:val="10"/>
          <w:szCs w:val="10"/>
          <w:color w:val="auto"/>
        </w:rPr>
        <w:t>(441)</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763" w:hanging="763"/>
        <w:spacing w:after="0" w:line="184" w:lineRule="auto"/>
        <w:tabs>
          <w:tab w:leader="none" w:pos="763" w:val="left"/>
        </w:tabs>
        <w:numPr>
          <w:ilvl w:val="0"/>
          <w:numId w:val="133"/>
        </w:numPr>
        <w:rPr>
          <w:rFonts w:ascii="Arial" w:cs="Arial" w:eastAsia="Arial" w:hAnsi="Arial"/>
          <w:sz w:val="18"/>
          <w:szCs w:val="18"/>
          <w:b w:val="1"/>
          <w:bCs w:val="1"/>
          <w:color w:val="auto"/>
          <w:vertAlign w:val="subscript"/>
        </w:rPr>
      </w:pPr>
      <w:r>
        <w:rPr>
          <w:rFonts w:ascii="Arial" w:cs="Arial" w:eastAsia="Arial" w:hAnsi="Arial"/>
          <w:sz w:val="10"/>
          <w:szCs w:val="10"/>
          <w:b w:val="1"/>
          <w:bCs w:val="1"/>
          <w:color w:val="auto"/>
        </w:rPr>
        <w:t>(470)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6515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356" w:lineRule="exact"/>
        <w:rPr>
          <w:sz w:val="20"/>
          <w:szCs w:val="20"/>
          <w:color w:val="auto"/>
        </w:rPr>
      </w:pPr>
    </w:p>
    <w:p>
      <w:pPr>
        <w:ind w:left="663" w:hanging="663"/>
        <w:spacing w:after="0"/>
        <w:tabs>
          <w:tab w:leader="none" w:pos="663" w:val="left"/>
        </w:tabs>
        <w:numPr>
          <w:ilvl w:val="0"/>
          <w:numId w:val="134"/>
        </w:numPr>
        <w:rPr>
          <w:rFonts w:ascii="Arial" w:cs="Arial" w:eastAsia="Arial" w:hAnsi="Arial"/>
          <w:sz w:val="10"/>
          <w:szCs w:val="10"/>
          <w:b w:val="1"/>
          <w:bCs w:val="1"/>
          <w:color w:val="auto"/>
        </w:rPr>
      </w:pPr>
      <w:r>
        <w:rPr>
          <w:rFonts w:ascii="Arial" w:cs="Arial" w:eastAsia="Arial" w:hAnsi="Arial"/>
          <w:sz w:val="10"/>
          <w:szCs w:val="10"/>
          <w:b w:val="1"/>
          <w:bCs w:val="1"/>
          <w:color w:val="auto"/>
        </w:rPr>
        <w:t>(4,079)</w:t>
      </w:r>
    </w:p>
    <w:p>
      <w:pPr>
        <w:spacing w:after="0" w:line="344" w:lineRule="exact"/>
        <w:rPr>
          <w:sz w:val="20"/>
          <w:szCs w:val="20"/>
          <w:color w:val="auto"/>
        </w:rPr>
      </w:pPr>
    </w:p>
    <w:p>
      <w:pPr>
        <w:ind w:left="603" w:hanging="603"/>
        <w:spacing w:after="0"/>
        <w:tabs>
          <w:tab w:leader="none" w:pos="603" w:val="left"/>
        </w:tabs>
        <w:numPr>
          <w:ilvl w:val="0"/>
          <w:numId w:val="135"/>
        </w:numPr>
        <w:rPr>
          <w:rFonts w:ascii="Arial" w:cs="Arial" w:eastAsia="Arial" w:hAnsi="Arial"/>
          <w:sz w:val="10"/>
          <w:szCs w:val="10"/>
          <w:b w:val="1"/>
          <w:bCs w:val="1"/>
          <w:color w:val="auto"/>
        </w:rPr>
      </w:pPr>
      <w:r>
        <w:rPr>
          <w:rFonts w:ascii="Arial" w:cs="Arial" w:eastAsia="Arial" w:hAnsi="Arial"/>
          <w:sz w:val="10"/>
          <w:szCs w:val="10"/>
          <w:b w:val="1"/>
          <w:bCs w:val="1"/>
          <w:color w:val="auto"/>
        </w:rPr>
        <w:t>(60,012)</w:t>
      </w:r>
    </w:p>
    <w:p>
      <w:pPr>
        <w:spacing w:after="0" w:line="348" w:lineRule="exact"/>
        <w:rPr>
          <w:sz w:val="20"/>
          <w:szCs w:val="20"/>
          <w:color w:val="auto"/>
        </w:rPr>
      </w:pPr>
    </w:p>
    <w:p>
      <w:pPr>
        <w:ind w:left="703" w:hanging="703"/>
        <w:spacing w:after="0"/>
        <w:tabs>
          <w:tab w:leader="none" w:pos="703" w:val="left"/>
        </w:tabs>
        <w:numPr>
          <w:ilvl w:val="0"/>
          <w:numId w:val="136"/>
        </w:numPr>
        <w:rPr>
          <w:rFonts w:ascii="Arial" w:cs="Arial" w:eastAsia="Arial" w:hAnsi="Arial"/>
          <w:sz w:val="12"/>
          <w:szCs w:val="12"/>
          <w:color w:val="auto"/>
        </w:rPr>
      </w:pPr>
      <w:r>
        <w:rPr>
          <w:rFonts w:ascii="Arial" w:cs="Arial" w:eastAsia="Arial" w:hAnsi="Arial"/>
          <w:sz w:val="12"/>
          <w:szCs w:val="12"/>
          <w:color w:val="auto"/>
        </w:rPr>
        <w:t>2,341</w:t>
      </w:r>
    </w:p>
    <w:p>
      <w:pPr>
        <w:spacing w:after="0" w:line="78" w:lineRule="exact"/>
        <w:rPr>
          <w:rFonts w:ascii="Arial" w:cs="Arial" w:eastAsia="Arial" w:hAnsi="Arial"/>
          <w:sz w:val="12"/>
          <w:szCs w:val="12"/>
          <w:color w:val="auto"/>
        </w:rPr>
      </w:pPr>
    </w:p>
    <w:p>
      <w:pPr>
        <w:ind w:left="703"/>
        <w:spacing w:after="0"/>
        <w:rPr>
          <w:rFonts w:ascii="Arial" w:cs="Arial" w:eastAsia="Arial" w:hAnsi="Arial"/>
          <w:sz w:val="12"/>
          <w:szCs w:val="12"/>
          <w:color w:val="auto"/>
        </w:rPr>
      </w:pPr>
      <w:r>
        <w:rPr>
          <w:rFonts w:ascii="Arial" w:cs="Arial" w:eastAsia="Arial" w:hAnsi="Arial"/>
          <w:sz w:val="12"/>
          <w:szCs w:val="12"/>
          <w:color w:val="auto"/>
        </w:rPr>
        <w:t>4,546</w:t>
      </w:r>
    </w:p>
    <w:p>
      <w:pPr>
        <w:spacing w:after="0" w:line="78" w:lineRule="exact"/>
        <w:rPr>
          <w:rFonts w:ascii="Arial" w:cs="Arial" w:eastAsia="Arial" w:hAnsi="Arial"/>
          <w:sz w:val="12"/>
          <w:szCs w:val="12"/>
          <w:color w:val="auto"/>
        </w:rPr>
      </w:pPr>
    </w:p>
    <w:p>
      <w:pPr>
        <w:ind w:left="803"/>
        <w:spacing w:after="0"/>
        <w:rPr>
          <w:rFonts w:ascii="Arial" w:cs="Arial" w:eastAsia="Arial" w:hAnsi="Arial"/>
          <w:sz w:val="12"/>
          <w:szCs w:val="12"/>
          <w:color w:val="auto"/>
        </w:rPr>
      </w:pPr>
      <w:r>
        <w:rPr>
          <w:rFonts w:ascii="Arial" w:cs="Arial" w:eastAsia="Arial" w:hAnsi="Arial"/>
          <w:sz w:val="13"/>
          <w:szCs w:val="13"/>
          <w:color w:val="auto"/>
        </w:rPr>
        <w:t>426</w:t>
      </w:r>
    </w:p>
    <w:p>
      <w:pPr>
        <w:spacing w:after="0" w:line="63" w:lineRule="exact"/>
        <w:rPr>
          <w:sz w:val="20"/>
          <w:szCs w:val="20"/>
          <w:color w:val="auto"/>
        </w:rPr>
      </w:pPr>
    </w:p>
    <w:p>
      <w:pPr>
        <w:ind w:left="703" w:hanging="703"/>
        <w:spacing w:after="0"/>
        <w:tabs>
          <w:tab w:leader="none" w:pos="703"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7,313</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4"/>
              </w:rPr>
              <w:t>2018 vs. 2017</w:t>
            </w:r>
          </w:p>
        </w:tc>
      </w:tr>
      <w:tr>
        <w:trPr>
          <w:trHeight w:val="135"/>
        </w:trPr>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r>
      <w:tr>
        <w:trPr>
          <w:trHeight w:val="160"/>
        </w:trPr>
        <w:tc>
          <w:tcPr>
            <w:tcW w:w="1340" w:type="dxa"/>
            <w:vAlign w:val="bottom"/>
            <w:gridSpan w:val="2"/>
          </w:tcPr>
          <w:p>
            <w:pPr>
              <w:ind w:left="240"/>
              <w:spacing w:after="0"/>
              <w:rPr>
                <w:sz w:val="20"/>
                <w:szCs w:val="20"/>
                <w:color w:val="auto"/>
              </w:rPr>
            </w:pPr>
            <w:r>
              <w:rPr>
                <w:rFonts w:ascii="Arial" w:cs="Arial" w:eastAsia="Arial" w:hAnsi="Arial"/>
                <w:sz w:val="13"/>
                <w:szCs w:val="13"/>
                <w:i w:val="1"/>
                <w:iCs w:val="1"/>
                <w:color w:val="auto"/>
              </w:rPr>
              <w:t>% of Revenue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r>
      <w:tr>
        <w:trPr>
          <w:trHeight w:val="443"/>
        </w:trPr>
        <w:tc>
          <w:tcPr>
            <w:tcW w:w="11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i w:val="1"/>
                <w:iCs w:val="1"/>
                <w:color w:val="auto"/>
              </w:rPr>
              <w:t>64 %</w:t>
            </w:r>
          </w:p>
        </w:tc>
        <w:tc>
          <w:tcPr>
            <w:tcW w:w="16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29 %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100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62 %</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30 %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100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63 %</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29 %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 %</w:t>
            </w:r>
          </w:p>
        </w:tc>
      </w:tr>
      <w:tr>
        <w:trPr>
          <w:trHeight w:val="329"/>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100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345"/>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100 %</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44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(35)%</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color w:val="auto"/>
              </w:rPr>
              <w:t>%</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 %</w:t>
            </w:r>
          </w:p>
        </w:tc>
      </w:tr>
      <w:tr>
        <w:trPr>
          <w:trHeight w:val="293"/>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(88)</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164"/>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(30)%</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 xml:space="preserve">(3) </w:t>
            </w:r>
            <w:r>
              <w:rPr>
                <w:rFonts w:ascii="Arial" w:cs="Arial" w:eastAsia="Arial" w:hAnsi="Arial"/>
                <w:sz w:val="13"/>
                <w:szCs w:val="13"/>
                <w:color w:val="auto"/>
              </w:rPr>
              <w:t>%</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(23)%</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293"/>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(75)</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164"/>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(30)%</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 xml:space="preserve">(4) </w:t>
            </w:r>
            <w:r>
              <w:rPr>
                <w:rFonts w:ascii="Arial" w:cs="Arial" w:eastAsia="Arial" w:hAnsi="Arial"/>
                <w:sz w:val="13"/>
                <w:szCs w:val="13"/>
                <w:color w:val="auto"/>
              </w:rPr>
              <w:t>%</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9 %</w:t>
            </w:r>
          </w:p>
        </w:tc>
      </w:tr>
      <w:tr>
        <w:trPr>
          <w:trHeight w:val="21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(25)%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329"/>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(87)</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9 %</w:t>
            </w:r>
          </w:p>
        </w:tc>
      </w:tr>
      <w:tr>
        <w:trPr>
          <w:trHeight w:val="345"/>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(83)%</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486"/>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xml:space="preserve">(38) </w:t>
            </w:r>
            <w:r>
              <w:rPr>
                <w:rFonts w:ascii="Arial" w:cs="Arial" w:eastAsia="Arial" w:hAnsi="Arial"/>
                <w:sz w:val="25"/>
                <w:szCs w:val="25"/>
                <w:color w:val="auto"/>
                <w:vertAlign w:val="superscript"/>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(5)%</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9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 %</w:t>
            </w:r>
          </w:p>
        </w:tc>
      </w:tr>
      <w:tr>
        <w:trPr>
          <w:trHeight w:val="297"/>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xml:space="preserve">(13) </w:t>
            </w:r>
            <w:r>
              <w:rPr>
                <w:rFonts w:ascii="Arial" w:cs="Arial" w:eastAsia="Arial" w:hAnsi="Arial"/>
                <w:sz w:val="25"/>
                <w:szCs w:val="25"/>
                <w:color w:val="auto"/>
                <w:vertAlign w:val="superscript"/>
              </w:rPr>
              <w:t>%</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191"/>
        </w:trPr>
        <w:tc>
          <w:tcPr>
            <w:tcW w:w="1340" w:type="dxa"/>
            <w:vAlign w:val="bottom"/>
            <w:gridSpan w:val="2"/>
          </w:tcPr>
          <w:p>
            <w:pPr>
              <w:jc w:val="right"/>
              <w:ind w:right="280"/>
              <w:spacing w:after="0"/>
              <w:rPr>
                <w:sz w:val="20"/>
                <w:szCs w:val="20"/>
                <w:color w:val="auto"/>
              </w:rPr>
            </w:pPr>
            <w:r>
              <w:rPr>
                <w:rFonts w:ascii="Arial" w:cs="Arial" w:eastAsia="Arial" w:hAnsi="Arial"/>
                <w:sz w:val="13"/>
                <w:szCs w:val="13"/>
                <w:i w:val="1"/>
                <w:i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69 %</w:t>
            </w:r>
          </w:p>
        </w:tc>
      </w:tr>
      <w:tr>
        <w:trPr>
          <w:trHeight w:val="329"/>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22 %</w:t>
            </w:r>
          </w:p>
        </w:tc>
      </w:tr>
      <w:tr>
        <w:trPr>
          <w:trHeight w:val="399"/>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(6)%</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 %</w:t>
            </w:r>
          </w:p>
        </w:tc>
      </w:tr>
      <w:tr>
        <w:trPr>
          <w:trHeight w:val="459"/>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(89)%</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42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6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9 %</w:t>
            </w:r>
          </w:p>
        </w:tc>
      </w:tr>
      <w:tr>
        <w:trPr>
          <w:trHeight w:val="216"/>
        </w:trPr>
        <w:tc>
          <w:tcPr>
            <w:tcW w:w="1180" w:type="dxa"/>
            <w:vAlign w:val="bottom"/>
          </w:tcPr>
          <w:p>
            <w:pPr>
              <w:jc w:val="right"/>
              <w:ind w:right="57"/>
              <w:spacing w:after="0" w:line="216" w:lineRule="exact"/>
              <w:rPr>
                <w:sz w:val="20"/>
                <w:szCs w:val="20"/>
                <w:color w:val="auto"/>
              </w:rPr>
            </w:pPr>
            <w:r>
              <w:rPr>
                <w:rFonts w:ascii="Arial" w:cs="Arial" w:eastAsia="Arial" w:hAnsi="Arial"/>
                <w:sz w:val="13"/>
                <w:szCs w:val="13"/>
                <w:i w:val="1"/>
                <w:iCs w:val="1"/>
                <w:color w:val="auto"/>
              </w:rPr>
              <w:t xml:space="preserve">19 </w:t>
            </w:r>
            <w:r>
              <w:rPr>
                <w:rFonts w:ascii="Arial" w:cs="Arial" w:eastAsia="Arial" w:hAnsi="Arial"/>
                <w:sz w:val="25"/>
                <w:szCs w:val="25"/>
                <w:i w:val="1"/>
                <w:iCs w:val="1"/>
                <w:color w:val="auto"/>
                <w:vertAlign w:val="superscript"/>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2 %</w:t>
            </w:r>
          </w:p>
        </w:tc>
      </w:tr>
      <w:tr>
        <w:trPr>
          <w:trHeight w:val="311"/>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 xml:space="preserve">6 </w:t>
            </w:r>
            <w:r>
              <w:rPr>
                <w:rFonts w:ascii="Arial" w:cs="Arial" w:eastAsia="Arial" w:hAnsi="Arial"/>
                <w:sz w:val="25"/>
                <w:szCs w:val="25"/>
                <w:i w:val="1"/>
                <w:iCs w:val="1"/>
                <w:color w:val="auto"/>
                <w:vertAlign w:val="superscript"/>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&gt;100 %</w:t>
            </w:r>
          </w:p>
        </w:tc>
      </w:tr>
      <w:tr>
        <w:trPr>
          <w:trHeight w:val="160"/>
        </w:trPr>
        <w:tc>
          <w:tcPr>
            <w:tcW w:w="1180" w:type="dxa"/>
            <w:vAlign w:val="bottom"/>
          </w:tcPr>
          <w:p>
            <w:pPr>
              <w:jc w:val="right"/>
              <w:ind w:right="57"/>
              <w:spacing w:after="0"/>
              <w:rPr>
                <w:sz w:val="20"/>
                <w:szCs w:val="20"/>
                <w:color w:val="auto"/>
              </w:rPr>
            </w:pPr>
            <w:r>
              <w:rPr>
                <w:rFonts w:ascii="Arial" w:cs="Arial" w:eastAsia="Arial" w:hAnsi="Arial"/>
                <w:sz w:val="13"/>
                <w:szCs w:val="13"/>
                <w:i w:val="1"/>
                <w:iCs w:val="1"/>
                <w:color w:val="auto"/>
              </w:rPr>
              <w:t>11 %</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12 %</w:t>
            </w:r>
          </w:p>
        </w:tc>
      </w:tr>
    </w:tbl>
    <w:p>
      <w:pPr>
        <w:spacing w:after="0" w:line="611" w:lineRule="exact"/>
        <w:rPr>
          <w:sz w:val="20"/>
          <w:szCs w:val="20"/>
          <w:color w:val="auto"/>
        </w:rPr>
      </w:pPr>
    </w:p>
    <w:p>
      <w:pPr>
        <w:sectPr>
          <w:pgSz w:w="11900" w:h="16838" w:orient="portrait"/>
          <w:cols w:equalWidth="0" w:num="4">
            <w:col w:w="5360" w:space="280"/>
            <w:col w:w="680" w:space="277"/>
            <w:col w:w="1023" w:space="160"/>
            <w:col w:w="2160"/>
          </w:cols>
          <w:pgMar w:left="980" w:top="121" w:right="979" w:bottom="187" w:gutter="0" w:footer="0" w:header="0"/>
          <w:type w:val="continuous"/>
        </w:sectPr>
      </w:pPr>
    </w:p>
    <w:p>
      <w:pPr>
        <w:spacing w:after="0" w:line="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Cinema Exhibition segment operating income increased by 19%, or $6.2 million, to $38.9 million for the year ended December 31, 2018 compared to December 31, 2017, primarily driven by higher admissions for our U.S., Australia, and New Zealand operations coupled with improved F&amp;B revenues in all three circuits.</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Cinema Exhibition segment operating income for the quarter ended December 31, 2018 increased by 12% or $0.9 million, to $8.2 million compared to the quarter ended December 31, 2017, primarily driven by higher F&amp;B revenue in the U.S. and an overall increase in attendance for the three circuits.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Measured in local currencies, these increases were somewhat greater as reported results were dampened by the strengthening of the U.S. dollar in 2018.</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1" w:right="979" w:bottom="187"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Cinema revenue increased by 12%, or $30.6 million, to $293.7 million for the year ended December 31, 2018 compared to 2017. This was primarily driven by higher admissions in all three of our geographies, resulting in higher admissions revenue and F&amp;B revenue. These increases were offset by the weakened Australian and New Zealand dollars compared to the U.S. dollar. Additionally, the increase in cinema revenue for 2018 was due to the industry-wide box office soft year for product in 2017 and the closure of some of our cinemas and auditoriums for renovation in 2017. Comparing the current and prior year, the Australian dollar and New Zealand dollar decreased against the U.S. dollar by 2.5% and 2.5% (on average rates), respectively.</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quarter ended December 31, 2018, Cinema segment revenues increased 5%, or $3.6 million, to $71.0 million compared to the same quarter in 2017. This increase is primarily due to the U.S. Circuit including the positive results from Cal Oaks, Manville, and Ward which all had improved revenue results over the same quarter in the previous year.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Cinemas in Australia and New Zealand also enjoyed increased revenues in local currency, offset by the strengthening of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during the same two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is the revenue breakdown by country for each year: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2018 vs. 2017</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 of</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178"/>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161,797</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3"/>
                <w:szCs w:val="13"/>
                <w:i w:val="1"/>
                <w:iCs w:val="1"/>
                <w:color w:val="auto"/>
              </w:rPr>
              <w:t xml:space="preserve">55 </w:t>
            </w:r>
            <w:r>
              <w:rPr>
                <w:rFonts w:ascii="Arial" w:cs="Arial" w:eastAsia="Arial" w:hAnsi="Arial"/>
                <w:sz w:val="23"/>
                <w:szCs w:val="23"/>
                <w:i w:val="1"/>
                <w:iCs w:val="1"/>
                <w:color w:val="auto"/>
                <w:vertAlign w:val="superscript"/>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138,755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3"/>
                <w:szCs w:val="13"/>
                <w:i w:val="1"/>
                <w:iCs w:val="1"/>
                <w:color w:val="auto"/>
              </w:rPr>
              <w:t xml:space="preserve">53 </w:t>
            </w:r>
            <w:r>
              <w:rPr>
                <w:rFonts w:ascii="Arial" w:cs="Arial" w:eastAsia="Arial" w:hAnsi="Arial"/>
                <w:sz w:val="23"/>
                <w:szCs w:val="23"/>
                <w:i w:val="1"/>
                <w:iCs w:val="1"/>
                <w:color w:val="auto"/>
                <w:vertAlign w:val="superscript"/>
              </w:rPr>
              <w:t>%</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3"/>
              <w:spacing w:after="0" w:line="202" w:lineRule="exact"/>
              <w:rPr>
                <w:sz w:val="20"/>
                <w:szCs w:val="20"/>
                <w:color w:val="auto"/>
              </w:rPr>
            </w:pPr>
            <w:r>
              <w:rPr>
                <w:rFonts w:ascii="Arial" w:cs="Arial" w:eastAsia="Arial" w:hAnsi="Arial"/>
                <w:sz w:val="13"/>
                <w:szCs w:val="13"/>
                <w:color w:val="auto"/>
              </w:rPr>
              <w:t xml:space="preserve">17 </w:t>
            </w:r>
            <w:r>
              <w:rPr>
                <w:rFonts w:ascii="Arial" w:cs="Arial" w:eastAsia="Arial" w:hAnsi="Arial"/>
                <w:sz w:val="23"/>
                <w:szCs w:val="23"/>
                <w:i w:val="1"/>
                <w:iCs w:val="1"/>
                <w:color w:val="auto"/>
                <w:vertAlign w:val="superscript"/>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Australia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101,996</w:t>
            </w:r>
          </w:p>
        </w:tc>
        <w:tc>
          <w:tcPr>
            <w:tcW w:w="920" w:type="dxa"/>
            <w:vAlign w:val="bottom"/>
            <w:gridSpan w:val="2"/>
          </w:tcPr>
          <w:p>
            <w:pPr>
              <w:jc w:val="right"/>
              <w:ind w:right="51"/>
              <w:spacing w:after="0" w:line="216" w:lineRule="exact"/>
              <w:rPr>
                <w:sz w:val="20"/>
                <w:szCs w:val="20"/>
                <w:color w:val="auto"/>
              </w:rPr>
            </w:pPr>
            <w:r>
              <w:rPr>
                <w:rFonts w:ascii="Arial" w:cs="Arial" w:eastAsia="Arial" w:hAnsi="Arial"/>
                <w:sz w:val="13"/>
                <w:szCs w:val="13"/>
                <w:i w:val="1"/>
                <w:iCs w:val="1"/>
                <w:color w:val="auto"/>
              </w:rPr>
              <w:t xml:space="preserve">35 </w:t>
            </w:r>
            <w:r>
              <w:rPr>
                <w:rFonts w:ascii="Arial" w:cs="Arial" w:eastAsia="Arial" w:hAnsi="Arial"/>
                <w:sz w:val="25"/>
                <w:szCs w:val="25"/>
                <w:i w:val="1"/>
                <w:iCs w:val="1"/>
                <w:color w:val="auto"/>
                <w:vertAlign w:val="superscript"/>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96,606</w:t>
            </w:r>
          </w:p>
        </w:tc>
        <w:tc>
          <w:tcPr>
            <w:tcW w:w="920" w:type="dxa"/>
            <w:vAlign w:val="bottom"/>
            <w:gridSpan w:val="2"/>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37 </w:t>
            </w:r>
            <w:r>
              <w:rPr>
                <w:rFonts w:ascii="Arial" w:cs="Arial" w:eastAsia="Arial" w:hAnsi="Arial"/>
                <w:sz w:val="25"/>
                <w:szCs w:val="25"/>
                <w:i w:val="1"/>
                <w:iCs w:val="1"/>
                <w:color w:val="auto"/>
                <w:vertAlign w:val="superscript"/>
              </w:rPr>
              <w:t>%</w:t>
            </w:r>
          </w:p>
        </w:tc>
        <w:tc>
          <w:tcPr>
            <w:tcW w:w="80" w:type="dxa"/>
            <w:vAlign w:val="bottom"/>
          </w:tcPr>
          <w:p>
            <w:pPr>
              <w:spacing w:after="0"/>
              <w:rPr>
                <w:sz w:val="18"/>
                <w:szCs w:val="18"/>
                <w:color w:val="auto"/>
              </w:rPr>
            </w:pPr>
          </w:p>
        </w:tc>
        <w:tc>
          <w:tcPr>
            <w:tcW w:w="1160" w:type="dxa"/>
            <w:vAlign w:val="bottom"/>
          </w:tcPr>
          <w:p>
            <w:pPr>
              <w:jc w:val="right"/>
              <w:ind w:right="73"/>
              <w:spacing w:after="0" w:line="216" w:lineRule="exact"/>
              <w:rPr>
                <w:sz w:val="20"/>
                <w:szCs w:val="20"/>
                <w:color w:val="auto"/>
              </w:rPr>
            </w:pPr>
            <w:r>
              <w:rPr>
                <w:rFonts w:ascii="Arial" w:cs="Arial" w:eastAsia="Arial" w:hAnsi="Arial"/>
                <w:sz w:val="13"/>
                <w:szCs w:val="13"/>
                <w:color w:val="auto"/>
              </w:rPr>
              <w:t xml:space="preserve">6 </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New Zealand</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29,930</w:t>
            </w:r>
          </w:p>
        </w:tc>
        <w:tc>
          <w:tcPr>
            <w:tcW w:w="920" w:type="dxa"/>
            <w:vAlign w:val="bottom"/>
            <w:gridSpan w:val="2"/>
            <w:shd w:val="clear" w:color="auto" w:fill="CCEEFF"/>
          </w:tcPr>
          <w:p>
            <w:pPr>
              <w:jc w:val="right"/>
              <w:ind w:right="51"/>
              <w:spacing w:after="0" w:line="216" w:lineRule="exact"/>
              <w:rPr>
                <w:sz w:val="20"/>
                <w:szCs w:val="20"/>
                <w:color w:val="auto"/>
              </w:rPr>
            </w:pPr>
            <w:r>
              <w:rPr>
                <w:rFonts w:ascii="Arial" w:cs="Arial" w:eastAsia="Arial" w:hAnsi="Arial"/>
                <w:sz w:val="13"/>
                <w:szCs w:val="13"/>
                <w:i w:val="1"/>
                <w:iCs w:val="1"/>
                <w:color w:val="auto"/>
              </w:rPr>
              <w:t xml:space="preserve">9 </w:t>
            </w:r>
            <w:r>
              <w:rPr>
                <w:rFonts w:ascii="Arial" w:cs="Arial" w:eastAsia="Arial" w:hAnsi="Arial"/>
                <w:sz w:val="25"/>
                <w:szCs w:val="25"/>
                <w:i w:val="1"/>
                <w:iCs w:val="1"/>
                <w:color w:val="auto"/>
                <w:vertAlign w:val="superscript"/>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27,780</w:t>
            </w:r>
          </w:p>
        </w:tc>
        <w:tc>
          <w:tcPr>
            <w:tcW w:w="920" w:type="dxa"/>
            <w:vAlign w:val="bottom"/>
            <w:gridSpan w:val="2"/>
            <w:shd w:val="clear" w:color="auto" w:fill="CCEEFF"/>
          </w:tcPr>
          <w:p>
            <w:pPr>
              <w:jc w:val="right"/>
              <w:ind w:right="31"/>
              <w:spacing w:after="0" w:line="216" w:lineRule="exact"/>
              <w:rPr>
                <w:sz w:val="20"/>
                <w:szCs w:val="20"/>
                <w:color w:val="auto"/>
              </w:rPr>
            </w:pPr>
            <w:r>
              <w:rPr>
                <w:rFonts w:ascii="Arial" w:cs="Arial" w:eastAsia="Arial" w:hAnsi="Arial"/>
                <w:sz w:val="13"/>
                <w:szCs w:val="13"/>
                <w:i w:val="1"/>
                <w:iCs w:val="1"/>
                <w:color w:val="auto"/>
              </w:rPr>
              <w:t xml:space="preserve">11 </w:t>
            </w:r>
            <w:r>
              <w:rPr>
                <w:rFonts w:ascii="Arial" w:cs="Arial" w:eastAsia="Arial" w:hAnsi="Arial"/>
                <w:sz w:val="25"/>
                <w:szCs w:val="25"/>
                <w:i w:val="1"/>
                <w:iCs w:val="1"/>
                <w:color w:val="auto"/>
                <w:vertAlign w:val="superscript"/>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3"/>
              <w:spacing w:after="0" w:line="216" w:lineRule="exact"/>
              <w:rPr>
                <w:sz w:val="20"/>
                <w:szCs w:val="20"/>
                <w:color w:val="auto"/>
              </w:rPr>
            </w:pPr>
            <w:r>
              <w:rPr>
                <w:rFonts w:ascii="Arial" w:cs="Arial" w:eastAsia="Arial" w:hAnsi="Arial"/>
                <w:sz w:val="13"/>
                <w:szCs w:val="13"/>
                <w:color w:val="auto"/>
              </w:rPr>
              <w:t xml:space="preserve">8 </w:t>
            </w:r>
            <w:r>
              <w:rPr>
                <w:rFonts w:ascii="Arial" w:cs="Arial" w:eastAsia="Arial" w:hAnsi="Arial"/>
                <w:sz w:val="25"/>
                <w:szCs w:val="25"/>
                <w:i w:val="1"/>
                <w:iCs w:val="1"/>
                <w:color w:val="auto"/>
                <w:vertAlign w:val="superscript"/>
              </w:rPr>
              <w:t>%</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Segment Revenues</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293,723</w:t>
            </w:r>
          </w:p>
        </w:tc>
        <w:tc>
          <w:tcPr>
            <w:tcW w:w="920" w:type="dxa"/>
            <w:vAlign w:val="bottom"/>
            <w:gridSpan w:val="2"/>
          </w:tcPr>
          <w:p>
            <w:pPr>
              <w:jc w:val="right"/>
              <w:ind w:right="51"/>
              <w:spacing w:after="0" w:line="183"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1"/>
                <w:szCs w:val="21"/>
                <w:i w:val="1"/>
                <w:iCs w:val="1"/>
                <w:color w:val="auto"/>
                <w:vertAlign w:val="superscript"/>
              </w:rPr>
              <w:t>%</w:t>
            </w:r>
          </w:p>
        </w:tc>
        <w:tc>
          <w:tcPr>
            <w:tcW w:w="8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263,141</w:t>
            </w:r>
          </w:p>
        </w:tc>
        <w:tc>
          <w:tcPr>
            <w:tcW w:w="920" w:type="dxa"/>
            <w:vAlign w:val="bottom"/>
            <w:gridSpan w:val="2"/>
          </w:tcPr>
          <w:p>
            <w:pPr>
              <w:jc w:val="right"/>
              <w:ind w:right="31"/>
              <w:spacing w:after="0" w:line="183" w:lineRule="exact"/>
              <w:rPr>
                <w:sz w:val="20"/>
                <w:szCs w:val="20"/>
                <w:color w:val="auto"/>
              </w:rPr>
            </w:pPr>
            <w:r>
              <w:rPr>
                <w:rFonts w:ascii="Arial" w:cs="Arial" w:eastAsia="Arial" w:hAnsi="Arial"/>
                <w:sz w:val="12"/>
                <w:szCs w:val="12"/>
                <w:i w:val="1"/>
                <w:iCs w:val="1"/>
                <w:color w:val="auto"/>
              </w:rPr>
              <w:t xml:space="preserve">100 </w:t>
            </w:r>
            <w:r>
              <w:rPr>
                <w:rFonts w:ascii="Arial" w:cs="Arial" w:eastAsia="Arial" w:hAnsi="Arial"/>
                <w:sz w:val="21"/>
                <w:szCs w:val="21"/>
                <w:i w:val="1"/>
                <w:iCs w:val="1"/>
                <w:color w:val="auto"/>
                <w:vertAlign w:val="superscript"/>
              </w:rPr>
              <w:t>%</w:t>
            </w:r>
          </w:p>
        </w:tc>
        <w:tc>
          <w:tcPr>
            <w:tcW w:w="80" w:type="dxa"/>
            <w:vAlign w:val="bottom"/>
          </w:tcPr>
          <w:p>
            <w:pPr>
              <w:spacing w:after="0"/>
              <w:rPr>
                <w:sz w:val="15"/>
                <w:szCs w:val="15"/>
                <w:color w:val="auto"/>
              </w:rPr>
            </w:pPr>
          </w:p>
        </w:tc>
        <w:tc>
          <w:tcPr>
            <w:tcW w:w="1160" w:type="dxa"/>
            <w:vAlign w:val="bottom"/>
          </w:tcPr>
          <w:p>
            <w:pPr>
              <w:jc w:val="right"/>
              <w:ind w:right="73"/>
              <w:spacing w:after="0" w:line="183" w:lineRule="exact"/>
              <w:rPr>
                <w:sz w:val="20"/>
                <w:szCs w:val="20"/>
                <w:color w:val="auto"/>
              </w:rPr>
            </w:pPr>
            <w:r>
              <w:rPr>
                <w:rFonts w:ascii="Arial" w:cs="Arial" w:eastAsia="Arial" w:hAnsi="Arial"/>
                <w:sz w:val="12"/>
                <w:szCs w:val="12"/>
                <w:color w:val="auto"/>
              </w:rPr>
              <w:t xml:space="preserve">12 </w:t>
            </w:r>
            <w:r>
              <w:rPr>
                <w:rFonts w:ascii="Arial" w:cs="Arial" w:eastAsia="Arial" w:hAnsi="Arial"/>
                <w:sz w:val="21"/>
                <w:szCs w:val="21"/>
                <w:i w:val="1"/>
                <w:iCs w:val="1"/>
                <w:color w:val="auto"/>
                <w:vertAlign w:val="superscript"/>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40" w:right="480" w:hanging="320"/>
        <w:spacing w:after="0" w:line="198" w:lineRule="auto"/>
        <w:tabs>
          <w:tab w:leader="none" w:pos="640" w:val="left"/>
        </w:tabs>
        <w:numPr>
          <w:ilvl w:val="0"/>
          <w:numId w:val="138"/>
        </w:numPr>
        <w:rPr>
          <w:rFonts w:ascii="Arial" w:cs="Arial" w:eastAsia="Arial" w:hAnsi="Arial"/>
          <w:sz w:val="29"/>
          <w:szCs w:val="29"/>
          <w:color w:val="auto"/>
          <w:vertAlign w:val="superscript"/>
        </w:rPr>
      </w:pPr>
      <w:r>
        <w:rPr>
          <w:rFonts w:ascii="Arial" w:cs="Arial" w:eastAsia="Arial" w:hAnsi="Arial"/>
          <w:sz w:val="18"/>
          <w:szCs w:val="18"/>
          <w:color w:val="auto"/>
        </w:rPr>
        <w:t>In the United States, revenues increased by 17%, or $23.0 million, primarily driven by a 9% increase in attendance, an 8% increase in ATP, and an increase of 5% in SPP.</w:t>
      </w:r>
    </w:p>
    <w:p>
      <w:pPr>
        <w:spacing w:after="0" w:line="80" w:lineRule="exact"/>
        <w:rPr>
          <w:rFonts w:ascii="Arial" w:cs="Arial" w:eastAsia="Arial" w:hAnsi="Arial"/>
          <w:sz w:val="29"/>
          <w:szCs w:val="29"/>
          <w:color w:val="auto"/>
          <w:vertAlign w:val="superscript"/>
        </w:rPr>
      </w:pPr>
    </w:p>
    <w:p>
      <w:pPr>
        <w:ind w:left="640" w:right="20" w:hanging="320"/>
        <w:spacing w:after="0" w:line="212" w:lineRule="auto"/>
        <w:tabs>
          <w:tab w:leader="none" w:pos="640" w:val="left"/>
        </w:tabs>
        <w:numPr>
          <w:ilvl w:val="0"/>
          <w:numId w:val="138"/>
        </w:numPr>
        <w:rPr>
          <w:rFonts w:ascii="Arial" w:cs="Arial" w:eastAsia="Arial" w:hAnsi="Arial"/>
          <w:sz w:val="29"/>
          <w:szCs w:val="29"/>
          <w:color w:val="auto"/>
          <w:vertAlign w:val="superscript"/>
        </w:rPr>
      </w:pPr>
      <w:r>
        <w:rPr>
          <w:rFonts w:ascii="Arial" w:cs="Arial" w:eastAsia="Arial" w:hAnsi="Arial"/>
          <w:sz w:val="18"/>
          <w:szCs w:val="18"/>
          <w:color w:val="auto"/>
        </w:rPr>
        <w:t>Australia’s cinema revenue, stated in U.S. dollars, increased by 6%, or $5.4 million, primarily due to a 4% increase in ATP, a 3% increase in attendance, as well as a slight favorable increase in SPP. Additionally, the Newmarket ETC was fully operational for the entire year of 2018 which contributed to the overall positive results.</w:t>
      </w:r>
    </w:p>
    <w:p>
      <w:pPr>
        <w:spacing w:after="0" w:line="82" w:lineRule="exact"/>
        <w:rPr>
          <w:rFonts w:ascii="Arial" w:cs="Arial" w:eastAsia="Arial" w:hAnsi="Arial"/>
          <w:sz w:val="29"/>
          <w:szCs w:val="29"/>
          <w:color w:val="auto"/>
          <w:vertAlign w:val="superscript"/>
        </w:rPr>
      </w:pPr>
    </w:p>
    <w:p>
      <w:pPr>
        <w:ind w:left="640" w:right="60" w:hanging="320"/>
        <w:spacing w:after="0" w:line="198" w:lineRule="auto"/>
        <w:tabs>
          <w:tab w:leader="none" w:pos="640" w:val="left"/>
        </w:tabs>
        <w:numPr>
          <w:ilvl w:val="0"/>
          <w:numId w:val="138"/>
        </w:numPr>
        <w:rPr>
          <w:rFonts w:ascii="Arial" w:cs="Arial" w:eastAsia="Arial" w:hAnsi="Arial"/>
          <w:sz w:val="29"/>
          <w:szCs w:val="29"/>
          <w:color w:val="auto"/>
          <w:vertAlign w:val="superscript"/>
        </w:rPr>
      </w:pPr>
      <w:r>
        <w:rPr>
          <w:rFonts w:ascii="Arial" w:cs="Arial" w:eastAsia="Arial" w:hAnsi="Arial"/>
          <w:sz w:val="18"/>
          <w:szCs w:val="18"/>
          <w:color w:val="auto"/>
        </w:rPr>
        <w:t>In New Zealand, cinema revenue increased by 8%, or $2.2 million, mainly due to an 11% increase in attendance, coupled with a 2% increase in ATP and SPP.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Operating expense for 2018 increased by 9%, or $19.8 million, to $234.8 million mainly attributed to higher film rent and advertising costs in the U.S. due to higher admissions revenue and increased concession sales that led to higher concession costs. Increases were driven by operations in Australia at our Newmarket Cinema location related to costs associated with the full year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 as a percentage of gross revenue decreased to 80% in 2018 from 82% in 2017.</w:t>
      </w:r>
    </w:p>
    <w:p>
      <w:pPr>
        <w:spacing w:after="0" w:line="225" w:lineRule="exact"/>
        <w:rPr>
          <w:sz w:val="20"/>
          <w:szCs w:val="20"/>
          <w:color w:val="auto"/>
        </w:rPr>
      </w:pPr>
    </w:p>
    <w:p>
      <w:pPr>
        <w:ind w:right="1380"/>
        <w:spacing w:after="0" w:line="449" w:lineRule="auto"/>
        <w:rPr>
          <w:sz w:val="20"/>
          <w:szCs w:val="20"/>
          <w:color w:val="auto"/>
        </w:rPr>
      </w:pPr>
      <w:r>
        <w:rPr>
          <w:rFonts w:ascii="Arial" w:cs="Arial" w:eastAsia="Arial" w:hAnsi="Arial"/>
          <w:sz w:val="18"/>
          <w:szCs w:val="18"/>
          <w:color w:val="auto"/>
        </w:rPr>
        <w:t xml:space="preserve">For the quarter ended December 31, 2018, operating expense remained relatively flat compared to December 31, 2017. </w:t>
      </w:r>
      <w:r>
        <w:rPr>
          <w:rFonts w:ascii="Arial" w:cs="Arial" w:eastAsia="Arial" w:hAnsi="Arial"/>
          <w:sz w:val="18"/>
          <w:szCs w:val="18"/>
          <w:b w:val="1"/>
          <w:bCs w:val="1"/>
          <w:i w:val="1"/>
          <w:iCs w:val="1"/>
          <w:color w:val="auto"/>
        </w:rPr>
        <w:t>Depreciation, Amortization, General and Administrative Expense</w:t>
      </w:r>
    </w:p>
    <w:p>
      <w:pPr>
        <w:spacing w:after="0" w:line="2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Depreciation, amortization, general and administrative expense for 2018 cinema operations increased by 29% or $4.6 million, to $20.0 million compared to 2017 primarily driven by the increase in depreciation resulting from improvements in several of our cinema facilities.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Depreciation, amortization, general and administrative expenses for the quarter ended December 31, 2018 increased by 23%, or $0.9 million, to $5.0 million primarily from the refurbishments and capital investments in the U.S. circuit.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Real Estate</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results of operations for the Real Estate segment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31, 2018 and 2017, respectively:</w:t>
      </w:r>
    </w:p>
    <w:tbl>
      <w:tblPr>
        <w:tblLayout w:type="fixed"/>
        <w:tblInd w:w="0" w:type="dxa"/>
        <w:tblCellMar>
          <w:top w:w="0" w:type="dxa"/>
          <w:left w:w="0" w:type="dxa"/>
          <w:bottom w:w="0" w:type="dxa"/>
          <w:right w:w="0" w:type="dxa"/>
        </w:tblCellMar>
      </w:tblPr>
      <w:tr>
        <w:trPr>
          <w:trHeight w:val="139"/>
        </w:trPr>
        <w:tc>
          <w:tcPr>
            <w:tcW w:w="1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4"/>
              </w:rPr>
              <w:t>2018 vs. 2017</w:t>
            </w:r>
          </w:p>
        </w:tc>
      </w:tr>
      <w:tr>
        <w:trPr>
          <w:trHeight w:val="135"/>
        </w:trPr>
        <w:tc>
          <w:tcPr>
            <w:tcW w:w="14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r>
      <w:tr>
        <w:trPr>
          <w:trHeight w:val="160"/>
        </w:trPr>
        <w:tc>
          <w:tcPr>
            <w:tcW w:w="1460" w:type="dxa"/>
            <w:vAlign w:val="bottom"/>
          </w:tcPr>
          <w:p>
            <w:pPr>
              <w:spacing w:after="0"/>
              <w:rPr>
                <w:sz w:val="20"/>
                <w:szCs w:val="20"/>
                <w:color w:val="auto"/>
              </w:rPr>
            </w:pPr>
            <w:r>
              <w:rPr>
                <w:rFonts w:ascii="Arial" w:cs="Arial" w:eastAsia="Arial" w:hAnsi="Arial"/>
                <w:sz w:val="13"/>
                <w:szCs w:val="13"/>
                <w:i w:val="1"/>
                <w:iCs w:val="1"/>
                <w:color w:val="auto"/>
              </w:rPr>
              <w:t>(Dollars in thousands)</w:t>
            </w: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1380" w:type="dxa"/>
            <w:vAlign w:val="bottom"/>
            <w:gridSpan w:val="2"/>
          </w:tcPr>
          <w:p>
            <w:pPr>
              <w:ind w:left="280"/>
              <w:spacing w:after="0"/>
              <w:rPr>
                <w:sz w:val="20"/>
                <w:szCs w:val="20"/>
                <w:color w:val="auto"/>
              </w:rPr>
            </w:pPr>
            <w:r>
              <w:rPr>
                <w:rFonts w:ascii="Arial" w:cs="Arial" w:eastAsia="Arial" w:hAnsi="Arial"/>
                <w:sz w:val="13"/>
                <w:szCs w:val="13"/>
                <w:i w:val="1"/>
                <w:iCs w:val="1"/>
                <w:color w:val="auto"/>
              </w:rPr>
              <w:t>% of Revenue</w:t>
            </w:r>
          </w:p>
        </w:tc>
        <w:tc>
          <w:tcPr>
            <w:tcW w:w="22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3"/>
                <w:szCs w:val="13"/>
                <w:i w:val="1"/>
                <w:iCs w:val="1"/>
                <w:color w:val="auto"/>
              </w:rPr>
              <w:t>% of Revenue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r>
      <w:tr>
        <w:trPr>
          <w:trHeight w:val="216"/>
        </w:trPr>
        <w:tc>
          <w:tcPr>
            <w:tcW w:w="14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REVENUE</w:t>
            </w:r>
          </w:p>
        </w:tc>
        <w:tc>
          <w:tcPr>
            <w:tcW w:w="2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Live theatre rental and ancillary income</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3,163</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91 %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93 %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 %</w:t>
            </w:r>
          </w:p>
        </w:tc>
      </w:tr>
      <w:tr>
        <w:trPr>
          <w:trHeight w:val="216"/>
        </w:trPr>
        <w:tc>
          <w:tcPr>
            <w:tcW w:w="146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Property rental income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9 %</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i w:val="1"/>
                <w:iCs w:val="1"/>
                <w:color w:val="auto"/>
              </w:rPr>
              <w:t>7 %</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 %</w:t>
            </w:r>
          </w:p>
        </w:tc>
      </w:tr>
      <w:tr>
        <w:trPr>
          <w:trHeight w:val="196"/>
        </w:trPr>
        <w:tc>
          <w:tcPr>
            <w:tcW w:w="14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3,480</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4,740</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 %</w:t>
            </w: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Property rental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16,122</w:t>
            </w:r>
          </w:p>
        </w:tc>
        <w:tc>
          <w:tcPr>
            <w:tcW w:w="140" w:type="dxa"/>
            <w:vAlign w:val="bottom"/>
          </w:tcPr>
          <w:p>
            <w:pPr>
              <w:spacing w:after="0"/>
              <w:rPr>
                <w:sz w:val="18"/>
                <w:szCs w:val="18"/>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15,089</w:t>
            </w:r>
          </w:p>
        </w:tc>
        <w:tc>
          <w:tcPr>
            <w:tcW w:w="14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Property rental income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4,633</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4,159</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r>
      <w:tr>
        <w:trPr>
          <w:trHeight w:val="189"/>
        </w:trPr>
        <w:tc>
          <w:tcPr>
            <w:tcW w:w="1460" w:type="dxa"/>
            <w:vAlign w:val="bottom"/>
            <w:tcBorders>
              <w:bottom w:val="single" w:sz="8" w:color="CCEEFF"/>
            </w:tcBorders>
          </w:tcPr>
          <w:p>
            <w:pPr>
              <w:ind w:left="140"/>
              <w:spacing w:after="0"/>
              <w:rPr>
                <w:sz w:val="20"/>
                <w:szCs w:val="20"/>
                <w:color w:val="auto"/>
              </w:rPr>
            </w:pPr>
            <w:r>
              <w:rPr>
                <w:rFonts w:ascii="Arial" w:cs="Arial" w:eastAsia="Arial" w:hAnsi="Arial"/>
                <w:sz w:val="13"/>
                <w:szCs w:val="13"/>
                <w:b w:val="1"/>
                <w:bCs w:val="1"/>
                <w:color w:val="auto"/>
              </w:rPr>
              <w:t>Total revenue</w:t>
            </w:r>
          </w:p>
        </w:tc>
        <w:tc>
          <w:tcPr>
            <w:tcW w:w="26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24,235</w:t>
            </w: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23,988</w:t>
            </w: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1 %</w:t>
            </w: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EXPENSE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Live theatre cost</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(1,222)</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(35)%</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(1,105)</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(23)%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216"/>
        </w:trPr>
        <w:tc>
          <w:tcPr>
            <w:tcW w:w="14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Property cost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(520)</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(388)</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r>
      <w:tr>
        <w:trPr>
          <w:trHeight w:val="216"/>
        </w:trPr>
        <w:tc>
          <w:tcPr>
            <w:tcW w:w="146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Occupancy expense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(696)</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(20)%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i w:val="1"/>
                <w:iCs w:val="1"/>
                <w:color w:val="auto"/>
              </w:rPr>
              <w:t>(14)%</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 %</w:t>
            </w:r>
          </w:p>
        </w:tc>
      </w:tr>
      <w:tr>
        <w:trPr>
          <w:trHeight w:val="196"/>
        </w:trPr>
        <w:tc>
          <w:tcPr>
            <w:tcW w:w="14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(2,438)</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(70)%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(2,153)</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(45)%</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Property cost</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(3,138)</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(19)%</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(3,031)</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(20)%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216"/>
        </w:trPr>
        <w:tc>
          <w:tcPr>
            <w:tcW w:w="14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Occupancy expense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196"/>
        </w:trPr>
        <w:tc>
          <w:tcPr>
            <w:tcW w:w="1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(5,669)</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(35)%</w:t>
            </w:r>
          </w:p>
        </w:tc>
        <w:tc>
          <w:tcPr>
            <w:tcW w:w="140" w:type="dxa"/>
            <w:vAlign w:val="bottom"/>
          </w:tcPr>
          <w:p>
            <w:pPr>
              <w:spacing w:after="0"/>
              <w:rPr>
                <w:sz w:val="17"/>
                <w:szCs w:val="17"/>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(5,406)</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(36)%</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Property cost</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(1,199)</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(1,295)</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216"/>
        </w:trPr>
        <w:tc>
          <w:tcPr>
            <w:tcW w:w="146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(598)</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(582)</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(14)%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176"/>
        </w:trPr>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26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(1,797)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jc w:val="right"/>
              <w:ind w:right="77"/>
              <w:spacing w:after="0" w:line="141" w:lineRule="exact"/>
              <w:rPr>
                <w:sz w:val="20"/>
                <w:szCs w:val="20"/>
                <w:color w:val="auto"/>
              </w:rPr>
            </w:pPr>
            <w:r>
              <w:rPr>
                <w:rFonts w:ascii="Arial" w:cs="Arial" w:eastAsia="Arial" w:hAnsi="Arial"/>
                <w:sz w:val="13"/>
                <w:szCs w:val="13"/>
                <w:i w:val="1"/>
                <w:iCs w:val="1"/>
                <w:color w:val="auto"/>
              </w:rPr>
              <w:t>(39)%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(1,877)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jc w:val="right"/>
              <w:ind w:right="37"/>
              <w:spacing w:after="0" w:line="141" w:lineRule="exact"/>
              <w:rPr>
                <w:sz w:val="20"/>
                <w:szCs w:val="20"/>
                <w:color w:val="auto"/>
              </w:rPr>
            </w:pPr>
            <w:r>
              <w:rPr>
                <w:rFonts w:ascii="Arial" w:cs="Arial" w:eastAsia="Arial" w:hAnsi="Arial"/>
                <w:sz w:val="13"/>
                <w:szCs w:val="13"/>
                <w:i w:val="1"/>
                <w:iCs w:val="1"/>
                <w:color w:val="auto"/>
              </w:rPr>
              <w:t>(45)%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4 %</w:t>
            </w:r>
          </w:p>
        </w:tc>
      </w:tr>
      <w:tr>
        <w:trPr>
          <w:trHeight w:val="216"/>
        </w:trPr>
        <w:tc>
          <w:tcPr>
            <w:tcW w:w="146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r>
      <w:tr>
        <w:trPr>
          <w:trHeight w:val="203"/>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w w:val="86"/>
              </w:rPr>
              <w:t>Total operating expense</w:t>
            </w:r>
          </w:p>
        </w:tc>
        <w:tc>
          <w:tcPr>
            <w:tcW w:w="2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(9,904)</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(41)%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(9,436)</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(39)%</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w:t>
            </w:r>
          </w:p>
        </w:tc>
      </w:tr>
      <w:tr>
        <w:trPr>
          <w:trHeight w:val="90"/>
        </w:trPr>
        <w:tc>
          <w:tcPr>
            <w:tcW w:w="4240" w:type="dxa"/>
            <w:vAlign w:val="bottom"/>
            <w:tcBorders>
              <w:top w:val="single" w:sz="8" w:color="CCEEFF"/>
            </w:tcBorders>
            <w:gridSpan w:val="3"/>
          </w:tcPr>
          <w:p>
            <w:pPr>
              <w:spacing w:after="0" w:line="91" w:lineRule="exact"/>
              <w:rPr>
                <w:sz w:val="20"/>
                <w:szCs w:val="20"/>
                <w:color w:val="auto"/>
              </w:rPr>
            </w:pPr>
            <w:r>
              <w:rPr>
                <w:rFonts w:ascii="Arial" w:cs="Arial" w:eastAsia="Arial" w:hAnsi="Arial"/>
                <w:sz w:val="10"/>
                <w:szCs w:val="10"/>
                <w:b w:val="1"/>
                <w:bCs w:val="1"/>
                <w:color w:val="auto"/>
              </w:rPr>
              <w:t>DEPRECIATION, AMORTIZATION, GENERAL AND</w:t>
            </w:r>
          </w:p>
        </w:tc>
        <w:tc>
          <w:tcPr>
            <w:tcW w:w="2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24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14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20" w:type="dxa"/>
            <w:vAlign w:val="bottom"/>
            <w:tcBorders>
              <w:top w:val="single" w:sz="8" w:color="CCEEFF"/>
            </w:tcBorders>
          </w:tcPr>
          <w:p>
            <w:pPr>
              <w:spacing w:after="0"/>
              <w:rPr>
                <w:sz w:val="7"/>
                <w:szCs w:val="7"/>
                <w:color w:val="auto"/>
              </w:rPr>
            </w:pPr>
          </w:p>
        </w:tc>
      </w:tr>
      <w:tr>
        <w:trPr>
          <w:trHeight w:val="153"/>
        </w:trPr>
        <w:tc>
          <w:tcPr>
            <w:tcW w:w="4240" w:type="dxa"/>
            <w:vAlign w:val="bottom"/>
            <w:gridSpan w:val="3"/>
          </w:tcPr>
          <w:p>
            <w:pPr>
              <w:spacing w:after="0"/>
              <w:rPr>
                <w:sz w:val="20"/>
                <w:szCs w:val="20"/>
                <w:color w:val="auto"/>
              </w:rPr>
            </w:pPr>
            <w:r>
              <w:rPr>
                <w:rFonts w:ascii="Arial" w:cs="Arial" w:eastAsia="Arial" w:hAnsi="Arial"/>
                <w:sz w:val="13"/>
                <w:szCs w:val="13"/>
                <w:b w:val="1"/>
                <w:bCs w:val="1"/>
                <w:color w:val="auto"/>
              </w:rPr>
              <w:t>ADMINISTRATIVE EXPENSE</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(777)</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(615)</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r>
      <w:tr>
        <w:trPr>
          <w:trHeight w:val="216"/>
        </w:trPr>
        <w:tc>
          <w:tcPr>
            <w:tcW w:w="146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(627)</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(774)</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(16)%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196"/>
        </w:trPr>
        <w:tc>
          <w:tcPr>
            <w:tcW w:w="14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(1,404)</w:t>
            </w: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jc w:val="right"/>
              <w:ind w:right="77"/>
              <w:spacing w:after="0" w:line="195" w:lineRule="exact"/>
              <w:rPr>
                <w:sz w:val="20"/>
                <w:szCs w:val="20"/>
                <w:color w:val="auto"/>
              </w:rPr>
            </w:pPr>
            <w:r>
              <w:rPr>
                <w:rFonts w:ascii="Arial" w:cs="Arial" w:eastAsia="Arial" w:hAnsi="Arial"/>
                <w:sz w:val="12"/>
                <w:szCs w:val="12"/>
                <w:i w:val="1"/>
                <w:iCs w:val="1"/>
                <w:color w:val="auto"/>
              </w:rPr>
              <w:t>(40)</w:t>
            </w:r>
            <w:r>
              <w:rPr>
                <w:rFonts w:ascii="Arial" w:cs="Arial" w:eastAsia="Arial" w:hAnsi="Arial"/>
                <w:sz w:val="22"/>
                <w:szCs w:val="22"/>
                <w:i w:val="1"/>
                <w:iCs w:val="1"/>
                <w:color w:val="auto"/>
                <w:vertAlign w:val="superscript"/>
              </w:rPr>
              <w:t>%</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(1,389)</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jc w:val="right"/>
              <w:ind w:right="37"/>
              <w:spacing w:after="0" w:line="141" w:lineRule="exact"/>
              <w:rPr>
                <w:sz w:val="20"/>
                <w:szCs w:val="20"/>
                <w:color w:val="auto"/>
              </w:rPr>
            </w:pPr>
            <w:r>
              <w:rPr>
                <w:rFonts w:ascii="Arial" w:cs="Arial" w:eastAsia="Arial" w:hAnsi="Arial"/>
                <w:sz w:val="13"/>
                <w:szCs w:val="13"/>
                <w:i w:val="1"/>
                <w:iCs w:val="1"/>
                <w:color w:val="auto"/>
              </w:rPr>
              <w:t>(29)%</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 %</w:t>
            </w: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(3,752)</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(23)%</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(2,693)</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(18)%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 %</w:t>
            </w:r>
          </w:p>
        </w:tc>
      </w:tr>
      <w:tr>
        <w:trPr>
          <w:trHeight w:val="216"/>
        </w:trPr>
        <w:tc>
          <w:tcPr>
            <w:tcW w:w="14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(1,699)</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(1,367)</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96"/>
        </w:trPr>
        <w:tc>
          <w:tcPr>
            <w:tcW w:w="1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(5,451)</w:t>
            </w:r>
          </w:p>
        </w:tc>
        <w:tc>
          <w:tcPr>
            <w:tcW w:w="140" w:type="dxa"/>
            <w:vAlign w:val="bottom"/>
          </w:tcPr>
          <w:p>
            <w:pPr>
              <w:spacing w:after="0"/>
              <w:rPr>
                <w:sz w:val="17"/>
                <w:szCs w:val="17"/>
                <w:color w:val="auto"/>
              </w:rPr>
            </w:pPr>
          </w:p>
        </w:tc>
        <w:tc>
          <w:tcPr>
            <w:tcW w:w="1240" w:type="dxa"/>
            <w:vAlign w:val="bottom"/>
          </w:tcPr>
          <w:p>
            <w:pPr>
              <w:jc w:val="right"/>
              <w:ind w:right="77"/>
              <w:spacing w:after="0" w:line="195" w:lineRule="exact"/>
              <w:rPr>
                <w:sz w:val="20"/>
                <w:szCs w:val="20"/>
                <w:color w:val="auto"/>
              </w:rPr>
            </w:pPr>
            <w:r>
              <w:rPr>
                <w:rFonts w:ascii="Arial" w:cs="Arial" w:eastAsia="Arial" w:hAnsi="Arial"/>
                <w:sz w:val="12"/>
                <w:szCs w:val="12"/>
                <w:i w:val="1"/>
                <w:iCs w:val="1"/>
                <w:color w:val="auto"/>
              </w:rPr>
              <w:t>(34)</w:t>
            </w:r>
            <w:r>
              <w:rPr>
                <w:rFonts w:ascii="Arial" w:cs="Arial" w:eastAsia="Arial" w:hAnsi="Arial"/>
                <w:sz w:val="22"/>
                <w:szCs w:val="22"/>
                <w:i w:val="1"/>
                <w:iCs w:val="1"/>
                <w:color w:val="auto"/>
                <w:vertAlign w:val="superscript"/>
              </w:rPr>
              <w:t>%</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(4,060)</w:t>
            </w:r>
          </w:p>
        </w:tc>
        <w:tc>
          <w:tcPr>
            <w:tcW w:w="140" w:type="dxa"/>
            <w:vAlign w:val="bottom"/>
          </w:tcPr>
          <w:p>
            <w:pPr>
              <w:spacing w:after="0"/>
              <w:rPr>
                <w:sz w:val="17"/>
                <w:szCs w:val="17"/>
                <w:color w:val="auto"/>
              </w:rPr>
            </w:pPr>
          </w:p>
        </w:tc>
        <w:tc>
          <w:tcPr>
            <w:tcW w:w="1140" w:type="dxa"/>
            <w:vAlign w:val="bottom"/>
          </w:tcPr>
          <w:p>
            <w:pPr>
              <w:jc w:val="right"/>
              <w:ind w:right="37"/>
              <w:spacing w:after="0" w:line="141" w:lineRule="exact"/>
              <w:rPr>
                <w:sz w:val="20"/>
                <w:szCs w:val="20"/>
                <w:color w:val="auto"/>
              </w:rPr>
            </w:pPr>
            <w:r>
              <w:rPr>
                <w:rFonts w:ascii="Arial" w:cs="Arial" w:eastAsia="Arial" w:hAnsi="Arial"/>
                <w:sz w:val="13"/>
                <w:szCs w:val="13"/>
                <w:i w:val="1"/>
                <w:iCs w:val="1"/>
                <w:color w:val="auto"/>
              </w:rPr>
              <w:t>(27)%</w:t>
            </w:r>
          </w:p>
        </w:tc>
        <w:tc>
          <w:tcPr>
            <w:tcW w:w="140" w:type="dxa"/>
            <w:vAlign w:val="bottom"/>
          </w:tcPr>
          <w:p>
            <w:pPr>
              <w:spacing w:after="0"/>
              <w:rPr>
                <w:sz w:val="17"/>
                <w:szCs w:val="17"/>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(34) %</w:t>
            </w: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(1,038)</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(947)</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r>
      <w:tr>
        <w:trPr>
          <w:trHeight w:val="216"/>
        </w:trPr>
        <w:tc>
          <w:tcPr>
            <w:tcW w:w="146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96"/>
        </w:trPr>
        <w:tc>
          <w:tcPr>
            <w:tcW w:w="14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(1,038)</w:t>
            </w: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jc w:val="right"/>
              <w:ind w:right="77"/>
              <w:spacing w:after="0" w:line="195" w:lineRule="exact"/>
              <w:rPr>
                <w:sz w:val="20"/>
                <w:szCs w:val="20"/>
                <w:color w:val="auto"/>
              </w:rPr>
            </w:pPr>
            <w:r>
              <w:rPr>
                <w:rFonts w:ascii="Arial" w:cs="Arial" w:eastAsia="Arial" w:hAnsi="Arial"/>
                <w:sz w:val="12"/>
                <w:szCs w:val="12"/>
                <w:i w:val="1"/>
                <w:iCs w:val="1"/>
                <w:color w:val="auto"/>
              </w:rPr>
              <w:t>(22)</w:t>
            </w:r>
            <w:r>
              <w:rPr>
                <w:rFonts w:ascii="Arial" w:cs="Arial" w:eastAsia="Arial" w:hAnsi="Arial"/>
                <w:sz w:val="22"/>
                <w:szCs w:val="22"/>
                <w:i w:val="1"/>
                <w:iCs w:val="1"/>
                <w:color w:val="auto"/>
                <w:vertAlign w:val="superscript"/>
              </w:rPr>
              <w:t>%</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(947)</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jc w:val="right"/>
              <w:ind w:right="37"/>
              <w:spacing w:after="0" w:line="141" w:lineRule="exact"/>
              <w:rPr>
                <w:sz w:val="20"/>
                <w:szCs w:val="20"/>
                <w:color w:val="auto"/>
              </w:rPr>
            </w:pPr>
            <w:r>
              <w:rPr>
                <w:rFonts w:ascii="Arial" w:cs="Arial" w:eastAsia="Arial" w:hAnsi="Arial"/>
                <w:sz w:val="13"/>
                <w:szCs w:val="13"/>
                <w:i w:val="1"/>
                <w:iCs w:val="1"/>
                <w:color w:val="auto"/>
              </w:rPr>
              <w:t>(23)%</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(10) %</w:t>
            </w:r>
          </w:p>
        </w:tc>
      </w:tr>
      <w:tr>
        <w:trPr>
          <w:trHeight w:val="223"/>
        </w:trPr>
        <w:tc>
          <w:tcPr>
            <w:tcW w:w="408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196"/>
        </w:trPr>
        <w:tc>
          <w:tcPr>
            <w:tcW w:w="4240" w:type="dxa"/>
            <w:vAlign w:val="bottom"/>
            <w:gridSpan w:val="3"/>
            <w:shd w:val="clear" w:color="auto" w:fill="CCEEFF"/>
          </w:tcPr>
          <w:p>
            <w:pPr>
              <w:ind w:left="140"/>
              <w:spacing w:after="0"/>
              <w:rPr>
                <w:sz w:val="20"/>
                <w:szCs w:val="20"/>
                <w:color w:val="auto"/>
              </w:rPr>
            </w:pPr>
            <w:r>
              <w:rPr>
                <w:rFonts w:ascii="Arial" w:cs="Arial" w:eastAsia="Arial" w:hAnsi="Arial"/>
                <w:sz w:val="13"/>
                <w:szCs w:val="13"/>
                <w:b w:val="1"/>
                <w:bCs w:val="1"/>
                <w:color w:val="auto"/>
                <w:w w:val="90"/>
              </w:rPr>
              <w:t>Total depreciation, amortization, and general and administrative expense</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(7,893)</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(33)%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(6,396)</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(27)%</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 %</w:t>
            </w:r>
          </w:p>
        </w:tc>
      </w:tr>
      <w:tr>
        <w:trPr>
          <w:trHeight w:val="223"/>
        </w:trPr>
        <w:tc>
          <w:tcPr>
            <w:tcW w:w="1460" w:type="dxa"/>
            <w:vAlign w:val="bottom"/>
            <w:tcBorders>
              <w:top w:val="single" w:sz="8" w:color="CCEEFF"/>
              <w:bottom w:val="single" w:sz="8" w:color="CCEEFF"/>
            </w:tcBorders>
          </w:tcPr>
          <w:p>
            <w:pPr>
              <w:spacing w:after="0"/>
              <w:rPr>
                <w:sz w:val="19"/>
                <w:szCs w:val="19"/>
                <w:color w:val="auto"/>
              </w:rPr>
            </w:pPr>
          </w:p>
        </w:tc>
        <w:tc>
          <w:tcPr>
            <w:tcW w:w="262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2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1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820" w:type="dxa"/>
            <w:vAlign w:val="bottom"/>
            <w:tcBorders>
              <w:top w:val="single" w:sz="8" w:color="CCEEFF"/>
              <w:bottom w:val="single" w:sz="8" w:color="CCEEFF"/>
            </w:tcBorders>
          </w:tcPr>
          <w:p>
            <w:pPr>
              <w:spacing w:after="0"/>
              <w:rPr>
                <w:sz w:val="19"/>
                <w:szCs w:val="19"/>
                <w:color w:val="auto"/>
              </w:rPr>
            </w:pPr>
          </w:p>
        </w:tc>
      </w:tr>
      <w:tr>
        <w:trPr>
          <w:trHeight w:val="209"/>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expenses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(17,797)</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(15,832)</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(66)%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203"/>
        </w:trPr>
        <w:tc>
          <w:tcPr>
            <w:tcW w:w="4240" w:type="dxa"/>
            <w:vAlign w:val="bottom"/>
            <w:tcBorders>
              <w:top w:val="single" w:sz="8" w:color="CCEEFF"/>
            </w:tcBorders>
            <w:gridSpan w:val="3"/>
          </w:tcPr>
          <w:p>
            <w:pPr>
              <w:spacing w:after="0"/>
              <w:rPr>
                <w:sz w:val="20"/>
                <w:szCs w:val="20"/>
                <w:color w:val="auto"/>
              </w:rPr>
            </w:pPr>
            <w:r>
              <w:rPr>
                <w:rFonts w:ascii="Arial" w:cs="Arial" w:eastAsia="Arial" w:hAnsi="Arial"/>
                <w:sz w:val="13"/>
                <w:szCs w:val="13"/>
                <w:b w:val="1"/>
                <w:bCs w:val="1"/>
                <w:color w:val="auto"/>
              </w:rPr>
              <w:t>OPERATING INCOME (LOSS)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United States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(362)</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25 %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(&gt;100) %</w:t>
            </w: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5,002</w:t>
            </w:r>
          </w:p>
        </w:tc>
        <w:tc>
          <w:tcPr>
            <w:tcW w:w="140" w:type="dxa"/>
            <w:vAlign w:val="bottom"/>
          </w:tcPr>
          <w:p>
            <w:pPr>
              <w:spacing w:after="0"/>
              <w:rPr>
                <w:sz w:val="18"/>
                <w:szCs w:val="18"/>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31 %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5,623</w:t>
            </w:r>
          </w:p>
        </w:tc>
        <w:tc>
          <w:tcPr>
            <w:tcW w:w="14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37 %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223"/>
        </w:trPr>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39 %</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1,335</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32 %</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35 %</w:t>
            </w:r>
          </w:p>
        </w:tc>
      </w:tr>
      <w:tr>
        <w:trPr>
          <w:trHeight w:val="196"/>
        </w:trPr>
        <w:tc>
          <w:tcPr>
            <w:tcW w:w="424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 operating income (loss)</w:t>
            </w: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6,438</w:t>
            </w:r>
          </w:p>
        </w:tc>
        <w:tc>
          <w:tcPr>
            <w:tcW w:w="140" w:type="dxa"/>
            <w:vAlign w:val="bottom"/>
          </w:tcPr>
          <w:p>
            <w:pPr>
              <w:spacing w:after="0"/>
              <w:rPr>
                <w:sz w:val="17"/>
                <w:szCs w:val="17"/>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27 %</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8,156</w:t>
            </w:r>
          </w:p>
        </w:tc>
        <w:tc>
          <w:tcPr>
            <w:tcW w:w="140" w:type="dxa"/>
            <w:vAlign w:val="bottom"/>
          </w:tcPr>
          <w:p>
            <w:pPr>
              <w:spacing w:after="0"/>
              <w:rPr>
                <w:sz w:val="17"/>
                <w:szCs w:val="17"/>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34 %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 %</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auto"/>
        </w:rPr>
        <w:t>Real Estate</w:t>
      </w:r>
      <w:r>
        <w:rPr>
          <w:rFonts w:ascii="Arial" w:cs="Arial" w:eastAsia="Arial" w:hAnsi="Arial"/>
          <w:sz w:val="17"/>
          <w:szCs w:val="17"/>
          <w:b w:val="1"/>
          <w:bCs w:val="1"/>
          <w:color w:val="auto"/>
        </w:rPr>
        <w:t xml:space="preserve"> – </w:t>
      </w:r>
      <w:r>
        <w:rPr>
          <w:rFonts w:ascii="Arial" w:cs="Arial" w:eastAsia="Arial" w:hAnsi="Arial"/>
          <w:sz w:val="17"/>
          <w:szCs w:val="17"/>
          <w:b w:val="1"/>
          <w:bCs w:val="1"/>
          <w:i w:val="1"/>
          <w:iCs w:val="1"/>
          <w:color w:val="auto"/>
        </w:rPr>
        <w:t>The following table details our results of operations for the Real Estate segment for the quarters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31, 2018 and 2017, respectively: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4"/>
              </w:rPr>
              <w:t>2018 vs. 2017</w:t>
            </w:r>
          </w:p>
        </w:tc>
      </w:tr>
      <w:tr>
        <w:trPr>
          <w:trHeight w:val="135"/>
        </w:trPr>
        <w:tc>
          <w:tcPr>
            <w:tcW w:w="14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r>
      <w:tr>
        <w:trPr>
          <w:trHeight w:val="160"/>
        </w:trPr>
        <w:tc>
          <w:tcPr>
            <w:tcW w:w="1460" w:type="dxa"/>
            <w:vAlign w:val="bottom"/>
          </w:tcPr>
          <w:p>
            <w:pPr>
              <w:spacing w:after="0"/>
              <w:rPr>
                <w:sz w:val="20"/>
                <w:szCs w:val="20"/>
                <w:color w:val="auto"/>
              </w:rPr>
            </w:pPr>
            <w:r>
              <w:rPr>
                <w:rFonts w:ascii="Arial" w:cs="Arial" w:eastAsia="Arial" w:hAnsi="Arial"/>
                <w:sz w:val="13"/>
                <w:szCs w:val="13"/>
                <w:i w:val="1"/>
                <w:iCs w:val="1"/>
                <w:color w:val="auto"/>
              </w:rPr>
              <w:t>(Dollars in thousands)</w:t>
            </w: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1380" w:type="dxa"/>
            <w:vAlign w:val="bottom"/>
            <w:gridSpan w:val="2"/>
          </w:tcPr>
          <w:p>
            <w:pPr>
              <w:ind w:left="280"/>
              <w:spacing w:after="0"/>
              <w:rPr>
                <w:sz w:val="20"/>
                <w:szCs w:val="20"/>
                <w:color w:val="auto"/>
              </w:rPr>
            </w:pPr>
            <w:r>
              <w:rPr>
                <w:rFonts w:ascii="Arial" w:cs="Arial" w:eastAsia="Arial" w:hAnsi="Arial"/>
                <w:sz w:val="13"/>
                <w:szCs w:val="13"/>
                <w:i w:val="1"/>
                <w:iCs w:val="1"/>
                <w:color w:val="auto"/>
              </w:rPr>
              <w:t>% of Revenue</w:t>
            </w:r>
          </w:p>
        </w:tc>
        <w:tc>
          <w:tcPr>
            <w:tcW w:w="220" w:type="dxa"/>
            <w:vAlign w:val="bottom"/>
          </w:tcPr>
          <w:p>
            <w:pPr>
              <w:spacing w:after="0"/>
              <w:rPr>
                <w:sz w:val="13"/>
                <w:szCs w:val="13"/>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3"/>
                <w:szCs w:val="13"/>
                <w:i w:val="1"/>
                <w:iCs w:val="1"/>
                <w:color w:val="auto"/>
              </w:rPr>
              <w:t>% of Revenue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r>
      <w:tr>
        <w:trPr>
          <w:trHeight w:val="216"/>
        </w:trPr>
        <w:tc>
          <w:tcPr>
            <w:tcW w:w="14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REVENUE</w:t>
            </w:r>
          </w:p>
        </w:tc>
        <w:tc>
          <w:tcPr>
            <w:tcW w:w="2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Live theatre rental and ancillary income</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85 %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98 %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r>
      <w:tr>
        <w:trPr>
          <w:trHeight w:val="216"/>
        </w:trPr>
        <w:tc>
          <w:tcPr>
            <w:tcW w:w="146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Property rental income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15 %</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i w:val="1"/>
                <w:iCs w:val="1"/>
                <w:color w:val="auto"/>
              </w:rPr>
              <w:t>2 %</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&gt;100 %</w:t>
            </w:r>
          </w:p>
        </w:tc>
      </w:tr>
      <w:tr>
        <w:trPr>
          <w:trHeight w:val="196"/>
        </w:trPr>
        <w:tc>
          <w:tcPr>
            <w:tcW w:w="14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1,070</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1,517</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Property rental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3,817</w:t>
            </w:r>
          </w:p>
        </w:tc>
        <w:tc>
          <w:tcPr>
            <w:tcW w:w="140" w:type="dxa"/>
            <w:vAlign w:val="bottom"/>
          </w:tcPr>
          <w:p>
            <w:pPr>
              <w:spacing w:after="0"/>
              <w:rPr>
                <w:sz w:val="18"/>
                <w:szCs w:val="18"/>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3,778</w:t>
            </w:r>
          </w:p>
        </w:tc>
        <w:tc>
          <w:tcPr>
            <w:tcW w:w="14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Property rental income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89"/>
        </w:trPr>
        <w:tc>
          <w:tcPr>
            <w:tcW w:w="1460" w:type="dxa"/>
            <w:vAlign w:val="bottom"/>
            <w:tcBorders>
              <w:bottom w:val="single" w:sz="8" w:color="CCEEFF"/>
            </w:tcBorders>
          </w:tcPr>
          <w:p>
            <w:pPr>
              <w:ind w:left="140"/>
              <w:spacing w:after="0"/>
              <w:rPr>
                <w:sz w:val="20"/>
                <w:szCs w:val="20"/>
                <w:color w:val="auto"/>
              </w:rPr>
            </w:pPr>
            <w:r>
              <w:rPr>
                <w:rFonts w:ascii="Arial" w:cs="Arial" w:eastAsia="Arial" w:hAnsi="Arial"/>
                <w:sz w:val="13"/>
                <w:szCs w:val="13"/>
                <w:b w:val="1"/>
                <w:bCs w:val="1"/>
                <w:color w:val="auto"/>
              </w:rPr>
              <w:t>Total revenue</w:t>
            </w:r>
          </w:p>
        </w:tc>
        <w:tc>
          <w:tcPr>
            <w:tcW w:w="26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6,031</w:t>
            </w: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100 %</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6,438</w:t>
            </w: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i w:val="1"/>
                <w:iCs w:val="1"/>
                <w:color w:val="auto"/>
              </w:rPr>
              <w:t>100 %</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 %</w:t>
            </w: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EXPENSE</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Live theatre cost</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(271)</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(25)%</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(271)</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(18)%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216"/>
        </w:trPr>
        <w:tc>
          <w:tcPr>
            <w:tcW w:w="14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Property cost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(128)</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7 %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(&gt;100) %</w:t>
            </w:r>
          </w:p>
        </w:tc>
      </w:tr>
      <w:tr>
        <w:trPr>
          <w:trHeight w:val="216"/>
        </w:trPr>
        <w:tc>
          <w:tcPr>
            <w:tcW w:w="146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Occupancy expense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i w:val="1"/>
                <w:iCs w:val="1"/>
                <w:color w:val="auto"/>
              </w:rPr>
              <w:t>(16)%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i w:val="1"/>
                <w:iCs w:val="1"/>
                <w:color w:val="auto"/>
              </w:rPr>
              <w:t>(11)%</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2 %</w:t>
            </w:r>
          </w:p>
        </w:tc>
      </w:tr>
      <w:tr>
        <w:trPr>
          <w:trHeight w:val="196"/>
        </w:trPr>
        <w:tc>
          <w:tcPr>
            <w:tcW w:w="14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(569)</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(53)%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(339)</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Property cost</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(838)</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(22)%</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(870)</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(23)%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216"/>
        </w:trPr>
        <w:tc>
          <w:tcPr>
            <w:tcW w:w="14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Occupancy expense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w:t>
            </w:r>
          </w:p>
        </w:tc>
      </w:tr>
      <w:tr>
        <w:trPr>
          <w:trHeight w:val="196"/>
        </w:trPr>
        <w:tc>
          <w:tcPr>
            <w:tcW w:w="1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(1,498)</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(39)%</w:t>
            </w:r>
          </w:p>
        </w:tc>
        <w:tc>
          <w:tcPr>
            <w:tcW w:w="140" w:type="dxa"/>
            <w:vAlign w:val="bottom"/>
          </w:tcPr>
          <w:p>
            <w:pPr>
              <w:spacing w:after="0"/>
              <w:rPr>
                <w:sz w:val="17"/>
                <w:szCs w:val="17"/>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(1,512)</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(40)%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Property cost</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(279)</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(184)</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 %</w:t>
            </w:r>
          </w:p>
        </w:tc>
      </w:tr>
      <w:tr>
        <w:trPr>
          <w:trHeight w:val="216"/>
        </w:trPr>
        <w:tc>
          <w:tcPr>
            <w:tcW w:w="146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(149)</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(143)</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(13)%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196"/>
        </w:trPr>
        <w:tc>
          <w:tcPr>
            <w:tcW w:w="14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(428)</w:t>
            </w: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jc w:val="right"/>
              <w:ind w:right="77"/>
              <w:spacing w:after="0" w:line="141" w:lineRule="exact"/>
              <w:rPr>
                <w:sz w:val="20"/>
                <w:szCs w:val="20"/>
                <w:color w:val="auto"/>
              </w:rPr>
            </w:pPr>
            <w:r>
              <w:rPr>
                <w:rFonts w:ascii="Arial" w:cs="Arial" w:eastAsia="Arial" w:hAnsi="Arial"/>
                <w:sz w:val="13"/>
                <w:szCs w:val="13"/>
                <w:i w:val="1"/>
                <w:iCs w:val="1"/>
                <w:color w:val="auto"/>
              </w:rPr>
              <w:t>(37)%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(327)</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jc w:val="right"/>
              <w:ind w:right="37"/>
              <w:spacing w:after="0" w:line="141" w:lineRule="exact"/>
              <w:rPr>
                <w:sz w:val="20"/>
                <w:szCs w:val="20"/>
                <w:color w:val="auto"/>
              </w:rPr>
            </w:pPr>
            <w:r>
              <w:rPr>
                <w:rFonts w:ascii="Arial" w:cs="Arial" w:eastAsia="Arial" w:hAnsi="Arial"/>
                <w:sz w:val="13"/>
                <w:szCs w:val="13"/>
                <w:i w:val="1"/>
                <w:iCs w:val="1"/>
                <w:color w:val="auto"/>
              </w:rPr>
              <w:t>(29)%</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2"/>
                <w:szCs w:val="12"/>
                <w:color w:val="auto"/>
              </w:rPr>
              <w:t xml:space="preserve">(31) </w:t>
            </w:r>
            <w:r>
              <w:rPr>
                <w:rFonts w:ascii="Arial" w:cs="Arial" w:eastAsia="Arial" w:hAnsi="Arial"/>
                <w:sz w:val="22"/>
                <w:szCs w:val="22"/>
                <w:color w:val="auto"/>
                <w:vertAlign w:val="superscript"/>
              </w:rPr>
              <w:t>%</w:t>
            </w:r>
          </w:p>
        </w:tc>
      </w:tr>
      <w:tr>
        <w:trPr>
          <w:trHeight w:val="216"/>
        </w:trPr>
        <w:tc>
          <w:tcPr>
            <w:tcW w:w="146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r>
      <w:tr>
        <w:trPr>
          <w:trHeight w:val="203"/>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w w:val="86"/>
              </w:rPr>
              <w:t>Total operating expense</w:t>
            </w:r>
          </w:p>
        </w:tc>
        <w:tc>
          <w:tcPr>
            <w:tcW w:w="2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(2,495)</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(41)%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(2,178)</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(34)%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r>
      <w:tr>
        <w:trPr>
          <w:trHeight w:val="90"/>
        </w:trPr>
        <w:tc>
          <w:tcPr>
            <w:tcW w:w="4240" w:type="dxa"/>
            <w:vAlign w:val="bottom"/>
            <w:tcBorders>
              <w:top w:val="single" w:sz="8" w:color="CCEEFF"/>
            </w:tcBorders>
            <w:gridSpan w:val="3"/>
          </w:tcPr>
          <w:p>
            <w:pPr>
              <w:spacing w:after="0" w:line="91" w:lineRule="exact"/>
              <w:rPr>
                <w:sz w:val="20"/>
                <w:szCs w:val="20"/>
                <w:color w:val="auto"/>
              </w:rPr>
            </w:pPr>
            <w:r>
              <w:rPr>
                <w:rFonts w:ascii="Arial" w:cs="Arial" w:eastAsia="Arial" w:hAnsi="Arial"/>
                <w:sz w:val="10"/>
                <w:szCs w:val="10"/>
                <w:b w:val="1"/>
                <w:bCs w:val="1"/>
                <w:color w:val="auto"/>
              </w:rPr>
              <w:t>DEPRECIATION, AMORTIZATION, GENERAL AND</w:t>
            </w:r>
          </w:p>
        </w:tc>
        <w:tc>
          <w:tcPr>
            <w:tcW w:w="2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24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14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20" w:type="dxa"/>
            <w:vAlign w:val="bottom"/>
            <w:tcBorders>
              <w:top w:val="single" w:sz="8" w:color="CCEEFF"/>
            </w:tcBorders>
          </w:tcPr>
          <w:p>
            <w:pPr>
              <w:spacing w:after="0"/>
              <w:rPr>
                <w:sz w:val="7"/>
                <w:szCs w:val="7"/>
                <w:color w:val="auto"/>
              </w:rPr>
            </w:pPr>
          </w:p>
        </w:tc>
      </w:tr>
      <w:tr>
        <w:trPr>
          <w:trHeight w:val="153"/>
        </w:trPr>
        <w:tc>
          <w:tcPr>
            <w:tcW w:w="4240" w:type="dxa"/>
            <w:vAlign w:val="bottom"/>
            <w:gridSpan w:val="3"/>
          </w:tcPr>
          <w:p>
            <w:pPr>
              <w:spacing w:after="0"/>
              <w:rPr>
                <w:sz w:val="20"/>
                <w:szCs w:val="20"/>
                <w:color w:val="auto"/>
              </w:rPr>
            </w:pPr>
            <w:r>
              <w:rPr>
                <w:rFonts w:ascii="Arial" w:cs="Arial" w:eastAsia="Arial" w:hAnsi="Arial"/>
                <w:sz w:val="13"/>
                <w:szCs w:val="13"/>
                <w:b w:val="1"/>
                <w:bCs w:val="1"/>
                <w:color w:val="auto"/>
              </w:rPr>
              <w:t>ADMINISTRATIVE EXPENSE</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United States</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(195)</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(232)</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r>
      <w:tr>
        <w:trPr>
          <w:trHeight w:val="216"/>
        </w:trPr>
        <w:tc>
          <w:tcPr>
            <w:tcW w:w="146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(154)</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(98)</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(57) %</w:t>
            </w:r>
          </w:p>
        </w:tc>
      </w:tr>
      <w:tr>
        <w:trPr>
          <w:trHeight w:val="196"/>
        </w:trPr>
        <w:tc>
          <w:tcPr>
            <w:tcW w:w="14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(349)</w:t>
            </w: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jc w:val="right"/>
              <w:ind w:right="77"/>
              <w:spacing w:after="0" w:line="195" w:lineRule="exact"/>
              <w:rPr>
                <w:sz w:val="20"/>
                <w:szCs w:val="20"/>
                <w:color w:val="auto"/>
              </w:rPr>
            </w:pPr>
            <w:r>
              <w:rPr>
                <w:rFonts w:ascii="Arial" w:cs="Arial" w:eastAsia="Arial" w:hAnsi="Arial"/>
                <w:sz w:val="12"/>
                <w:szCs w:val="12"/>
                <w:i w:val="1"/>
                <w:iCs w:val="1"/>
                <w:color w:val="auto"/>
              </w:rPr>
              <w:t>(33)</w:t>
            </w:r>
            <w:r>
              <w:rPr>
                <w:rFonts w:ascii="Arial" w:cs="Arial" w:eastAsia="Arial" w:hAnsi="Arial"/>
                <w:sz w:val="22"/>
                <w:szCs w:val="22"/>
                <w:i w:val="1"/>
                <w:iCs w:val="1"/>
                <w:color w:val="auto"/>
                <w:vertAlign w:val="superscript"/>
              </w:rPr>
              <w:t>%</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(330)</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jc w:val="right"/>
              <w:ind w:right="37"/>
              <w:spacing w:after="0" w:line="141" w:lineRule="exact"/>
              <w:rPr>
                <w:sz w:val="20"/>
                <w:szCs w:val="20"/>
                <w:color w:val="auto"/>
              </w:rPr>
            </w:pPr>
            <w:r>
              <w:rPr>
                <w:rFonts w:ascii="Arial" w:cs="Arial" w:eastAsia="Arial" w:hAnsi="Arial"/>
                <w:sz w:val="13"/>
                <w:szCs w:val="13"/>
                <w:i w:val="1"/>
                <w:iCs w:val="1"/>
                <w:color w:val="auto"/>
              </w:rPr>
              <w:t>(22)%</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2"/>
                <w:szCs w:val="12"/>
                <w:color w:val="auto"/>
              </w:rPr>
              <w:t xml:space="preserve">(6) </w:t>
            </w:r>
            <w:r>
              <w:rPr>
                <w:rFonts w:ascii="Arial" w:cs="Arial" w:eastAsia="Arial" w:hAnsi="Arial"/>
                <w:sz w:val="22"/>
                <w:szCs w:val="22"/>
                <w:color w:val="auto"/>
                <w:vertAlign w:val="superscript"/>
              </w:rPr>
              <w:t>%</w:t>
            </w: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(922)</w:t>
            </w: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(24)%</w:t>
            </w:r>
          </w:p>
        </w:tc>
        <w:tc>
          <w:tcPr>
            <w:tcW w:w="140" w:type="dxa"/>
            <w:vAlign w:val="bottom"/>
          </w:tcPr>
          <w:p>
            <w:pPr>
              <w:spacing w:after="0"/>
              <w:rPr>
                <w:sz w:val="18"/>
                <w:szCs w:val="18"/>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(757)</w:t>
            </w: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(20)%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 %</w:t>
            </w:r>
          </w:p>
        </w:tc>
      </w:tr>
      <w:tr>
        <w:trPr>
          <w:trHeight w:val="216"/>
        </w:trPr>
        <w:tc>
          <w:tcPr>
            <w:tcW w:w="14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(466)</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(372)</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(10)%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r>
      <w:tr>
        <w:trPr>
          <w:trHeight w:val="196"/>
        </w:trPr>
        <w:tc>
          <w:tcPr>
            <w:tcW w:w="1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(1,388)</w:t>
            </w:r>
          </w:p>
        </w:tc>
        <w:tc>
          <w:tcPr>
            <w:tcW w:w="140" w:type="dxa"/>
            <w:vAlign w:val="bottom"/>
          </w:tcPr>
          <w:p>
            <w:pPr>
              <w:spacing w:after="0"/>
              <w:rPr>
                <w:sz w:val="17"/>
                <w:szCs w:val="17"/>
                <w:color w:val="auto"/>
              </w:rPr>
            </w:pPr>
          </w:p>
        </w:tc>
        <w:tc>
          <w:tcPr>
            <w:tcW w:w="1240" w:type="dxa"/>
            <w:vAlign w:val="bottom"/>
          </w:tcPr>
          <w:p>
            <w:pPr>
              <w:jc w:val="right"/>
              <w:ind w:right="77"/>
              <w:spacing w:after="0" w:line="195" w:lineRule="exact"/>
              <w:rPr>
                <w:sz w:val="20"/>
                <w:szCs w:val="20"/>
                <w:color w:val="auto"/>
              </w:rPr>
            </w:pPr>
            <w:r>
              <w:rPr>
                <w:rFonts w:ascii="Arial" w:cs="Arial" w:eastAsia="Arial" w:hAnsi="Arial"/>
                <w:sz w:val="12"/>
                <w:szCs w:val="12"/>
                <w:i w:val="1"/>
                <w:iCs w:val="1"/>
                <w:color w:val="auto"/>
              </w:rPr>
              <w:t>(36)</w:t>
            </w:r>
            <w:r>
              <w:rPr>
                <w:rFonts w:ascii="Arial" w:cs="Arial" w:eastAsia="Arial" w:hAnsi="Arial"/>
                <w:sz w:val="22"/>
                <w:szCs w:val="22"/>
                <w:i w:val="1"/>
                <w:iCs w:val="1"/>
                <w:color w:val="auto"/>
                <w:vertAlign w:val="superscript"/>
              </w:rPr>
              <w:t>%</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(1,129)</w:t>
            </w:r>
          </w:p>
        </w:tc>
        <w:tc>
          <w:tcPr>
            <w:tcW w:w="140" w:type="dxa"/>
            <w:vAlign w:val="bottom"/>
          </w:tcPr>
          <w:p>
            <w:pPr>
              <w:spacing w:after="0"/>
              <w:rPr>
                <w:sz w:val="17"/>
                <w:szCs w:val="17"/>
                <w:color w:val="auto"/>
              </w:rPr>
            </w:pPr>
          </w:p>
        </w:tc>
        <w:tc>
          <w:tcPr>
            <w:tcW w:w="1140" w:type="dxa"/>
            <w:vAlign w:val="bottom"/>
          </w:tcPr>
          <w:p>
            <w:pPr>
              <w:jc w:val="right"/>
              <w:ind w:right="37"/>
              <w:spacing w:after="0" w:line="141" w:lineRule="exact"/>
              <w:rPr>
                <w:sz w:val="20"/>
                <w:szCs w:val="20"/>
                <w:color w:val="auto"/>
              </w:rPr>
            </w:pPr>
            <w:r>
              <w:rPr>
                <w:rFonts w:ascii="Arial" w:cs="Arial" w:eastAsia="Arial" w:hAnsi="Arial"/>
                <w:sz w:val="13"/>
                <w:szCs w:val="13"/>
                <w:i w:val="1"/>
                <w:iCs w:val="1"/>
                <w:color w:val="auto"/>
              </w:rPr>
              <w:t>(30)%</w:t>
            </w:r>
          </w:p>
        </w:tc>
        <w:tc>
          <w:tcPr>
            <w:tcW w:w="140" w:type="dxa"/>
            <w:vAlign w:val="bottom"/>
          </w:tcPr>
          <w:p>
            <w:pPr>
              <w:spacing w:after="0"/>
              <w:rPr>
                <w:sz w:val="17"/>
                <w:szCs w:val="17"/>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2"/>
                <w:szCs w:val="12"/>
                <w:color w:val="auto"/>
              </w:rPr>
              <w:t xml:space="preserve">(23) </w:t>
            </w:r>
            <w:r>
              <w:rPr>
                <w:rFonts w:ascii="Arial" w:cs="Arial" w:eastAsia="Arial" w:hAnsi="Arial"/>
                <w:sz w:val="22"/>
                <w:szCs w:val="22"/>
                <w:color w:val="auto"/>
                <w:vertAlign w:val="superscript"/>
              </w:rPr>
              <w:t>%</w:t>
            </w: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(257)</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(331)</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w:t>
            </w:r>
          </w:p>
        </w:tc>
      </w:tr>
      <w:tr>
        <w:trPr>
          <w:trHeight w:val="216"/>
        </w:trPr>
        <w:tc>
          <w:tcPr>
            <w:tcW w:w="146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0 %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100 %</w:t>
            </w:r>
          </w:p>
        </w:tc>
      </w:tr>
      <w:tr>
        <w:trPr>
          <w:trHeight w:val="196"/>
        </w:trPr>
        <w:tc>
          <w:tcPr>
            <w:tcW w:w="14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(257)</w:t>
            </w: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jc w:val="right"/>
              <w:ind w:right="77"/>
              <w:spacing w:after="0" w:line="195" w:lineRule="exact"/>
              <w:rPr>
                <w:sz w:val="20"/>
                <w:szCs w:val="20"/>
                <w:color w:val="auto"/>
              </w:rPr>
            </w:pPr>
            <w:r>
              <w:rPr>
                <w:rFonts w:ascii="Arial" w:cs="Arial" w:eastAsia="Arial" w:hAnsi="Arial"/>
                <w:sz w:val="12"/>
                <w:szCs w:val="12"/>
                <w:i w:val="1"/>
                <w:iCs w:val="1"/>
                <w:color w:val="auto"/>
              </w:rPr>
              <w:t>(22)</w:t>
            </w:r>
            <w:r>
              <w:rPr>
                <w:rFonts w:ascii="Arial" w:cs="Arial" w:eastAsia="Arial" w:hAnsi="Arial"/>
                <w:sz w:val="22"/>
                <w:szCs w:val="22"/>
                <w:i w:val="1"/>
                <w:iCs w:val="1"/>
                <w:color w:val="auto"/>
                <w:vertAlign w:val="superscript"/>
              </w:rPr>
              <w:t>%</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(328)</w:t>
            </w: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jc w:val="right"/>
              <w:ind w:right="37"/>
              <w:spacing w:after="0" w:line="141" w:lineRule="exact"/>
              <w:rPr>
                <w:sz w:val="20"/>
                <w:szCs w:val="20"/>
                <w:color w:val="auto"/>
              </w:rPr>
            </w:pPr>
            <w:r>
              <w:rPr>
                <w:rFonts w:ascii="Arial" w:cs="Arial" w:eastAsia="Arial" w:hAnsi="Arial"/>
                <w:sz w:val="13"/>
                <w:szCs w:val="13"/>
                <w:i w:val="1"/>
                <w:iCs w:val="1"/>
                <w:color w:val="auto"/>
              </w:rPr>
              <w:t>(29)%</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2"/>
                <w:szCs w:val="12"/>
                <w:color w:val="auto"/>
              </w:rPr>
              <w:t xml:space="preserve">22 </w:t>
            </w:r>
            <w:r>
              <w:rPr>
                <w:rFonts w:ascii="Arial" w:cs="Arial" w:eastAsia="Arial" w:hAnsi="Arial"/>
                <w:sz w:val="22"/>
                <w:szCs w:val="22"/>
                <w:color w:val="auto"/>
                <w:vertAlign w:val="superscript"/>
              </w:rPr>
              <w:t>%</w:t>
            </w:r>
          </w:p>
        </w:tc>
      </w:tr>
      <w:tr>
        <w:trPr>
          <w:trHeight w:val="223"/>
        </w:trPr>
        <w:tc>
          <w:tcPr>
            <w:tcW w:w="408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196"/>
        </w:trPr>
        <w:tc>
          <w:tcPr>
            <w:tcW w:w="4240" w:type="dxa"/>
            <w:vAlign w:val="bottom"/>
            <w:gridSpan w:val="3"/>
            <w:shd w:val="clear" w:color="auto" w:fill="CCEEFF"/>
          </w:tcPr>
          <w:p>
            <w:pPr>
              <w:ind w:left="140"/>
              <w:spacing w:after="0"/>
              <w:rPr>
                <w:sz w:val="20"/>
                <w:szCs w:val="20"/>
                <w:color w:val="auto"/>
              </w:rPr>
            </w:pPr>
            <w:r>
              <w:rPr>
                <w:rFonts w:ascii="Arial" w:cs="Arial" w:eastAsia="Arial" w:hAnsi="Arial"/>
                <w:sz w:val="13"/>
                <w:szCs w:val="13"/>
                <w:b w:val="1"/>
                <w:bCs w:val="1"/>
                <w:color w:val="auto"/>
                <w:w w:val="90"/>
              </w:rPr>
              <w:t>Total depreciation, amortization, and general and administrative expense</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(1,994)</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(33)%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(1,787)</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(28)%</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223"/>
        </w:trPr>
        <w:tc>
          <w:tcPr>
            <w:tcW w:w="1460" w:type="dxa"/>
            <w:vAlign w:val="bottom"/>
            <w:tcBorders>
              <w:top w:val="single" w:sz="8" w:color="CCEEFF"/>
              <w:bottom w:val="single" w:sz="8" w:color="CCEEFF"/>
            </w:tcBorders>
          </w:tcPr>
          <w:p>
            <w:pPr>
              <w:spacing w:after="0"/>
              <w:rPr>
                <w:sz w:val="19"/>
                <w:szCs w:val="19"/>
                <w:color w:val="auto"/>
              </w:rPr>
            </w:pPr>
          </w:p>
        </w:tc>
        <w:tc>
          <w:tcPr>
            <w:tcW w:w="262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2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1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820" w:type="dxa"/>
            <w:vAlign w:val="bottom"/>
            <w:tcBorders>
              <w:top w:val="single" w:sz="8" w:color="CCEEFF"/>
              <w:bottom w:val="single" w:sz="8" w:color="CCEEFF"/>
            </w:tcBorders>
          </w:tcPr>
          <w:p>
            <w:pPr>
              <w:spacing w:after="0"/>
              <w:rPr>
                <w:sz w:val="19"/>
                <w:szCs w:val="19"/>
                <w:color w:val="auto"/>
              </w:rPr>
            </w:pPr>
          </w:p>
        </w:tc>
      </w:tr>
      <w:tr>
        <w:trPr>
          <w:trHeight w:val="209"/>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expenses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(4,489)</w:t>
            </w: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(3,965)</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(62)%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r>
      <w:tr>
        <w:trPr>
          <w:trHeight w:val="203"/>
        </w:trPr>
        <w:tc>
          <w:tcPr>
            <w:tcW w:w="4240" w:type="dxa"/>
            <w:vAlign w:val="bottom"/>
            <w:tcBorders>
              <w:top w:val="single" w:sz="8" w:color="CCEEFF"/>
            </w:tcBorders>
            <w:gridSpan w:val="3"/>
          </w:tcPr>
          <w:p>
            <w:pPr>
              <w:spacing w:after="0"/>
              <w:rPr>
                <w:sz w:val="20"/>
                <w:szCs w:val="20"/>
                <w:color w:val="auto"/>
              </w:rPr>
            </w:pPr>
            <w:r>
              <w:rPr>
                <w:rFonts w:ascii="Arial" w:cs="Arial" w:eastAsia="Arial" w:hAnsi="Arial"/>
                <w:sz w:val="13"/>
                <w:szCs w:val="13"/>
                <w:b w:val="1"/>
                <w:bCs w:val="1"/>
                <w:color w:val="auto"/>
              </w:rPr>
              <w:t>OPERATING INCOME (LOSS)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r>
      <w:tr>
        <w:trPr>
          <w:trHeight w:val="216"/>
        </w:trPr>
        <w:tc>
          <w:tcPr>
            <w:tcW w:w="1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United States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14 %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56 %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 %</w:t>
            </w:r>
          </w:p>
        </w:tc>
      </w:tr>
      <w:tr>
        <w:trPr>
          <w:trHeight w:val="216"/>
        </w:trPr>
        <w:tc>
          <w:tcPr>
            <w:tcW w:w="1460" w:type="dxa"/>
            <w:vAlign w:val="bottom"/>
          </w:tcPr>
          <w:p>
            <w:pPr>
              <w:ind w:left="140"/>
              <w:spacing w:after="0"/>
              <w:rPr>
                <w:sz w:val="20"/>
                <w:szCs w:val="20"/>
                <w:color w:val="auto"/>
              </w:rPr>
            </w:pPr>
            <w:r>
              <w:rPr>
                <w:rFonts w:ascii="Arial" w:cs="Arial" w:eastAsia="Arial" w:hAnsi="Arial"/>
                <w:sz w:val="13"/>
                <w:szCs w:val="13"/>
                <w:b w:val="1"/>
                <w:bCs w:val="1"/>
                <w:color w:val="auto"/>
              </w:rPr>
              <w:t>Australia</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930</w:t>
            </w:r>
          </w:p>
        </w:tc>
        <w:tc>
          <w:tcPr>
            <w:tcW w:w="140" w:type="dxa"/>
            <w:vAlign w:val="bottom"/>
          </w:tcPr>
          <w:p>
            <w:pPr>
              <w:spacing w:after="0"/>
              <w:rPr>
                <w:sz w:val="18"/>
                <w:szCs w:val="18"/>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24 %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1,137</w:t>
            </w:r>
          </w:p>
        </w:tc>
        <w:tc>
          <w:tcPr>
            <w:tcW w:w="14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30 %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 %</w:t>
            </w:r>
          </w:p>
        </w:tc>
      </w:tr>
      <w:tr>
        <w:trPr>
          <w:trHeight w:val="223"/>
        </w:trPr>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New Zealand</w:t>
            </w:r>
          </w:p>
        </w:tc>
        <w:tc>
          <w:tcPr>
            <w:tcW w:w="2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i w:val="1"/>
                <w:iCs w:val="1"/>
                <w:color w:val="auto"/>
              </w:rPr>
              <w:t>40 %</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i w:val="1"/>
                <w:iCs w:val="1"/>
                <w:color w:val="auto"/>
              </w:rPr>
              <w:t>43 %</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196"/>
        </w:trPr>
        <w:tc>
          <w:tcPr>
            <w:tcW w:w="4240" w:type="dxa"/>
            <w:vAlign w:val="bottom"/>
            <w:gridSpan w:val="3"/>
          </w:tcPr>
          <w:p>
            <w:pPr>
              <w:ind w:left="140"/>
              <w:spacing w:after="0"/>
              <w:rPr>
                <w:sz w:val="20"/>
                <w:szCs w:val="20"/>
                <w:color w:val="auto"/>
              </w:rPr>
            </w:pPr>
            <w:r>
              <w:rPr>
                <w:rFonts w:ascii="Arial" w:cs="Arial" w:eastAsia="Arial" w:hAnsi="Arial"/>
                <w:sz w:val="13"/>
                <w:szCs w:val="13"/>
                <w:b w:val="1"/>
                <w:bCs w:val="1"/>
                <w:color w:val="auto"/>
              </w:rPr>
              <w:t>Total operating income (loss)</w:t>
            </w: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1,541</w:t>
            </w:r>
          </w:p>
        </w:tc>
        <w:tc>
          <w:tcPr>
            <w:tcW w:w="140" w:type="dxa"/>
            <w:vAlign w:val="bottom"/>
          </w:tcPr>
          <w:p>
            <w:pPr>
              <w:spacing w:after="0"/>
              <w:rPr>
                <w:sz w:val="17"/>
                <w:szCs w:val="17"/>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i w:val="1"/>
                <w:iCs w:val="1"/>
                <w:color w:val="auto"/>
              </w:rPr>
              <w:t>26 %</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2,473</w:t>
            </w:r>
          </w:p>
        </w:tc>
        <w:tc>
          <w:tcPr>
            <w:tcW w:w="140" w:type="dxa"/>
            <w:vAlign w:val="bottom"/>
          </w:tcPr>
          <w:p>
            <w:pPr>
              <w:spacing w:after="0"/>
              <w:rPr>
                <w:sz w:val="17"/>
                <w:szCs w:val="17"/>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i w:val="1"/>
                <w:iCs w:val="1"/>
                <w:color w:val="auto"/>
              </w:rPr>
              <w:t>38 %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 Operating Income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Real Estate segment operating income decreased by 21%, or $1.7 million, to $6.4 million for the year ended December 31, 2018 compared to 2017, primarily due to the one-time recognition of payments in fees recovered as part of the STOMP arbitration award settlement recognized in 2017, offset by an increase in revenue in 2018 from our Newmarket and Auburn centers. Please refer below for further explanation.</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Real Estate segment operating income for the quarter ended December 31, 2018 decreased by 38%, or $0.9 primarily related to the STOMP arbitration award settlement payments in fees recovered in our Live Theatre business unit.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is the revenue breakdown by country for each year: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2018 vs. 2017</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 of</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178"/>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2"/>
                <w:szCs w:val="12"/>
                <w:i w:val="1"/>
                <w:iCs w:val="1"/>
                <w:color w:val="auto"/>
              </w:rPr>
              <w:t xml:space="preserve">14 </w:t>
            </w:r>
            <w:r>
              <w:rPr>
                <w:rFonts w:ascii="Arial" w:cs="Arial" w:eastAsia="Arial" w:hAnsi="Arial"/>
                <w:sz w:val="21"/>
                <w:szCs w:val="21"/>
                <w:i w:val="1"/>
                <w:iCs w:val="1"/>
                <w:color w:val="auto"/>
                <w:vertAlign w:val="superscript"/>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2"/>
              <w:spacing w:after="0" w:line="189" w:lineRule="exact"/>
              <w:rPr>
                <w:sz w:val="20"/>
                <w:szCs w:val="20"/>
                <w:color w:val="auto"/>
              </w:rPr>
            </w:pPr>
            <w:r>
              <w:rPr>
                <w:rFonts w:ascii="Arial" w:cs="Arial" w:eastAsia="Arial" w:hAnsi="Arial"/>
                <w:sz w:val="12"/>
                <w:szCs w:val="12"/>
                <w:i w:val="1"/>
                <w:iCs w:val="1"/>
                <w:color w:val="auto"/>
              </w:rPr>
              <w:t xml:space="preserve">20 </w:t>
            </w:r>
            <w:r>
              <w:rPr>
                <w:rFonts w:ascii="Arial" w:cs="Arial" w:eastAsia="Arial" w:hAnsi="Arial"/>
                <w:sz w:val="21"/>
                <w:szCs w:val="21"/>
                <w:i w:val="1"/>
                <w:iCs w:val="1"/>
                <w:color w:val="auto"/>
                <w:vertAlign w:val="superscript"/>
              </w:rPr>
              <w:t>%</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2"/>
                <w:szCs w:val="12"/>
                <w:color w:val="auto"/>
              </w:rPr>
              <w:t>(27)</w:t>
            </w:r>
            <w:r>
              <w:rPr>
                <w:rFonts w:ascii="Arial" w:cs="Arial" w:eastAsia="Arial" w:hAnsi="Arial"/>
                <w:sz w:val="21"/>
                <w:szCs w:val="21"/>
                <w:i w:val="1"/>
                <w:iCs w:val="1"/>
                <w:color w:val="auto"/>
                <w:vertAlign w:val="superscript"/>
              </w:rPr>
              <w:t>%</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4"/>
                <w:szCs w:val="14"/>
                <w:color w:val="auto"/>
              </w:rPr>
              <w:t>Australia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16,122</w:t>
            </w:r>
          </w:p>
        </w:tc>
        <w:tc>
          <w:tcPr>
            <w:tcW w:w="920" w:type="dxa"/>
            <w:vAlign w:val="bottom"/>
            <w:gridSpan w:val="2"/>
          </w:tcPr>
          <w:p>
            <w:pPr>
              <w:jc w:val="right"/>
              <w:ind w:right="52"/>
              <w:spacing w:after="0" w:line="202" w:lineRule="exact"/>
              <w:rPr>
                <w:sz w:val="20"/>
                <w:szCs w:val="20"/>
                <w:color w:val="auto"/>
              </w:rPr>
            </w:pPr>
            <w:r>
              <w:rPr>
                <w:rFonts w:ascii="Arial" w:cs="Arial" w:eastAsia="Arial" w:hAnsi="Arial"/>
                <w:sz w:val="13"/>
                <w:szCs w:val="13"/>
                <w:i w:val="1"/>
                <w:iCs w:val="1"/>
                <w:color w:val="auto"/>
              </w:rPr>
              <w:t xml:space="preserve">67 </w:t>
            </w:r>
            <w:r>
              <w:rPr>
                <w:rFonts w:ascii="Arial" w:cs="Arial" w:eastAsia="Arial" w:hAnsi="Arial"/>
                <w:sz w:val="23"/>
                <w:szCs w:val="23"/>
                <w:i w:val="1"/>
                <w:iCs w:val="1"/>
                <w:color w:val="auto"/>
                <w:vertAlign w:val="superscript"/>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15,089</w:t>
            </w:r>
          </w:p>
        </w:tc>
        <w:tc>
          <w:tcPr>
            <w:tcW w:w="920" w:type="dxa"/>
            <w:vAlign w:val="bottom"/>
            <w:gridSpan w:val="2"/>
          </w:tcPr>
          <w:p>
            <w:pPr>
              <w:jc w:val="right"/>
              <w:ind w:right="32"/>
              <w:spacing w:after="0" w:line="202" w:lineRule="exact"/>
              <w:rPr>
                <w:sz w:val="20"/>
                <w:szCs w:val="20"/>
                <w:color w:val="auto"/>
              </w:rPr>
            </w:pPr>
            <w:r>
              <w:rPr>
                <w:rFonts w:ascii="Arial" w:cs="Arial" w:eastAsia="Arial" w:hAnsi="Arial"/>
                <w:sz w:val="13"/>
                <w:szCs w:val="13"/>
                <w:i w:val="1"/>
                <w:iCs w:val="1"/>
                <w:color w:val="auto"/>
              </w:rPr>
              <w:t xml:space="preserve">63 </w:t>
            </w:r>
            <w:r>
              <w:rPr>
                <w:rFonts w:ascii="Arial" w:cs="Arial" w:eastAsia="Arial" w:hAnsi="Arial"/>
                <w:sz w:val="23"/>
                <w:szCs w:val="23"/>
                <w:i w:val="1"/>
                <w:iCs w:val="1"/>
                <w:color w:val="auto"/>
                <w:vertAlign w:val="superscript"/>
              </w:rPr>
              <w:t>%</w:t>
            </w:r>
          </w:p>
        </w:tc>
        <w:tc>
          <w:tcPr>
            <w:tcW w:w="80" w:type="dxa"/>
            <w:vAlign w:val="bottom"/>
          </w:tcPr>
          <w:p>
            <w:pPr>
              <w:spacing w:after="0"/>
              <w:rPr>
                <w:sz w:val="17"/>
                <w:szCs w:val="17"/>
                <w:color w:val="auto"/>
              </w:rPr>
            </w:pPr>
          </w:p>
        </w:tc>
        <w:tc>
          <w:tcPr>
            <w:tcW w:w="1160" w:type="dxa"/>
            <w:vAlign w:val="bottom"/>
          </w:tcPr>
          <w:p>
            <w:pPr>
              <w:jc w:val="right"/>
              <w:ind w:right="75"/>
              <w:spacing w:after="0" w:line="202" w:lineRule="exact"/>
              <w:rPr>
                <w:sz w:val="20"/>
                <w:szCs w:val="20"/>
                <w:color w:val="auto"/>
              </w:rPr>
            </w:pPr>
            <w:r>
              <w:rPr>
                <w:rFonts w:ascii="Arial" w:cs="Arial" w:eastAsia="Arial" w:hAnsi="Arial"/>
                <w:sz w:val="13"/>
                <w:szCs w:val="13"/>
                <w:color w:val="auto"/>
              </w:rPr>
              <w:t xml:space="preserve">7 </w:t>
            </w:r>
            <w:r>
              <w:rPr>
                <w:rFonts w:ascii="Arial" w:cs="Arial" w:eastAsia="Arial" w:hAnsi="Arial"/>
                <w:sz w:val="23"/>
                <w:szCs w:val="23"/>
                <w:i w:val="1"/>
                <w:iCs w:val="1"/>
                <w:color w:val="auto"/>
                <w:vertAlign w:val="superscript"/>
              </w:rPr>
              <w:t>%</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New Zealand</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9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3"/>
                <w:szCs w:val="13"/>
                <w:i w:val="1"/>
                <w:iCs w:val="1"/>
                <w:color w:val="auto"/>
              </w:rPr>
              <w:t xml:space="preserve">19 </w:t>
            </w:r>
            <w:r>
              <w:rPr>
                <w:rFonts w:ascii="Arial" w:cs="Arial" w:eastAsia="Arial" w:hAnsi="Arial"/>
                <w:sz w:val="23"/>
                <w:szCs w:val="23"/>
                <w:i w:val="1"/>
                <w:iCs w:val="1"/>
                <w:color w:val="auto"/>
                <w:vertAlign w:val="superscript"/>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9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3"/>
                <w:szCs w:val="13"/>
                <w:i w:val="1"/>
                <w:iCs w:val="1"/>
                <w:color w:val="auto"/>
              </w:rPr>
              <w:t xml:space="preserve">17 </w:t>
            </w:r>
            <w:r>
              <w:rPr>
                <w:rFonts w:ascii="Arial" w:cs="Arial" w:eastAsia="Arial" w:hAnsi="Arial"/>
                <w:sz w:val="23"/>
                <w:szCs w:val="23"/>
                <w:i w:val="1"/>
                <w:iCs w:val="1"/>
                <w:color w:val="auto"/>
                <w:vertAlign w:val="superscript"/>
              </w:rPr>
              <w:t>%</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5"/>
              <w:spacing w:after="0" w:line="202" w:lineRule="exact"/>
              <w:rPr>
                <w:sz w:val="20"/>
                <w:szCs w:val="20"/>
                <w:color w:val="auto"/>
              </w:rPr>
            </w:pPr>
            <w:r>
              <w:rPr>
                <w:rFonts w:ascii="Arial" w:cs="Arial" w:eastAsia="Arial" w:hAnsi="Arial"/>
                <w:sz w:val="13"/>
                <w:szCs w:val="13"/>
                <w:color w:val="auto"/>
              </w:rPr>
              <w:t xml:space="preserve">11 </w:t>
            </w:r>
            <w:r>
              <w:rPr>
                <w:rFonts w:ascii="Arial" w:cs="Arial" w:eastAsia="Arial" w:hAnsi="Arial"/>
                <w:sz w:val="23"/>
                <w:szCs w:val="23"/>
                <w:i w:val="1"/>
                <w:iCs w:val="1"/>
                <w:color w:val="auto"/>
                <w:vertAlign w:val="superscript"/>
              </w:rPr>
              <w:t>%</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Segment Revenues</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24,235</w:t>
            </w:r>
          </w:p>
        </w:tc>
        <w:tc>
          <w:tcPr>
            <w:tcW w:w="920" w:type="dxa"/>
            <w:vAlign w:val="bottom"/>
            <w:gridSpan w:val="2"/>
          </w:tcPr>
          <w:p>
            <w:pPr>
              <w:jc w:val="right"/>
              <w:ind w:right="52"/>
              <w:spacing w:after="0" w:line="169" w:lineRule="exact"/>
              <w:rPr>
                <w:sz w:val="20"/>
                <w:szCs w:val="20"/>
                <w:color w:val="auto"/>
              </w:rPr>
            </w:pPr>
            <w:r>
              <w:rPr>
                <w:rFonts w:ascii="Arial" w:cs="Arial" w:eastAsia="Arial" w:hAnsi="Arial"/>
                <w:sz w:val="11"/>
                <w:szCs w:val="11"/>
                <w:b w:val="1"/>
                <w:bCs w:val="1"/>
                <w:i w:val="1"/>
                <w:iCs w:val="1"/>
                <w:color w:val="auto"/>
              </w:rPr>
              <w:t xml:space="preserve">100 </w:t>
            </w:r>
            <w:r>
              <w:rPr>
                <w:rFonts w:ascii="Arial" w:cs="Arial" w:eastAsia="Arial" w:hAnsi="Arial"/>
                <w:sz w:val="19"/>
                <w:szCs w:val="19"/>
                <w:b w:val="1"/>
                <w:bCs w:val="1"/>
                <w:i w:val="1"/>
                <w:iCs w:val="1"/>
                <w:color w:val="auto"/>
                <w:vertAlign w:val="superscript"/>
              </w:rPr>
              <w:t>%</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23,988</w:t>
            </w:r>
          </w:p>
        </w:tc>
        <w:tc>
          <w:tcPr>
            <w:tcW w:w="920" w:type="dxa"/>
            <w:vAlign w:val="bottom"/>
            <w:gridSpan w:val="2"/>
          </w:tcPr>
          <w:p>
            <w:pPr>
              <w:jc w:val="right"/>
              <w:ind w:right="32"/>
              <w:spacing w:after="0" w:line="169" w:lineRule="exact"/>
              <w:rPr>
                <w:sz w:val="20"/>
                <w:szCs w:val="20"/>
                <w:color w:val="auto"/>
              </w:rPr>
            </w:pPr>
            <w:r>
              <w:rPr>
                <w:rFonts w:ascii="Arial" w:cs="Arial" w:eastAsia="Arial" w:hAnsi="Arial"/>
                <w:sz w:val="11"/>
                <w:szCs w:val="11"/>
                <w:b w:val="1"/>
                <w:bCs w:val="1"/>
                <w:i w:val="1"/>
                <w:iCs w:val="1"/>
                <w:color w:val="auto"/>
              </w:rPr>
              <w:t xml:space="preserve">100 </w:t>
            </w:r>
            <w:r>
              <w:rPr>
                <w:rFonts w:ascii="Arial" w:cs="Arial" w:eastAsia="Arial" w:hAnsi="Arial"/>
                <w:sz w:val="19"/>
                <w:szCs w:val="19"/>
                <w:b w:val="1"/>
                <w:bCs w:val="1"/>
                <w:i w:val="1"/>
                <w:iCs w:val="1"/>
                <w:color w:val="auto"/>
                <w:vertAlign w:val="superscript"/>
              </w:rPr>
              <w:t>%</w:t>
            </w:r>
          </w:p>
        </w:tc>
        <w:tc>
          <w:tcPr>
            <w:tcW w:w="80" w:type="dxa"/>
            <w:vAlign w:val="bottom"/>
          </w:tcPr>
          <w:p>
            <w:pPr>
              <w:spacing w:after="0"/>
              <w:rPr>
                <w:sz w:val="14"/>
                <w:szCs w:val="14"/>
                <w:color w:val="auto"/>
              </w:rPr>
            </w:pPr>
          </w:p>
        </w:tc>
        <w:tc>
          <w:tcPr>
            <w:tcW w:w="1160" w:type="dxa"/>
            <w:vAlign w:val="bottom"/>
          </w:tcPr>
          <w:p>
            <w:pPr>
              <w:jc w:val="right"/>
              <w:ind w:right="75"/>
              <w:spacing w:after="0" w:line="169" w:lineRule="exact"/>
              <w:rPr>
                <w:sz w:val="20"/>
                <w:szCs w:val="20"/>
                <w:color w:val="auto"/>
              </w:rPr>
            </w:pPr>
            <w:r>
              <w:rPr>
                <w:rFonts w:ascii="Arial" w:cs="Arial" w:eastAsia="Arial" w:hAnsi="Arial"/>
                <w:sz w:val="11"/>
                <w:szCs w:val="11"/>
                <w:b w:val="1"/>
                <w:bCs w:val="1"/>
                <w:color w:val="auto"/>
              </w:rPr>
              <w:t xml:space="preserve">1 </w:t>
            </w:r>
            <w:r>
              <w:rPr>
                <w:rFonts w:ascii="Arial" w:cs="Arial" w:eastAsia="Arial" w:hAnsi="Arial"/>
                <w:sz w:val="19"/>
                <w:szCs w:val="19"/>
                <w:b w:val="1"/>
                <w:bCs w:val="1"/>
                <w:i w:val="1"/>
                <w:iCs w:val="1"/>
                <w:color w:val="auto"/>
                <w:vertAlign w:val="superscript"/>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Real estate revenue for the year ended December 31, 2018 increased slightly by 1%, or $0.2 million, to $24.2 million, mainly driven by increased rental income as part of the expansion of our Newmarket Village site in Brisbane, Australia.</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quarter ended December 31, 2018, Real Estate revenue decreased by 6%, or $0.4 million, to $6.0 million primarily related to our Live Theatre circuit.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Operating expense for the Real Estate segment for the year ended December 31, 2018 increased by 5%, or $0.5 million, to $9.9 million mainly driven by the full year of operations at our Newmarket ETC and increased operations at our Auburn ETC, which include additional expansion tenancies.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General and Administrative Expense</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Depreciation, amortization, general and administrative expenses for 2018 increased by 23%, or $1.5 million, to $7.9 million, compared to the same period in 2017, primarily driven by capital improvements at our Newmarket ETC and Auburn ETC locations.</w:t>
      </w:r>
    </w:p>
    <w:p>
      <w:pPr>
        <w:spacing w:after="0" w:line="14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quarter ended December 31, 2018, depreciation, amortization, and general and administrative expenses increased by 12%, or $0.2 million, to $2.0 million, primarily related to a full quarter of depreciation expense for Newmarket in 2018 compared to 15 days of depreciation for Newmarket during the same quarter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NON-SEGMENT RESULTS – 2018 vs.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gain on sale of assets for 2018 decreased by $9.4 million, primarily due to the gain on sale realized in 2017 on the settlement of the Burwood land of $9.3 million (AU$12.4 million) not being repeated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Non-segment general and administrative expense for 2018 increased by $1.3 million or 7%, to $21.3 million. This primarily relates to higher payroll and bonus related expenses (attributable to reversal in 2017 for prior year incentive compensation accruals not deemed necessary), offset by a reduction in professional services and legal fees of $209,000.</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For more information about the legal expense, please refer to </w:t>
      </w:r>
      <w:r>
        <w:rPr>
          <w:rFonts w:ascii="Arial" w:cs="Arial" w:eastAsia="Arial" w:hAnsi="Arial"/>
          <w:sz w:val="17"/>
          <w:szCs w:val="17"/>
          <w:i w:val="1"/>
          <w:iCs w:val="1"/>
          <w:color w:val="auto"/>
        </w:rPr>
        <w:t>Note 12 – Commitments and Contingencies</w:t>
      </w:r>
      <w:r>
        <w:rPr>
          <w:rFonts w:ascii="Arial" w:cs="Arial" w:eastAsia="Arial" w:hAnsi="Arial"/>
          <w:sz w:val="17"/>
          <w:szCs w:val="17"/>
          <w:color w:val="auto"/>
        </w:rPr>
        <w:t xml:space="preserve"> to the Consolidated Financial Statements included herein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December 22, 2017, the U.S. Tax Cuts and Jobs Act of 2017 (the “Tax Act”) was signed into law. The Tax Act significantly changed the U.S. corporate income tax law by lowering the statutory corporate tax rate from 35% to 21%, imposed a one-time mandatory repatriation tax on deferred earnings of foreign subsidiaries, and changed how foreign earnings are subject to U.S. tax.</w:t>
      </w:r>
    </w:p>
    <w:p>
      <w:pPr>
        <w:ind w:right="40"/>
        <w:spacing w:after="0" w:line="290" w:lineRule="auto"/>
        <w:rPr>
          <w:sz w:val="20"/>
          <w:szCs w:val="20"/>
          <w:color w:val="auto"/>
        </w:rPr>
      </w:pPr>
      <w:r>
        <w:rPr>
          <w:rFonts w:ascii="Arial" w:cs="Arial" w:eastAsia="Arial" w:hAnsi="Arial"/>
          <w:sz w:val="16"/>
          <w:szCs w:val="16"/>
          <w:color w:val="auto"/>
        </w:rPr>
        <w:t>As the result of the Tax Act and under the guidance of the U.S. Securities and Exchange Commission Staff Accounting Bulletin No. 118, we recorded a provisional tax expense of approximately $13.0 million for the impact of the Tax Act in the fourth quarter of 2017. During the fourth quarter of 2018, upon finalizing the analysis of the impact from the Tax Act, we recorded a tax benefit of $2.3 million as an adjustment to the provisional estimate, for a net tax impact of $10.7 million. The $2.3 million is comprised of an adjustment of $1.2 million to the impact of the one-time mandatory repatriation tax on previously undistributed earnings of our foreign subsidiaries and $1.1 million from the re-measurement of federal net deferred tax liabilities resulting from the reduction in the U.S. statutory corporate tax rate.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60" w:name="page61"/>
    <w:bookmarkEnd w:id="60"/>
    <w:p>
      <w:pPr>
        <w:ind w:right="120"/>
        <w:spacing w:after="0" w:line="311" w:lineRule="auto"/>
        <w:rPr>
          <w:sz w:val="20"/>
          <w:szCs w:val="20"/>
          <w:color w:val="auto"/>
        </w:rPr>
      </w:pPr>
      <w:r>
        <w:rPr>
          <w:rFonts w:ascii="Arial" w:cs="Arial" w:eastAsia="Arial" w:hAnsi="Arial"/>
          <w:sz w:val="16"/>
          <w:szCs w:val="16"/>
          <w:color w:val="auto"/>
        </w:rPr>
        <w:t xml:space="preserve">Income tax expense increased by $5,000, compared to 2017, mainly due to the provisional unfavorable effect of the Tax Act recorded in 2018, offset by the benefits recognized in 2017 as the result of the dissolution of a non-operating overseas subsidiary. Please refer to </w:t>
      </w:r>
      <w:r>
        <w:rPr>
          <w:rFonts w:ascii="Arial" w:cs="Arial" w:eastAsia="Arial" w:hAnsi="Arial"/>
          <w:sz w:val="16"/>
          <w:szCs w:val="16"/>
          <w:i w:val="1"/>
          <w:iCs w:val="1"/>
          <w:color w:val="auto"/>
        </w:rPr>
        <w:t xml:space="preserve">Note 9 – Income Taxes </w:t>
      </w:r>
      <w:r>
        <w:rPr>
          <w:rFonts w:ascii="Arial" w:cs="Arial" w:eastAsia="Arial" w:hAnsi="Arial"/>
          <w:sz w:val="16"/>
          <w:szCs w:val="16"/>
          <w:color w:val="auto"/>
        </w:rPr>
        <w:t>of the Notes to Consolidated Financial Statements in Part II of this Annual Report for further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(net of interest income) increased by $0.6 million, or 10%, mainly due to an increase in the average balance outstanding to fund our capital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cinema exhibition business plan is to enhance our current cinemas where it is financially reasonable to do so; develop our specialty cinemas in select markets; expand our F&amp;B offering, and continue on an opportunistic basis, to identify, develop, and acquire cinema properties that allow us to leverage our cinema expertise over a larger operating base.</w:t>
      </w:r>
    </w:p>
    <w:p>
      <w:pPr>
        <w:spacing w:after="0" w:line="18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real estate business plan is to complete the redevelopment of our 44 Union Square property; to reassess and master-plan the Cinemas 1,2,3 property for redevelopment as a stand-alone 96,000 square foot mixed use property and in the interim to continue to use it as a cinema; to continue the build-out of our Newmarket Village and Auburn ETCs in Australia; to master plan and consider the redevelopment of our Courtenay Central site in New Zealand into an urban entertainment center with a focus on cinema exhibition, food and beverage, and grocery store uses; in Manukau/Wiri, New Zealand, to develop in concert with other major landowners, our plans for the development of the infrastructure needed to support the construction of income-producing improvements; and to continue to be sensitive to opportunities to convert our entertainment assets to higher and better uses, or, where appropriate, to dispose of such</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assets. We will also continue to explore potential synergistic acquisitions that may not readily fall into either our cinema or real estate segments.</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success of our Company is dependent on our ability to execute these business plans effectively through our available resources (both cash and available borrowing facilities) while still timely addressing our liquidity risk. Liquidity risk is the risk relating to our ability to meet our financial obligations when they come due. At the present, our financial obligations arise mainly from capital expenditure needs, working capital requirements, and debt servicing requirements. We manage the liquidity risk by ensuring our ability to generate sufficient cash flows from operating activities and to obtain adequate, reasonable financing or extension of maturity dates under reasonable arrangements, and/or to convert non-performing or non-strategic assets into cash.</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discussed above, the currently developing coronavirus outbreak has reached the United States, Australia, and New Zealand and could cause patrons to avoid our cinemas and, in the United States, our live theatres. Outbreaks of the coronavirus have caused cinemas and other public assembly venues to close in certain parts of the world. As the coronavirus spreads in the United States, Australia and New Zealand, we may elect on a voluntary basis to close some of our cinemas or portions of our cinemas, or governmental officials may order such closures. Certain major studios have announced the delayed release of major motion pictures to later in the year. At a minimum, the delayed releases of major motion pictures will push revenues into later quarters, will potentially reduce our full year revenues, and may accelerate our decisions to consider reduction of operational levels at our cinemas.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outbreaks are at early stages in the United States, Australia, and New Zealand, but we could experience material adverse impacts to our cinema exhibition business and live theatre business for the duration of any such outbreaks. If such adverse impacts occur, it will likely reduce our liquidity. If necessary, our management may postpone or reprioritize capital expenditures based on assessments of conditions and liquidity requirements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color w:val="auto"/>
        </w:rPr>
        <w:t>The table below presents the changes in our total available resources (cash and borrowings), debt-to-equity ratio, working capital, and other relevant information addressing our liquidity for the last five years: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7"/>
                <w:szCs w:val="7"/>
                <w:b w:val="1"/>
                <w:bCs w:val="1"/>
                <w:color w:val="auto"/>
              </w:rPr>
              <w:t>(3)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7"/>
                <w:szCs w:val="7"/>
                <w:b w:val="1"/>
                <w:bCs w:val="1"/>
                <w:color w:val="auto"/>
              </w:rPr>
              <w:t>(2)(3)</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b w:val="1"/>
                <w:bCs w:val="1"/>
                <w:color w:val="auto"/>
              </w:rPr>
              <w:t>(2)</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b w:val="1"/>
                <w:bCs w:val="1"/>
                <w:color w:val="auto"/>
              </w:rPr>
              <w:t>(2)</w:t>
            </w:r>
          </w:p>
        </w:tc>
      </w:tr>
      <w:tr>
        <w:trPr>
          <w:trHeight w:val="203"/>
        </w:trPr>
        <w:tc>
          <w:tcPr>
            <w:tcW w:w="40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Net Cash from Operating Activities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24,607</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32,644</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30,188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28,574</w:t>
            </w:r>
          </w:p>
        </w:tc>
      </w:tr>
      <w:tr>
        <w:trPr>
          <w:trHeight w:val="216"/>
        </w:trPr>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Total Resources (cash and borrowings)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 (unrestricted)</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12,135</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19,702</w:t>
            </w:r>
          </w:p>
        </w:tc>
      </w:tr>
      <w:tr>
        <w:trPr>
          <w:trHeight w:val="216"/>
        </w:trPr>
        <w:tc>
          <w:tcPr>
            <w:tcW w:w="4040" w:type="dxa"/>
            <w:vAlign w:val="bottom"/>
          </w:tcPr>
          <w:p>
            <w:pPr>
              <w:ind w:left="100"/>
              <w:spacing w:after="0"/>
              <w:rPr>
                <w:sz w:val="20"/>
                <w:szCs w:val="20"/>
                <w:color w:val="auto"/>
              </w:rPr>
            </w:pPr>
            <w:r>
              <w:rPr>
                <w:rFonts w:ascii="Arial" w:cs="Arial" w:eastAsia="Arial" w:hAnsi="Arial"/>
                <w:sz w:val="14"/>
                <w:szCs w:val="14"/>
                <w:color w:val="auto"/>
              </w:rPr>
              <w:t>Unused borrowing facility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73,920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85,886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137,231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117,599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70,134</w:t>
            </w:r>
          </w:p>
        </w:tc>
      </w:tr>
      <w:tr>
        <w:trPr>
          <w:trHeight w:val="216"/>
        </w:trPr>
        <w:tc>
          <w:tcPr>
            <w:tcW w:w="4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Restricted for capital projects</w:t>
            </w:r>
            <w:r>
              <w:rPr>
                <w:rFonts w:ascii="Arial" w:cs="Arial" w:eastAsia="Arial" w:hAnsi="Arial"/>
                <w:sz w:val="7"/>
                <w:szCs w:val="7"/>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10,263</w:t>
            </w:r>
          </w:p>
        </w:tc>
      </w:tr>
      <w:tr>
        <w:trPr>
          <w:trHeight w:val="216"/>
        </w:trPr>
        <w:tc>
          <w:tcPr>
            <w:tcW w:w="4040" w:type="dxa"/>
            <w:vAlign w:val="bottom"/>
          </w:tcPr>
          <w:p>
            <w:pPr>
              <w:ind w:left="320"/>
              <w:spacing w:after="0"/>
              <w:rPr>
                <w:sz w:val="20"/>
                <w:szCs w:val="20"/>
                <w:color w:val="auto"/>
              </w:rPr>
            </w:pPr>
            <w:r>
              <w:rPr>
                <w:rFonts w:ascii="Arial" w:cs="Arial" w:eastAsia="Arial" w:hAnsi="Arial"/>
                <w:sz w:val="14"/>
                <w:szCs w:val="14"/>
                <w:color w:val="auto"/>
              </w:rPr>
              <w:t>Unrestricted capacity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59,968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74,951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59,871</w:t>
            </w: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resources at 12/31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89,836</w:t>
            </w:r>
          </w:p>
        </w:tc>
      </w:tr>
      <w:tr>
        <w:trPr>
          <w:trHeight w:val="216"/>
        </w:trPr>
        <w:tc>
          <w:tcPr>
            <w:tcW w:w="4040" w:type="dxa"/>
            <w:vAlign w:val="bottom"/>
          </w:tcPr>
          <w:p>
            <w:pPr>
              <w:ind w:left="100"/>
              <w:spacing w:after="0"/>
              <w:rPr>
                <w:sz w:val="20"/>
                <w:szCs w:val="20"/>
                <w:color w:val="auto"/>
              </w:rPr>
            </w:pPr>
            <w:r>
              <w:rPr>
                <w:rFonts w:ascii="Arial" w:cs="Arial" w:eastAsia="Arial" w:hAnsi="Arial"/>
                <w:sz w:val="14"/>
                <w:szCs w:val="14"/>
                <w:color w:val="auto"/>
              </w:rPr>
              <w:t>Total unrestricted resources at 12/31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68,695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88,619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74,592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79,573</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Debt-to-Equity Ratio</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040" w:type="dxa"/>
            <w:vAlign w:val="bottom"/>
          </w:tcPr>
          <w:p>
            <w:pPr>
              <w:ind w:left="100"/>
              <w:spacing w:after="0"/>
              <w:rPr>
                <w:sz w:val="20"/>
                <w:szCs w:val="20"/>
                <w:color w:val="auto"/>
              </w:rPr>
            </w:pPr>
            <w:r>
              <w:rPr>
                <w:rFonts w:ascii="Arial" w:cs="Arial" w:eastAsia="Arial" w:hAnsi="Arial"/>
                <w:sz w:val="14"/>
                <w:szCs w:val="14"/>
                <w:color w:val="auto"/>
              </w:rPr>
              <w:t>Total contractual facility</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283,138</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252,929</w:t>
            </w: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271,732</w:t>
            </w:r>
          </w:p>
        </w:tc>
        <w:tc>
          <w:tcPr>
            <w:tcW w:w="140" w:type="dxa"/>
            <w:vAlign w:val="bottom"/>
          </w:tcPr>
          <w:p>
            <w:pPr>
              <w:spacing w:after="0"/>
              <w:rPr>
                <w:sz w:val="18"/>
                <w:szCs w:val="18"/>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266,134</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207,075</w:t>
            </w: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debt (gross of deferred financing costs)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130,941</w:t>
            </w:r>
          </w:p>
        </w:tc>
      </w:tr>
      <w:tr>
        <w:trPr>
          <w:trHeight w:val="216"/>
        </w:trPr>
        <w:tc>
          <w:tcPr>
            <w:tcW w:w="4040" w:type="dxa"/>
            <w:vAlign w:val="bottom"/>
          </w:tcPr>
          <w:p>
            <w:pPr>
              <w:ind w:left="320"/>
              <w:spacing w:after="0"/>
              <w:rPr>
                <w:sz w:val="20"/>
                <w:szCs w:val="20"/>
                <w:color w:val="auto"/>
              </w:rPr>
            </w:pPr>
            <w:r>
              <w:rPr>
                <w:rFonts w:ascii="Arial" w:cs="Arial" w:eastAsia="Arial" w:hAnsi="Arial"/>
                <w:sz w:val="14"/>
                <w:szCs w:val="14"/>
                <w:color w:val="auto"/>
              </w:rPr>
              <w:t>Current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37,380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16"/>
        </w:trPr>
        <w:tc>
          <w:tcPr>
            <w:tcW w:w="4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Non-current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115,941</w:t>
            </w:r>
          </w:p>
        </w:tc>
      </w:tr>
      <w:tr>
        <w:trPr>
          <w:trHeight w:val="216"/>
        </w:trPr>
        <w:tc>
          <w:tcPr>
            <w:tcW w:w="4040" w:type="dxa"/>
            <w:vAlign w:val="bottom"/>
          </w:tcPr>
          <w:p>
            <w:pPr>
              <w:ind w:left="100"/>
              <w:spacing w:after="0"/>
              <w:rPr>
                <w:sz w:val="20"/>
                <w:szCs w:val="20"/>
                <w:color w:val="auto"/>
              </w:rPr>
            </w:pPr>
            <w:r>
              <w:rPr>
                <w:rFonts w:ascii="Arial" w:cs="Arial" w:eastAsia="Arial" w:hAnsi="Arial"/>
                <w:sz w:val="14"/>
                <w:szCs w:val="14"/>
                <w:color w:val="auto"/>
              </w:rPr>
              <w:t>Total book equity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139,616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179,979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181,382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146,890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138,951</w:t>
            </w: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Debt-to-equity ratio</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r>
      <w:tr>
        <w:trPr>
          <w:trHeight w:val="216"/>
        </w:trPr>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Changes in Working Capital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Working capital (deficit)</w:t>
            </w:r>
            <w:r>
              <w:rPr>
                <w:rFonts w:ascii="Arial" w:cs="Arial" w:eastAsia="Arial" w:hAnsi="Arial"/>
                <w:sz w:val="7"/>
                <w:szCs w:val="7"/>
                <w:color w:val="auto"/>
              </w:rPr>
              <w:t>(4)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(84,138)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(56,047)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(47,294)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(35,581)</w:t>
            </w:r>
          </w:p>
        </w:tc>
      </w:tr>
      <w:tr>
        <w:trPr>
          <w:trHeight w:val="216"/>
        </w:trPr>
        <w:tc>
          <w:tcPr>
            <w:tcW w:w="4040" w:type="dxa"/>
            <w:vAlign w:val="bottom"/>
          </w:tcPr>
          <w:p>
            <w:pPr>
              <w:ind w:left="100"/>
              <w:spacing w:after="0"/>
              <w:rPr>
                <w:sz w:val="20"/>
                <w:szCs w:val="20"/>
                <w:color w:val="auto"/>
              </w:rPr>
            </w:pPr>
            <w:r>
              <w:rPr>
                <w:rFonts w:ascii="Arial" w:cs="Arial" w:eastAsia="Arial" w:hAnsi="Arial"/>
                <w:sz w:val="14"/>
                <w:szCs w:val="14"/>
                <w:color w:val="auto"/>
              </w:rPr>
              <w:t>Current ratio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Capital Expenditures (including acquisitions)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47,722</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53,119</w:t>
            </w:r>
          </w:p>
        </w:tc>
      </w:tr>
    </w:tbl>
    <w:p>
      <w:pPr>
        <w:spacing w:after="0" w:line="76" w:lineRule="exact"/>
        <w:rPr>
          <w:sz w:val="20"/>
          <w:szCs w:val="20"/>
          <w:color w:val="auto"/>
        </w:rPr>
      </w:pPr>
    </w:p>
    <w:p>
      <w:pPr>
        <w:ind w:left="640" w:right="440" w:hanging="320"/>
        <w:spacing w:after="0" w:line="230" w:lineRule="auto"/>
        <w:tabs>
          <w:tab w:leader="none" w:pos="6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This relates to the construction facilities specifically negotiated for: (i) 44 Union Square redevelopment project, obtained in December 2016, and (ii) New Zealand construction projects, obtained in May 2015. The New Zealand construction loan expired December 31, 2018.</w:t>
      </w:r>
    </w:p>
    <w:p>
      <w:pPr>
        <w:ind w:left="640" w:right="280" w:hanging="320"/>
        <w:spacing w:after="0" w:line="238" w:lineRule="auto"/>
        <w:tabs>
          <w:tab w:leader="none" w:pos="6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 xml:space="preserve">Certain 2017 and 2016 balances included the restatement impact as a result of a prior period financial statement correction of immaterial errors (see </w:t>
      </w:r>
      <w:r>
        <w:rPr>
          <w:rFonts w:ascii="Arial" w:cs="Arial" w:eastAsia="Arial" w:hAnsi="Arial"/>
          <w:sz w:val="13"/>
          <w:szCs w:val="13"/>
          <w:i w:val="1"/>
          <w:iCs w:val="1"/>
          <w:color w:val="auto"/>
        </w:rPr>
        <w:t>Note 2 –</w:t>
      </w:r>
      <w:r>
        <w:rPr>
          <w:rFonts w:ascii="Arial" w:cs="Arial" w:eastAsia="Arial" w:hAnsi="Arial"/>
          <w:sz w:val="13"/>
          <w:szCs w:val="13"/>
          <w:color w:val="auto"/>
        </w:rPr>
        <w:t xml:space="preserve"> </w:t>
      </w:r>
      <w:r>
        <w:rPr>
          <w:rFonts w:ascii="Arial" w:cs="Arial" w:eastAsia="Arial" w:hAnsi="Arial"/>
          <w:sz w:val="13"/>
          <w:szCs w:val="13"/>
          <w:i w:val="1"/>
          <w:iCs w:val="1"/>
          <w:color w:val="auto"/>
        </w:rPr>
        <w:t>Summary of Significant Accounting Policies – Prior Period Financial Statement Correction of Immaterial Errors</w:t>
      </w:r>
      <w:r>
        <w:rPr>
          <w:rFonts w:ascii="Arial" w:cs="Arial" w:eastAsia="Arial" w:hAnsi="Arial"/>
          <w:sz w:val="13"/>
          <w:szCs w:val="13"/>
          <w:color w:val="auto"/>
        </w:rPr>
        <w:t>). Certain 2015 balances included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restatement impact as a result of a change in accounting principle (see </w:t>
      </w:r>
      <w:r>
        <w:rPr>
          <w:rFonts w:ascii="Arial" w:cs="Arial" w:eastAsia="Arial" w:hAnsi="Arial"/>
          <w:sz w:val="13"/>
          <w:szCs w:val="13"/>
          <w:i w:val="1"/>
          <w:iCs w:val="1"/>
          <w:color w:val="auto"/>
        </w:rPr>
        <w:t>Note 2 – Summary of Significant Accounting Policies – Accounting Changes</w:t>
      </w:r>
      <w:r>
        <w:rPr>
          <w:rFonts w:ascii="Arial" w:cs="Arial" w:eastAsia="Arial" w:hAnsi="Arial"/>
          <w:sz w:val="13"/>
          <w:szCs w:val="13"/>
          <w:color w:val="auto"/>
        </w:rPr>
        <w:t>).</w:t>
      </w:r>
    </w:p>
    <w:p>
      <w:pPr>
        <w:ind w:left="640" w:right="200" w:hanging="320"/>
        <w:spacing w:after="0" w:line="221" w:lineRule="auto"/>
        <w:tabs>
          <w:tab w:leader="none" w:pos="6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2 – Summary of Significant Accounting Policies – Prior Period Financial Statements Correction of Immaterial Errors</w:t>
      </w:r>
      <w:r>
        <w:rPr>
          <w:rFonts w:ascii="Arial" w:cs="Arial" w:eastAsia="Arial" w:hAnsi="Arial"/>
          <w:sz w:val="14"/>
          <w:szCs w:val="14"/>
          <w:color w:val="auto"/>
        </w:rPr>
        <w:t xml:space="preserve"> of the 2019 10-K for the prior period adjustments for accounting for accrued sales tax deemed not material.</w:t>
      </w:r>
    </w:p>
    <w:p>
      <w:pPr>
        <w:ind w:left="640" w:right="560" w:hanging="320"/>
        <w:spacing w:after="0" w:line="237" w:lineRule="auto"/>
        <w:tabs>
          <w:tab w:leader="none" w:pos="6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Typically, our working capital (deficit) is negative as we receive revenue from our cinema business ahead of the time that we have to pay our associated liabilities. We use the money we receive to pay down our borrowings in the first instance.</w:t>
      </w:r>
    </w:p>
    <w:p>
      <w:pPr>
        <w:spacing w:after="0" w:line="18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On March 2, 2017, the Board of Directors authorized a stock repurchase program to repurchase up to $25.0 million of Reading’s Class A Stock. The Board on March 14, 2019, extended that program to March 2, 2021. On March 10, 2020, the Board increased the authorized amount by $25.0 million and extended it to March 2, 2022. At the present time, the repurchase program authorization is at $26.0 million.</w:t>
      </w:r>
    </w:p>
    <w:p>
      <w:pPr>
        <w:spacing w:after="0" w:line="1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manage our cash, investments and capital structure so we are able to meet the short-term and long-term obligations of our business, while maintaining financial flexibility and liquidity. We forecast, analyze and monitor our cash flows to enable investment and financing within the overall constraints of our financial strategy. In recent years, our treasury management has been focused on more aggressive cash management using cash balances to reduce debt. In earlier years, we maintained significant cash balances in our bank accounts. We have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10 – Borrowings</w:t>
      </w:r>
      <w:r>
        <w:rPr>
          <w:rFonts w:ascii="Arial" w:cs="Arial" w:eastAsia="Arial" w:hAnsi="Arial"/>
          <w:sz w:val="17"/>
          <w:szCs w:val="17"/>
          <w:color w:val="auto"/>
        </w:rPr>
        <w:t xml:space="preserve"> in the Consolidated Financial Statements for further details on our various borrowing arrangements.</w:t>
      </w:r>
    </w:p>
    <w:p>
      <w:pPr>
        <w:spacing w:after="0" w:line="237"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At December 31, 2019, our consolidated cash and cash equivalents totaled $12.1 million. Of this amount, $7.8 million, $2.3 million and $2.0 million were held by our U.S., Australian and New Zealand operations, respectively. Our intention for cash derived from Australia earnings cumulative through December 31, 2017 is to indefinitely reinvest those offshore. For Australia and New Zealand cash derived from earnings thereafter, we do not intend to indefinitely reinvest offshore. Any cash derived from Australian or New Zealand earnings not indefinitely reinvested may be subject to certain additional state income taxes when earned.</w:t>
      </w:r>
    </w:p>
    <w:p>
      <w:pPr>
        <w:spacing w:after="0" w:line="176"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We have historically funded our working capital requirements, capital expenditures and investments in individual properties primarily from a combination of internally generated cash flows and debt. As noted in the preceding table, we had $60.0 million</w:t>
      </w:r>
    </w:p>
    <w:p>
      <w:pPr>
        <w:ind w:right="540"/>
        <w:spacing w:after="0" w:line="290" w:lineRule="auto"/>
        <w:rPr>
          <w:sz w:val="20"/>
          <w:szCs w:val="20"/>
          <w:color w:val="auto"/>
        </w:rPr>
      </w:pPr>
      <w:r>
        <w:rPr>
          <w:rFonts w:ascii="Arial" w:cs="Arial" w:eastAsia="Arial" w:hAnsi="Arial"/>
          <w:sz w:val="17"/>
          <w:szCs w:val="17"/>
          <w:color w:val="auto"/>
        </w:rPr>
        <w:t>unused, unrestricted capacity of available corporate credit facilities at December 31, 2019. In addition, at December 31, 2019, we had $14.0 million unused, restricted capacity for 44 Union Square development uses and construction funding.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change in cash and cash equivalents for the three years ended December 31, 2019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4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2019 vs. 2018</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2018 vs. 2017</w:t>
            </w:r>
          </w:p>
        </w:tc>
      </w:tr>
      <w:tr>
        <w:trPr>
          <w:trHeight w:val="203"/>
        </w:trPr>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24,607</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37 %</w:t>
            </w:r>
          </w:p>
        </w:tc>
      </w:tr>
      <w:tr>
        <w:trPr>
          <w:trHeight w:val="216"/>
        </w:trPr>
        <w:tc>
          <w:tcPr>
            <w:tcW w:w="45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(51,929)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(64,855)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(6,786)</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20 %</w:t>
            </w:r>
          </w:p>
        </w:tc>
        <w:tc>
          <w:tcPr>
            <w:tcW w:w="8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(&gt;100)%</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26,008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(22,055)</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&gt;100%</w:t>
            </w:r>
          </w:p>
        </w:tc>
      </w:tr>
      <w:tr>
        <w:trPr>
          <w:trHeight w:val="216"/>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Impact of exchange rate on cash</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&gt;100%</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(&gt;100)%</w:t>
            </w:r>
          </w:p>
        </w:tc>
      </w:tr>
      <w:tr>
        <w:trPr>
          <w:trHeight w:val="183"/>
        </w:trPr>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(541)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(5,349)</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90 %</w:t>
            </w:r>
          </w:p>
        </w:tc>
      </w:tr>
      <w:tr>
        <w:trPr>
          <w:trHeight w:val="27"/>
        </w:trPr>
        <w:tc>
          <w:tcPr>
            <w:tcW w:w="4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vs. 2018</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Cash provided by operating activities for 2019 decreased by $8.0 million, or 25%, to $24.6 million, primarily driven by a $14.3 million decrease in cash inflows from operating activities offset by a $6.3 million increase in cash inflows due to a decrease in net operating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2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Cash provided by operating activities for 2018 increased by $8.8 million, or 37%, to $32.6 million, primarily driven by a $6.9 million increase in net operating assets and a $1.9 million increase in cash inflows from operating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u w:val="single" w:color="auto"/>
          <w:color w:val="auto"/>
        </w:rPr>
        <w:t>2019</w:t>
      </w:r>
      <w:r>
        <w:rPr>
          <w:rFonts w:ascii="Arial" w:cs="Arial" w:eastAsia="Arial" w:hAnsi="Arial"/>
          <w:sz w:val="17"/>
          <w:szCs w:val="17"/>
          <w:color w:val="auto"/>
        </w:rPr>
        <w:t>: The $51.9 million of cash used in investing activities was mainly related to $45.7 million spent on capital expenditures,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U.S., with $28.5 million of that comprised mainly of 44 Union Square redevelopment, Mililani refurbishment, and upgrades to U.S. IT, $14.6 million in Australia comprised mainly of the purchase of Devonport and State Cinema, the launch of Burwood, and the refurbishments of Harbour Town, Rhodes, and West Lakes, and $2.5 million in New Zealand comprised mainly of the launch of The Hutt Pop Up, refurbishment of The Palms, and the redevelopment of Courtenay Central.</w:t>
      </w:r>
    </w:p>
    <w:p>
      <w:pPr>
        <w:spacing w:after="0" w:line="1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u w:val="single" w:color="auto"/>
          <w:color w:val="auto"/>
        </w:rPr>
        <w:t>2018</w:t>
      </w:r>
      <w:r>
        <w:rPr>
          <w:rFonts w:ascii="Arial" w:cs="Arial" w:eastAsia="Arial" w:hAnsi="Arial"/>
          <w:sz w:val="18"/>
          <w:szCs w:val="18"/>
          <w:color w:val="auto"/>
        </w:rPr>
        <w:t>: The $64.9 million of cash used in investing activities was mainly related to the $63.5 million spent on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 the U.S., with $45.9 million of that comprised mainly of 44 Union Square redevelopment, Mililani and Manville refurbishments, and the digital projector purchase, and $15.9 million in Australia comprised mainly of Newmarket, Auburn, Elizabeth and Charlestown refurbishments.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i w:val="1"/>
          <w:iCs w:val="1"/>
          <w:u w:val="single" w:color="auto"/>
          <w:color w:val="auto"/>
        </w:rPr>
        <w:t>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cash provided by financing activities of $26.0 million was primarily related to loan proceeds of $38.1 million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of stock of $11.2 million (excluding the $3.5 million promissory note) as part of the 2017 $25.0 million stock repurchase program.</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$33.2 million of cash used in financing activities was primarily due to loan proceeds of $36.5 million; offset by our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 of $2.3 million as part of the 2017 $25.0 million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provides information with respect to the future maturities and scheduled principal repayments of our recorded contractual obligations as of December 31,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Thereafter</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89"/>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w:t>
            </w:r>
            <w:r>
              <w:rPr>
                <w:rFonts w:ascii="Arial" w:cs="Arial" w:eastAsia="Arial" w:hAnsi="Arial"/>
                <w:sz w:val="7"/>
                <w:szCs w:val="7"/>
                <w:color w:val="auto"/>
              </w:rPr>
              <w:t>(1)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114,258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177,941</w:t>
            </w:r>
          </w:p>
        </w:tc>
      </w:tr>
      <w:tr>
        <w:trPr>
          <w:trHeight w:val="203"/>
        </w:trPr>
        <w:tc>
          <w:tcPr>
            <w:tcW w:w="2960" w:type="dxa"/>
            <w:vAlign w:val="bottom"/>
            <w:gridSpan w:val="2"/>
          </w:tcPr>
          <w:p>
            <w:pPr>
              <w:spacing w:after="0"/>
              <w:rPr>
                <w:sz w:val="20"/>
                <w:szCs w:val="20"/>
                <w:color w:val="auto"/>
              </w:rPr>
            </w:pPr>
            <w:r>
              <w:rPr>
                <w:rFonts w:ascii="Arial" w:cs="Arial" w:eastAsia="Arial" w:hAnsi="Arial"/>
                <w:sz w:val="14"/>
                <w:szCs w:val="14"/>
                <w:color w:val="auto"/>
              </w:rPr>
              <w:t>Operating leases, including imputed interest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32,243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32,232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31,481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29,628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162,123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319,484</w:t>
            </w: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 including imputed interest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203"/>
        </w:trPr>
        <w:tc>
          <w:tcPr>
            <w:tcW w:w="2960" w:type="dxa"/>
            <w:vAlign w:val="bottom"/>
            <w:gridSpan w:val="2"/>
          </w:tcPr>
          <w:p>
            <w:pPr>
              <w:spacing w:after="0"/>
              <w:rPr>
                <w:sz w:val="20"/>
                <w:szCs w:val="20"/>
                <w:color w:val="auto"/>
              </w:rPr>
            </w:pPr>
            <w:r>
              <w:rPr>
                <w:rFonts w:ascii="Arial" w:cs="Arial" w:eastAsia="Arial" w:hAnsi="Arial"/>
                <w:sz w:val="14"/>
                <w:szCs w:val="14"/>
                <w:color w:val="auto"/>
              </w:rPr>
              <w:t>Subordinated debt</w:t>
            </w:r>
            <w:r>
              <w:rPr>
                <w:rFonts w:ascii="Arial" w:cs="Arial" w:eastAsia="Arial" w:hAnsi="Arial"/>
                <w:sz w:val="7"/>
                <w:szCs w:val="7"/>
                <w:color w:val="auto"/>
              </w:rPr>
              <w:t>(1)</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31,276</w:t>
            </w: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Pension liability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w:t>
            </w:r>
          </w:p>
        </w:tc>
      </w:tr>
      <w:tr>
        <w:trPr>
          <w:trHeight w:val="202"/>
        </w:trPr>
        <w:tc>
          <w:tcPr>
            <w:tcW w:w="2960" w:type="dxa"/>
            <w:vAlign w:val="bottom"/>
            <w:gridSpan w:val="2"/>
          </w:tcPr>
          <w:p>
            <w:pPr>
              <w:spacing w:after="0"/>
              <w:rPr>
                <w:sz w:val="20"/>
                <w:szCs w:val="20"/>
                <w:color w:val="auto"/>
              </w:rPr>
            </w:pPr>
            <w:r>
              <w:rPr>
                <w:rFonts w:ascii="Arial" w:cs="Arial" w:eastAsia="Arial" w:hAnsi="Arial"/>
                <w:sz w:val="14"/>
                <w:szCs w:val="14"/>
                <w:color w:val="auto"/>
              </w:rPr>
              <w:t>Village East purchase option</w:t>
            </w:r>
            <w:r>
              <w:rPr>
                <w:rFonts w:ascii="Arial" w:cs="Arial" w:eastAsia="Arial" w:hAnsi="Arial"/>
                <w:sz w:val="7"/>
                <w:szCs w:val="7"/>
                <w:color w:val="auto"/>
              </w:rPr>
              <w:t>(2)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5,900</w:t>
            </w: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Estimated interest on debt</w:t>
            </w:r>
            <w:r>
              <w:rPr>
                <w:rFonts w:ascii="Arial" w:cs="Arial" w:eastAsia="Arial" w:hAnsi="Arial"/>
                <w:sz w:val="7"/>
                <w:szCs w:val="7"/>
                <w:color w:val="auto"/>
              </w:rPr>
              <w:t>(3)</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34,713</w:t>
            </w:r>
          </w:p>
        </w:tc>
      </w:tr>
      <w:tr>
        <w:trPr>
          <w:trHeight w:val="169"/>
        </w:trPr>
        <w:tc>
          <w:tcPr>
            <w:tcW w:w="29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85,281</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58,842</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40,515</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152,320</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33,221</w:t>
            </w:r>
          </w:p>
        </w:tc>
        <w:tc>
          <w:tcPr>
            <w:tcW w:w="40" w:type="dxa"/>
            <w:vAlign w:val="bottom"/>
          </w:tcPr>
          <w:p>
            <w:pPr>
              <w:spacing w:after="0"/>
              <w:rPr>
                <w:sz w:val="14"/>
                <w:szCs w:val="1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204,513</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574,691</w:t>
            </w:r>
          </w:p>
        </w:tc>
      </w:tr>
      <w:tr>
        <w:trPr>
          <w:trHeight w:val="27"/>
        </w:trPr>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197" w:lineRule="exact"/>
        <w:rPr>
          <w:sz w:val="20"/>
          <w:szCs w:val="20"/>
          <w:color w:val="auto"/>
        </w:rPr>
      </w:pPr>
    </w:p>
    <w:p>
      <w:pPr>
        <w:ind w:left="640" w:hanging="320"/>
        <w:spacing w:after="0"/>
        <w:tabs>
          <w:tab w:leader="none" w:pos="6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Information is presented gross of deferred financing costs.</w:t>
      </w:r>
    </w:p>
    <w:p>
      <w:pPr>
        <w:ind w:left="640" w:hanging="320"/>
        <w:spacing w:after="0" w:line="221" w:lineRule="auto"/>
        <w:tabs>
          <w:tab w:leader="none" w:pos="6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Represents the lease liability of the new exercised option associated with the ground lease purchase of the Village East Cinema.</w:t>
      </w:r>
    </w:p>
    <w:p>
      <w:pPr>
        <w:ind w:left="640" w:hanging="320"/>
        <w:spacing w:after="0"/>
        <w:tabs>
          <w:tab w:leader="none" w:pos="6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Estimated interest on debt is based on the anticipated loan balances for future periods and current applicable interest rates.</w:t>
      </w:r>
    </w:p>
    <w:p>
      <w:pPr>
        <w:spacing w:after="0" w:line="344" w:lineRule="exact"/>
        <w:rPr>
          <w:rFonts w:ascii="Arial" w:cs="Arial" w:eastAsia="Arial" w:hAnsi="Arial"/>
          <w:sz w:val="14"/>
          <w:szCs w:val="14"/>
          <w:color w:val="auto"/>
        </w:rPr>
      </w:pPr>
    </w:p>
    <w:p>
      <w:pPr>
        <w:ind w:left="4880" w:hanging="156"/>
        <w:spacing w:after="0"/>
        <w:tabs>
          <w:tab w:leader="none" w:pos="48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currently involved in certain legal proceedings and, as required, have accrued estimates of probable and estimable losses for the resolution of these claims.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Where we are the plaintiffs, we expense all legal fees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8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w:t>
      </w:r>
    </w:p>
    <w:p>
      <w:pPr>
        <w:spacing w:after="0" w:line="3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i w:val="1"/>
          <w:iCs w:val="1"/>
          <w:color w:val="auto"/>
        </w:rPr>
        <w:t>Note 12 – Commitments and Contingencies</w:t>
      </w:r>
      <w:r>
        <w:rPr>
          <w:rFonts w:ascii="Arial" w:cs="Arial" w:eastAsia="Arial" w:hAnsi="Arial"/>
          <w:sz w:val="18"/>
          <w:szCs w:val="18"/>
          <w:color w:val="auto"/>
        </w:rPr>
        <w:t xml:space="preserve"> to the Consolidated Financial Statements included herein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on this report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Other than the operating lease arrangements detailed in </w:t>
      </w:r>
      <w:r>
        <w:rPr>
          <w:rFonts w:ascii="Arial" w:cs="Arial" w:eastAsia="Arial" w:hAnsi="Arial"/>
          <w:sz w:val="18"/>
          <w:szCs w:val="18"/>
          <w:i w:val="1"/>
          <w:iCs w:val="1"/>
          <w:color w:val="auto"/>
        </w:rPr>
        <w:t>Note 12 – Commitments and Contingencies</w:t>
      </w:r>
      <w:r>
        <w:rPr>
          <w:rFonts w:ascii="Arial" w:cs="Arial" w:eastAsia="Arial" w:hAnsi="Arial"/>
          <w:sz w:val="18"/>
          <w:szCs w:val="18"/>
          <w:color w:val="auto"/>
        </w:rPr>
        <w:t xml:space="preserve"> to the Consolidated Financial Statements included herein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on this report, 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and Interest Rate Risk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Company’s objective in managing exposure to foreign currency and interest rate fluctuations is to reduce volatility of earnings and cash flows in order to allow management to focus on core business issues and challenges.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manage our currency exposure by creating, whenever possible, natural hedges in Australia and New Zealand. This involves local country sourcing of goods and services, as well as borrowing in local currencies to match revenues and expenses. Since we intend to conduct business on a self-funding basis (except for funds used to pay an appropriate share of our U.S. corporate overhead), we do not believe the currency fluctuations present a material risk to the Company. As such, we do not use derivative financial instruments to hedge against the risk of foreign currency exposure.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The effects of inflation have not had a material impact on our operations and the resulting financial position or liquidity.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application of the following accounting policies requires significant judgments and estimates in the preparation of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and hence, are critical to our business operations and the understanding of our financial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Including Goodwill and Intangible Assets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84" w:lineRule="exact"/>
        <w:rPr>
          <w:sz w:val="20"/>
          <w:szCs w:val="20"/>
          <w:color w:val="auto"/>
        </w:rPr>
      </w:pPr>
    </w:p>
    <w:p>
      <w:pPr>
        <w:ind w:left="640" w:right="20" w:hanging="320"/>
        <w:spacing w:after="0" w:line="291" w:lineRule="auto"/>
        <w:tabs>
          <w:tab w:leader="none" w:pos="64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Impairment of Long-lived Assets (other than Goodwill and Intangible Assets with indefinite lives) – </w:t>
      </w:r>
      <w:r>
        <w:rPr>
          <w:rFonts w:ascii="Arial" w:cs="Arial" w:eastAsia="Arial" w:hAnsi="Arial"/>
          <w:sz w:val="16"/>
          <w:szCs w:val="16"/>
          <w:color w:val="auto"/>
        </w:rPr>
        <w:t>we evaluate our long-lived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66" w:lineRule="exact"/>
        <w:rPr>
          <w:rFonts w:ascii="Arial" w:cs="Arial" w:eastAsia="Arial" w:hAnsi="Arial"/>
          <w:sz w:val="16"/>
          <w:szCs w:val="16"/>
          <w:i w:val="1"/>
          <w:iCs w:val="1"/>
          <w:color w:val="auto"/>
        </w:rPr>
      </w:pPr>
    </w:p>
    <w:p>
      <w:pPr>
        <w:ind w:left="640" w:right="28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No impairment losses were recorded for long-lived and finite-lived intangible assets for the years ended December 31, 2019, 2018, or 2017.</w:t>
      </w:r>
    </w:p>
    <w:p>
      <w:pPr>
        <w:spacing w:after="0" w:line="170" w:lineRule="exact"/>
        <w:rPr>
          <w:rFonts w:ascii="Arial" w:cs="Arial" w:eastAsia="Arial" w:hAnsi="Arial"/>
          <w:sz w:val="16"/>
          <w:szCs w:val="16"/>
          <w:i w:val="1"/>
          <w:iCs w:val="1"/>
          <w:color w:val="auto"/>
        </w:rPr>
      </w:pPr>
    </w:p>
    <w:p>
      <w:pPr>
        <w:ind w:left="640" w:right="80" w:hanging="320"/>
        <w:spacing w:after="0" w:line="273" w:lineRule="auto"/>
        <w:tabs>
          <w:tab w:leader="none" w:pos="640" w:val="left"/>
        </w:tabs>
        <w:numPr>
          <w:ilvl w:val="0"/>
          <w:numId w:val="14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Impairment of Goodwill and Intangible Assets with indefinite lives – </w:t>
      </w:r>
      <w:r>
        <w:rPr>
          <w:rFonts w:ascii="Arial" w:cs="Arial" w:eastAsia="Arial" w:hAnsi="Arial"/>
          <w:sz w:val="17"/>
          <w:szCs w:val="17"/>
          <w:color w:val="auto"/>
        </w:rPr>
        <w:t>goodwill and intangible assets with indefinite useful lives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78"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No impairment losses were recorded for goodwill and indefinite-lived intangible assets for the years ended December 31, 2019, 2018, or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recent years, our business acquisition efforts have been focused on our real estate segment, however in 2019 we acquired two cinema businesses in Tasmania, Australia. For acquisitions meeting the definition of a “business” in accordance with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assets acquired, and the liabilities assumed are recorded at their fair values as of the acquisition date. To accomplish</w:t>
      </w:r>
      <w:r>
        <w:rPr>
          <w:rFonts w:ascii="Arial" w:cs="Arial" w:eastAsia="Arial" w:hAnsi="Arial"/>
          <w:sz w:val="17"/>
          <w:szCs w:val="17"/>
          <w:i w:val="1"/>
          <w:iCs w:val="1"/>
          <w:color w:val="auto"/>
        </w:rPr>
        <w:t xml:space="preserve"> </w:t>
      </w:r>
      <w:r>
        <w:rPr>
          <w:rFonts w:ascii="Arial" w:cs="Arial" w:eastAsia="Arial" w:hAnsi="Arial"/>
          <w:sz w:val="17"/>
          <w:szCs w:val="17"/>
          <w:color w:val="auto"/>
        </w:rPr>
        <w:t>this, we typically obtain third 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as described in more detail in the section “</w:t>
      </w:r>
      <w:r>
        <w:rPr>
          <w:rFonts w:ascii="Arial" w:cs="Arial" w:eastAsia="Arial" w:hAnsi="Arial"/>
          <w:sz w:val="17"/>
          <w:szCs w:val="17"/>
          <w:i w:val="1"/>
          <w:iCs w:val="1"/>
          <w:color w:val="auto"/>
        </w:rPr>
        <w:t>Business Acquisition Valuation and Purchase Price Allocation</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2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Summary of Significant Accounting Policies </w:t>
      </w:r>
      <w:r>
        <w:rPr>
          <w:rFonts w:ascii="Arial" w:cs="Arial" w:eastAsia="Arial" w:hAnsi="Arial"/>
          <w:sz w:val="17"/>
          <w:szCs w:val="17"/>
          <w:color w:val="auto"/>
        </w:rPr>
        <w:t>to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Gift Card Breakage Income</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Generally, our revenue recognition is not assessed as an area requiring significant judgment or estimation. Revenues from ticket and food and beverage sales are recognized when the service is provided – that is when the show has commenced, or the food has been provided. Transaction fees from online sales are recorded at the time of the online transaction. In regard to our real estate business, we execute lease contracts for existing tenancies, but revenue is recognized on a straight-line basis over the lease term.</w:t>
      </w:r>
    </w:p>
    <w:p>
      <w:pPr>
        <w:spacing w:after="0" w:line="15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On January 1, 2018,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method. This adoption is described in detail in the section </w:t>
      </w:r>
      <w:r>
        <w:rPr>
          <w:rFonts w:ascii="Arial" w:cs="Arial" w:eastAsia="Arial" w:hAnsi="Arial"/>
          <w:sz w:val="18"/>
          <w:szCs w:val="18"/>
          <w:i w:val="1"/>
          <w:iCs w:val="1"/>
          <w:color w:val="auto"/>
        </w:rPr>
        <w:t>Note 2 – Summary of Significant Accounting Policies –</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Changes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Valuation Allowance and Deferred Taxes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record our estimated future tax benefits and liabilities arising from the temporary differences between the tax basis of assets and liabilities and amounts reported in the accompanying consolidated balance sheets, as well as operating loss carry-forwards.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about the amount of future federal, state, and foreign pretax operating income adjusted for items that do not have tax consequences.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5" w:name="page66"/>
    <w:bookmarkEnd w:id="65"/>
    <w:p>
      <w:pPr>
        <w:ind w:right="60"/>
        <w:spacing w:after="0" w:line="291" w:lineRule="auto"/>
        <w:rPr>
          <w:sz w:val="20"/>
          <w:szCs w:val="20"/>
          <w:color w:val="auto"/>
        </w:rPr>
      </w:pPr>
      <w:r>
        <w:rPr>
          <w:rFonts w:ascii="Arial" w:cs="Arial" w:eastAsia="Arial" w:hAnsi="Arial"/>
          <w:sz w:val="16"/>
          <w:szCs w:val="16"/>
          <w:color w:val="auto"/>
        </w:rPr>
        <w:t>The assumptions about future taxable income require the use of significant judgment and are consistent with the plans and estimates we are using to manage the underlying businesses. In evaluating the objective evidence that historical results provide, we consider three years of cumulative operating income (loss). As of December 31, 2019, we had recorded approximately $37.4 million of deferred tax assets (net of $65.2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$33.9 million resulting in a net deferred tax asset of $3.4 million. The recoverability of deferred tax assets is dependent upon our ability to generate future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u w:val="single" w:color="auto"/>
          <w:color w:val="auto"/>
        </w:rPr>
        <w:t>loss contingencies</w:t>
      </w:r>
      <w:r>
        <w:rPr>
          <w:rFonts w:ascii="Arial" w:cs="Arial" w:eastAsia="Arial" w:hAnsi="Arial"/>
          <w:sz w:val="18"/>
          <w:szCs w:val="18"/>
          <w:color w:val="auto"/>
        </w:rPr>
        <w:t>, we record any loss contingencies when there is a probable likelihood that the liability has been incurred and the amount of the loss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u w:val="single" w:color="auto"/>
          <w:color w:val="auto"/>
        </w:rPr>
        <w:t>other contingencies</w:t>
      </w:r>
      <w:r>
        <w:rPr>
          <w:rFonts w:ascii="Arial" w:cs="Arial" w:eastAsia="Arial" w:hAnsi="Arial"/>
          <w:sz w:val="18"/>
          <w:szCs w:val="18"/>
          <w:i w:val="1"/>
          <w:iCs w:val="1"/>
          <w:u w:val="single" w:color="auto"/>
          <w:color w:val="auto"/>
        </w:rPr>
        <w:t>,</w:t>
      </w:r>
    </w:p>
    <w:p>
      <w:pPr>
        <w:spacing w:after="0" w:line="225" w:lineRule="exact"/>
        <w:rPr>
          <w:sz w:val="20"/>
          <w:szCs w:val="20"/>
          <w:color w:val="auto"/>
        </w:rPr>
      </w:pPr>
    </w:p>
    <w:p>
      <w:pPr>
        <w:ind w:left="640" w:right="60" w:hanging="320"/>
        <w:spacing w:after="0" w:line="263" w:lineRule="auto"/>
        <w:tabs>
          <w:tab w:leader="none" w:pos="640" w:val="left"/>
        </w:tabs>
        <w:numPr>
          <w:ilvl w:val="0"/>
          <w:numId w:val="142"/>
        </w:numPr>
        <w:rPr>
          <w:rFonts w:ascii="Arial" w:cs="Arial" w:eastAsia="Arial" w:hAnsi="Arial"/>
          <w:sz w:val="18"/>
          <w:szCs w:val="18"/>
          <w:i w:val="1"/>
          <w:iCs w:val="1"/>
          <w:color w:val="auto"/>
        </w:rPr>
      </w:pPr>
      <w:r>
        <w:rPr>
          <w:rFonts w:ascii="Arial" w:cs="Arial" w:eastAsia="Arial" w:hAnsi="Arial"/>
          <w:sz w:val="18"/>
          <w:szCs w:val="18"/>
          <w:color w:val="auto"/>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spacing w:after="0" w:line="183" w:lineRule="exact"/>
        <w:rPr>
          <w:rFonts w:ascii="Arial" w:cs="Arial" w:eastAsia="Arial" w:hAnsi="Arial"/>
          <w:sz w:val="18"/>
          <w:szCs w:val="18"/>
          <w:i w:val="1"/>
          <w:iCs w:val="1"/>
          <w:color w:val="auto"/>
        </w:rPr>
      </w:pPr>
    </w:p>
    <w:p>
      <w:pPr>
        <w:ind w:left="640" w:right="40" w:hanging="320"/>
        <w:spacing w:after="0" w:line="277" w:lineRule="auto"/>
        <w:tabs>
          <w:tab w:leader="none" w:pos="640" w:val="left"/>
        </w:tabs>
        <w:numPr>
          <w:ilvl w:val="0"/>
          <w:numId w:val="142"/>
        </w:numPr>
        <w:rPr>
          <w:rFonts w:ascii="Arial" w:cs="Arial" w:eastAsia="Arial" w:hAnsi="Arial"/>
          <w:sz w:val="18"/>
          <w:szCs w:val="18"/>
          <w:i w:val="1"/>
          <w:iCs w:val="1"/>
          <w:color w:val="auto"/>
        </w:rPr>
      </w:pPr>
      <w:r>
        <w:rPr>
          <w:rFonts w:ascii="Arial" w:cs="Arial" w:eastAsia="Arial" w:hAnsi="Arial"/>
          <w:sz w:val="18"/>
          <w:szCs w:val="18"/>
          <w:color w:val="auto"/>
        </w:rPr>
        <w:t>for gain contingencies resulting from legal settlements, we record those settlements in our consolidated statements of operations when cash or other forms of payments are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From time to 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 We do not record expected gains until the proceeds (either in cash or other forms of payments) are received by us. Please refer to </w:t>
      </w:r>
      <w:r>
        <w:rPr>
          <w:rFonts w:ascii="Arial" w:cs="Arial" w:eastAsia="Arial" w:hAnsi="Arial"/>
          <w:sz w:val="17"/>
          <w:szCs w:val="17"/>
          <w:i w:val="1"/>
          <w:iCs w:val="1"/>
          <w:color w:val="auto"/>
        </w:rPr>
        <w:t>Note 12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to the Consolidated Financial Statements included herein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on this report for more information on legal matters.</w:t>
      </w:r>
    </w:p>
    <w:p>
      <w:pPr>
        <w:spacing w:after="0" w:line="178"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 xml:space="preserve">For a summary of our significant accounting policies, including the critical accounting estimates discussed above, see </w:t>
      </w:r>
      <w:r>
        <w:rPr>
          <w:rFonts w:ascii="Arial" w:cs="Arial" w:eastAsia="Arial" w:hAnsi="Arial"/>
          <w:sz w:val="16"/>
          <w:szCs w:val="16"/>
          <w:i w:val="1"/>
          <w:iCs w:val="1"/>
          <w:color w:val="auto"/>
        </w:rPr>
        <w:t>Note 2</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7A – Quantitative and Qualitative Disclosure about Market Risk</w:t>
      </w:r>
    </w:p>
    <w:p>
      <w:pPr>
        <w:spacing w:after="0" w:line="2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ind w:left="640" w:hanging="320"/>
        <w:spacing w:after="0" w:line="212" w:lineRule="auto"/>
        <w:tabs>
          <w:tab w:leader="none" w:pos="640" w:val="left"/>
        </w:tabs>
        <w:numPr>
          <w:ilvl w:val="0"/>
          <w:numId w:val="143"/>
        </w:numPr>
        <w:rPr>
          <w:rFonts w:ascii="Arial" w:cs="Arial" w:eastAsia="Arial" w:hAnsi="Arial"/>
          <w:sz w:val="29"/>
          <w:szCs w:val="29"/>
          <w:color w:val="auto"/>
          <w:vertAlign w:val="superscript"/>
        </w:rPr>
      </w:pPr>
      <w:r>
        <w:rPr>
          <w:rFonts w:ascii="Arial" w:cs="Arial" w:eastAsia="Arial" w:hAnsi="Arial"/>
          <w:sz w:val="18"/>
          <w:szCs w:val="18"/>
          <w:color w:val="auto"/>
        </w:rPr>
        <w:t>it is based on a single point in time.</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43"/>
        </w:numPr>
        <w:rPr>
          <w:rFonts w:ascii="Arial" w:cs="Arial" w:eastAsia="Arial" w:hAnsi="Arial"/>
          <w:sz w:val="24"/>
          <w:szCs w:val="24"/>
          <w:color w:val="auto"/>
          <w:vertAlign w:val="superscript"/>
        </w:rPr>
      </w:pPr>
      <w:r>
        <w:rPr>
          <w:rFonts w:ascii="Arial" w:cs="Arial" w:eastAsia="Arial" w:hAnsi="Arial"/>
          <w:sz w:val="15"/>
          <w:szCs w:val="15"/>
          <w:color w:val="auto"/>
        </w:rPr>
        <w:t>it does not include the effects of other complex market reactions that would arise from the changes modeled.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Although the results of such an analysis may be useful as a benchmark, they should not be viewed as forecasts.</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At December 31, 2019, approximately 37% and 10% of our assets were invested in assets denominated in Australian dollars (Reading Australia) and New Zealand dollars (Reading New Zealand), respectively, including approximately $4.3 million in cash and cash equivalents. At December 31, 2018, approximately 36% and 14% of our assets were invested in assets denominated in Australian and New Zealand dollars, respectively, including approximately $5.5 million in cash and cash equivalents.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Although foreign currency has had an effect on our current earnings, the effect of the translation adjustment on our assets and liabilities noted in our other comprehensive income was a decrease of $0.6 million for the year ended December 31, 2019. As we continue to progress our acquisition and development activities in Australia and New Zealand, that the foreign currency effect on our earnings may be significant in the future.</w:t>
      </w:r>
    </w:p>
    <w:p>
      <w:pPr>
        <w:spacing w:after="0" w:line="17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Historically, our policy has been to borrow in local currencies to finance the development and construction of our long-term assets in the U.S., Australia, and New Zealand whenever possible.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31% and 71% of our Australian and New Zealand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6" w:name="page67"/>
    <w:bookmarkEnd w:id="66"/>
    <w:p>
      <w:pPr>
        <w:spacing w:after="0" w:line="279" w:lineRule="auto"/>
        <w:rPr>
          <w:sz w:val="20"/>
          <w:szCs w:val="20"/>
          <w:color w:val="auto"/>
        </w:rPr>
      </w:pPr>
      <w:r>
        <w:rPr>
          <w:rFonts w:ascii="Arial" w:cs="Arial" w:eastAsia="Arial" w:hAnsi="Arial"/>
          <w:sz w:val="17"/>
          <w:szCs w:val="17"/>
          <w:color w:val="auto"/>
        </w:rPr>
        <w:t>assets, respectively, remain subject to such exposure, unless we elect to hedge our foreign currency exchange between the U.S. and Australian and New Zealand dollars. If the foreign currency rates were to fluctuate by 10%, the resulting change in Australian and New Zealand assets would result in an increase or decrease of $7.7 million and $5.1 million, respectively, and the change in our net income for the year would be $1.1 million and $157,000, respectively. Presently, we have no plan to hedge such exposure.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changes in the tax landscape caused by the Tax Cuts and Jobs Act of 2017, we may reconsider our strategy for financing operations and redevelopment projects in the three countries we are invested in, which may include increased borrowings from banks in higher-tax countries, and dividends to the U.S. from foreign subsidiaries, being mindful of withholding taxes on interest, and thin capitalization limitations on interest deduction in Australia and New Zealand.</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record unrealized foreign currency translation gains or losses that could materially affect our financial position. We have accumulated unrealized foreign currency translation gains of approximately $8.1 million and $8.7 million as of December 31, 2019 and 2018, respectively.</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a combination of fixed and variable interest rate loans. In connection with our variable interest rate loans, a change of approximately 1% in short-term interest rates would have resulted in approximately $1.8 million increase or decrease in our 2019 interest expense.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u w:val="single" w:color="auto"/>
          <w:color w:val="auto"/>
        </w:rPr>
        <w:t>Item 8 – Financial Statements and Supplementary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60" w:type="dxa"/>
            <w:vAlign w:val="bottom"/>
            <w:gridSpan w:val="19"/>
          </w:tcPr>
          <w:p>
            <w:pPr>
              <w:jc w:val="center"/>
              <w:ind w:right="2380"/>
              <w:spacing w:after="0"/>
              <w:rPr>
                <w:sz w:val="20"/>
                <w:szCs w:val="20"/>
                <w:color w:val="auto"/>
              </w:rPr>
            </w:pPr>
            <w:r>
              <w:rPr>
                <w:rFonts w:ascii="Arial" w:cs="Arial" w:eastAsia="Arial" w:hAnsi="Arial"/>
                <w:sz w:val="18"/>
                <w:szCs w:val="18"/>
                <w:b w:val="1"/>
                <w:bCs w:val="1"/>
                <w:color w:val="auto"/>
              </w:rPr>
              <w:t>READING INTERNATIONAL, INC.</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gridSpan w:val="10"/>
          </w:tcPr>
          <w:p>
            <w:pPr>
              <w:jc w:val="center"/>
              <w:ind w:right="420"/>
              <w:spacing w:after="0"/>
              <w:rPr>
                <w:sz w:val="20"/>
                <w:szCs w:val="20"/>
                <w:color w:val="auto"/>
              </w:rPr>
            </w:pPr>
            <w:r>
              <w:rPr>
                <w:rFonts w:ascii="Arial" w:cs="Arial" w:eastAsia="Arial" w:hAnsi="Arial"/>
                <w:sz w:val="18"/>
                <w:szCs w:val="18"/>
                <w:b w:val="1"/>
                <w:bCs w:val="1"/>
                <w:color w:val="auto"/>
                <w:w w:val="99"/>
              </w:rPr>
              <w:t>TABLE OF CONTENTS</w:t>
            </w:r>
          </w:p>
        </w:tc>
        <w:tc>
          <w:tcPr>
            <w:tcW w:w="2380" w:type="dxa"/>
            <w:vAlign w:val="bottom"/>
            <w:gridSpan w:val="7"/>
          </w:tcPr>
          <w:p>
            <w:pPr>
              <w:spacing w:after="0"/>
              <w:rPr>
                <w:sz w:val="20"/>
                <w:szCs w:val="20"/>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Management’s Report on Internal Control over Financial Reporting</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 (Consolidated Financial Statements)</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Report of Independent Registered Public Accounting Firm (Internal Control over Financial Reporting)</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tcPr>
          <w:p>
            <w:pPr>
              <w:ind w:left="1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Balance Sheets as of December 31, 2019 and 2018</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Income for the Three Years Ended December 31, 2019</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tcPr>
          <w:p>
            <w:pPr>
              <w:ind w:left="1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Comprehensive Income for the Three Years Ended December 31, 2019</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Stockholders’ Equity for the Three Years Ended December 31, 2019</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 for the Three Years Ended December 31, 2019</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tcPr>
          <w:p>
            <w:pPr>
              <w:ind w:left="12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Note 1 – Description of Business and Segment Reporting</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Note 2 – Summary of Significant Accounting Policies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Note 3 – Earnings (Loss) Per Share</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Note 4 – Real Estate Transactions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Note 5 – Properties and Equipment</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Note 6 – Investments in Unconsolidated Joint Ventures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tcPr>
          <w:p>
            <w:pPr>
              <w:ind w:left="120"/>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Note 7 – Goodwill and Intangible Assets</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 8 – Prepaid and Other Assets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 9 – Income Taxes</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Note 10 – Borrowings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tcPr>
          <w:p>
            <w:pPr>
              <w:ind w:left="12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Note 11 – Pension and Other Liabilities</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Note 12 – Commitments and Contingencies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tcPr>
          <w:p>
            <w:pPr>
              <w:ind w:left="12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Note 13 – Noncontrolling Interests</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Note 14 – Share-based Compensation and Repurchase Plans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Note 15 – Accumulated Other Comprehensive Income</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Note 16 – Fair Value Measurements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Note 17 – Hedge Accounting</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Note 18 – Leases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Note 19 – Business Combinations</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Note 20 – Related Parties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Note 21 – Insurance Recoveries on Impairment and Related Losses due to Earthquake</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Note 22 – Unaudited Quarterly Financial Information</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80" w:type="dxa"/>
            <w:vAlign w:val="bottom"/>
            <w:gridSpan w:val="36"/>
          </w:tcPr>
          <w:p>
            <w:pPr>
              <w:ind w:left="120"/>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Note 23 – Subsequent Events</w:t>
              </w:r>
            </w:hyperlink>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36"/>
            <w:shd w:val="clear" w:color="auto" w:fill="CCEEFF"/>
          </w:tcPr>
          <w:p>
            <w:pPr>
              <w:ind w:left="120"/>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Schedule II – Valuation and Qualifying Accounts</w:t>
              </w:r>
            </w:hyperlink>
          </w:p>
        </w:tc>
        <w:tc>
          <w:tcPr>
            <w:tcW w:w="1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120" w:type="dxa"/>
            <w:vAlign w:val="bottom"/>
            <w:tcBorders>
              <w:top w:val="single" w:sz="8" w:color="CCEEFF"/>
            </w:tcBorders>
          </w:tcPr>
          <w:p>
            <w:pPr>
              <w:spacing w:after="0"/>
              <w:rPr>
                <w:sz w:val="24"/>
                <w:szCs w:val="24"/>
                <w:color w:val="auto"/>
              </w:rPr>
            </w:pPr>
          </w:p>
        </w:tc>
        <w:tc>
          <w:tcPr>
            <w:tcW w:w="3540" w:type="dxa"/>
            <w:vAlign w:val="bottom"/>
            <w:tcBorders>
              <w:top w:val="single" w:sz="8" w:color="0000EE"/>
            </w:tcBorders>
            <w:gridSpan w:val="18"/>
          </w:tcPr>
          <w:p>
            <w:pPr>
              <w:spacing w:after="0"/>
              <w:rPr>
                <w:sz w:val="24"/>
                <w:szCs w:val="24"/>
                <w:color w:val="auto"/>
              </w:rPr>
            </w:pPr>
          </w:p>
        </w:tc>
        <w:tc>
          <w:tcPr>
            <w:tcW w:w="2420" w:type="dxa"/>
            <w:vAlign w:val="bottom"/>
            <w:tcBorders>
              <w:top w:val="single" w:sz="8" w:color="CCEEFF"/>
            </w:tcBorders>
            <w:gridSpan w:val="9"/>
          </w:tcPr>
          <w:p>
            <w:pPr>
              <w:jc w:val="right"/>
              <w:ind w:right="880"/>
              <w:spacing w:after="0"/>
              <w:rPr>
                <w:sz w:val="20"/>
                <w:szCs w:val="20"/>
                <w:color w:val="auto"/>
              </w:rPr>
            </w:pPr>
            <w:r>
              <w:rPr>
                <w:rFonts w:ascii="Arial" w:cs="Arial" w:eastAsia="Arial" w:hAnsi="Arial"/>
                <w:sz w:val="18"/>
                <w:szCs w:val="18"/>
                <w:color w:val="auto"/>
              </w:rPr>
              <w:t>- 67 -</w:t>
            </w: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u w:val="single" w:color="auto"/>
          <w:color w:val="auto"/>
        </w:rPr>
        <w:t>MANAGEMENT'S REPORT ON INTERNAL CONTROL OVER FINANCIAL REPORTING</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22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on this assessment, our management believes that the Company’s internal control over financial reporting is effective as of December 31, 2019.</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Grant Thornton LLP, an independent registered public accounting firm, as stated in their report, which is included herein</w:t>
      </w:r>
      <w:r>
        <w:rPr>
          <w:rFonts w:ascii="Arial" w:cs="Arial" w:eastAsia="Arial" w:hAnsi="Arial"/>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jc w:val="right"/>
              <w:ind w:right="3060"/>
              <w:spacing w:after="0"/>
              <w:rPr>
                <w:sz w:val="20"/>
                <w:szCs w:val="20"/>
                <w:color w:val="auto"/>
              </w:rPr>
            </w:pPr>
            <w:r>
              <w:rPr>
                <w:rFonts w:ascii="Arial" w:cs="Arial" w:eastAsia="Arial" w:hAnsi="Arial"/>
                <w:sz w:val="18"/>
                <w:szCs w:val="18"/>
                <w:color w:val="auto"/>
                <w:w w:val="99"/>
              </w:rPr>
              <w:t xml:space="preserve">By: </w:t>
            </w:r>
            <w:r>
              <w:rPr>
                <w:rFonts w:ascii="Arial" w:cs="Arial" w:eastAsia="Arial" w:hAnsi="Arial"/>
                <w:sz w:val="18"/>
                <w:szCs w:val="18"/>
                <w:i w:val="1"/>
                <w:iCs w:val="1"/>
                <w:color w:val="auto"/>
                <w:w w:val="99"/>
              </w:rPr>
              <w:t>/s/ Ellen M. Cotter</w:t>
            </w:r>
          </w:p>
        </w:tc>
        <w:tc>
          <w:tcPr>
            <w:tcW w:w="5140" w:type="dxa"/>
            <w:vAlign w:val="bottom"/>
            <w:gridSpan w:val="3"/>
          </w:tcPr>
          <w:p>
            <w:pPr>
              <w:ind w:left="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/s/Gilbert Avanes</w:t>
            </w:r>
          </w:p>
        </w:tc>
      </w:tr>
      <w:tr>
        <w:trPr>
          <w:trHeight w:val="222"/>
        </w:trPr>
        <w:tc>
          <w:tcPr>
            <w:tcW w:w="420" w:type="dxa"/>
            <w:vAlign w:val="bottom"/>
          </w:tcPr>
          <w:p>
            <w:pPr>
              <w:spacing w:after="0"/>
              <w:rPr>
                <w:sz w:val="19"/>
                <w:szCs w:val="19"/>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Ellen M. Cotter</w:t>
            </w:r>
          </w:p>
        </w:tc>
        <w:tc>
          <w:tcPr>
            <w:tcW w:w="3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Gilbert Avanes</w:t>
            </w:r>
          </w:p>
        </w:tc>
        <w:tc>
          <w:tcPr>
            <w:tcW w:w="334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EVP, Chief Financial Officer and Treasurer</w:t>
            </w:r>
          </w:p>
        </w:tc>
      </w:tr>
      <w:tr>
        <w:trPr>
          <w:trHeight w:val="230"/>
        </w:trPr>
        <w:tc>
          <w:tcPr>
            <w:tcW w:w="42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March 16, 2020</w:t>
            </w:r>
          </w:p>
        </w:tc>
        <w:tc>
          <w:tcPr>
            <w:tcW w:w="56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March 16, 2020</w:t>
            </w:r>
          </w:p>
        </w:tc>
      </w:tr>
      <w:tr>
        <w:trPr>
          <w:trHeight w:val="648"/>
        </w:trPr>
        <w:tc>
          <w:tcPr>
            <w:tcW w:w="48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68 -</w:t>
            </w:r>
          </w:p>
        </w:tc>
        <w:tc>
          <w:tcPr>
            <w:tcW w:w="12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08"/>
        </w:trPr>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r>
      <w:tr>
        <w:trPr>
          <w:trHeight w:val="20"/>
        </w:trPr>
        <w:tc>
          <w:tcPr>
            <w:tcW w:w="4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on the financial statements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audited the accompanying consolidated balance sheets of Reading International, Inc. and subsidiaries (the “Company”) as of December 31, 2019 and 2018, the related consolidated statements of operations, comprehensive income, stockholders’ equity, and cash flows for each of the three years in the period ended December 31, 2019, and the related notes and schedule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 (“COSO”),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 dated March 16, 2020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in Accounting Principle</w:t>
      </w:r>
    </w:p>
    <w:p>
      <w:pPr>
        <w:spacing w:after="0" w:line="229" w:lineRule="exact"/>
        <w:rPr>
          <w:sz w:val="20"/>
          <w:szCs w:val="20"/>
          <w:color w:val="auto"/>
        </w:rPr>
      </w:pPr>
    </w:p>
    <w:p>
      <w:pPr>
        <w:jc w:val="both"/>
        <w:ind w:right="760"/>
        <w:spacing w:after="0" w:line="342" w:lineRule="auto"/>
        <w:rPr>
          <w:sz w:val="20"/>
          <w:szCs w:val="20"/>
          <w:color w:val="auto"/>
        </w:rPr>
      </w:pPr>
      <w:r>
        <w:rPr>
          <w:rFonts w:ascii="Arial" w:cs="Arial" w:eastAsia="Arial" w:hAnsi="Arial"/>
          <w:sz w:val="16"/>
          <w:szCs w:val="16"/>
          <w:color w:val="auto"/>
        </w:rPr>
        <w:t xml:space="preserve">As discussed in Note 2 to the consolidated financial statements, the Company has changed its method of accounting for leasing arrangements effective January 1, 2019 due to the adoption of </w:t>
      </w:r>
      <w:r>
        <w:rPr>
          <w:rFonts w:ascii="Arial" w:cs="Arial" w:eastAsia="Arial" w:hAnsi="Arial"/>
          <w:sz w:val="16"/>
          <w:szCs w:val="16"/>
          <w:i w:val="1"/>
          <w:iCs w:val="1"/>
          <w:color w:val="auto"/>
        </w:rPr>
        <w:t>Leases (Topic 842)</w:t>
      </w:r>
      <w:r>
        <w:rPr>
          <w:rFonts w:ascii="Arial" w:cs="Arial" w:eastAsia="Arial" w:hAnsi="Arial"/>
          <w:sz w:val="16"/>
          <w:szCs w:val="16"/>
          <w:color w:val="auto"/>
        </w:rPr>
        <w:t>, using the current period adjustment method.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on internal control over financial reporting</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Reading International, Inc. and subsidiaries (the “Company”)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COSO.</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March 16, 2020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for opinion</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of Reading International, Inc.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 and limitations of internal control over financial reporting</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 as of December 31, 2019 and 2018</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(U.S. dollars in thousands, except share information)</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5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12,135</w:t>
            </w:r>
          </w:p>
        </w:tc>
        <w:tc>
          <w:tcPr>
            <w:tcW w:w="16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13,127</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20" w:type="dxa"/>
            <w:vAlign w:val="bottom"/>
          </w:tcPr>
          <w:p>
            <w:pPr>
              <w:spacing w:after="0"/>
              <w:rPr>
                <w:sz w:val="18"/>
                <w:szCs w:val="18"/>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Prepaid and other current assets</w:t>
            </w:r>
          </w:p>
        </w:tc>
        <w:tc>
          <w:tcPr>
            <w:tcW w:w="2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20" w:type="dxa"/>
            <w:vAlign w:val="bottom"/>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26,999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30,258</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properties, net</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257,667</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229,879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development properties, net</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86,804</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Investment in unconsolidated joint ventures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5,121</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7,369</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26,444</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20" w:type="dxa"/>
            <w:vAlign w:val="bottom"/>
          </w:tcPr>
          <w:p>
            <w:pPr>
              <w:spacing w:after="0"/>
              <w:rPr>
                <w:sz w:val="18"/>
                <w:szCs w:val="18"/>
                <w:color w:val="auto"/>
              </w:rPr>
            </w:pPr>
          </w:p>
        </w:tc>
      </w:tr>
      <w:tr>
        <w:trPr>
          <w:trHeight w:val="217"/>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674,989</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439,237</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2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29,436</w:t>
            </w:r>
          </w:p>
        </w:tc>
        <w:tc>
          <w:tcPr>
            <w:tcW w:w="16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26,931</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Film rent payable</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20" w:type="dxa"/>
            <w:vAlign w:val="bottom"/>
          </w:tcPr>
          <w:p>
            <w:pPr>
              <w:spacing w:after="0"/>
              <w:rPr>
                <w:sz w:val="18"/>
                <w:szCs w:val="18"/>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Debt – current portion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36,736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30,393</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Subordinated debt - current portion</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Derivative financial instruments - current portion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payable</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18"/>
                <w:szCs w:val="18"/>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Deferred current revenue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11,324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9,264</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 - current portion</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current liabilities</w:t>
            </w:r>
          </w:p>
        </w:tc>
        <w:tc>
          <w:tcPr>
            <w:tcW w:w="2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2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86,305</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Debt – long-term portion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140,602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106,286</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 non-current portion</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Subordinated debt - non-current portion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29,030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26,061</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Noncurrent tax liabilities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lease liabilities - non-current portion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223,164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18,854</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20" w:type="dxa"/>
            <w:vAlign w:val="bottom"/>
          </w:tcPr>
          <w:p>
            <w:pPr>
              <w:spacing w:after="0"/>
              <w:rPr>
                <w:sz w:val="18"/>
                <w:szCs w:val="18"/>
                <w:color w:val="auto"/>
              </w:rPr>
            </w:pPr>
          </w:p>
        </w:tc>
      </w:tr>
      <w:tr>
        <w:trPr>
          <w:trHeight w:val="210"/>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2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535,373</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259,258</w:t>
            </w:r>
          </w:p>
        </w:tc>
        <w:tc>
          <w:tcPr>
            <w:tcW w:w="2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non-voting common shares, par value $0.01, 100,000,000 shares authorized,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32,963,489 issued and 20,102,535 outstanding at December 31, 2019 and 33,112,337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issued and 21,194,748 outstanding at December 31, 2018</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r>
      <w:tr>
        <w:trPr>
          <w:trHeight w:val="202"/>
        </w:trPr>
        <w:tc>
          <w:tcPr>
            <w:tcW w:w="7200" w:type="dxa"/>
            <w:vAlign w:val="bottom"/>
            <w:gridSpan w:val="2"/>
          </w:tcPr>
          <w:p>
            <w:pPr>
              <w:spacing w:after="0" w:line="201" w:lineRule="exact"/>
              <w:rPr>
                <w:sz w:val="20"/>
                <w:szCs w:val="20"/>
                <w:color w:val="auto"/>
              </w:rPr>
            </w:pPr>
            <w:r>
              <w:rPr>
                <w:rFonts w:ascii="Arial" w:cs="Arial" w:eastAsia="Arial" w:hAnsi="Arial"/>
                <w:sz w:val="18"/>
                <w:szCs w:val="18"/>
                <w:color w:val="auto"/>
              </w:rPr>
              <w:t>Class B voting common shares, par value $0.01, 20,000,000 shares authorized and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00" w:type="dxa"/>
            <w:vAlign w:val="bottom"/>
          </w:tcPr>
          <w:p>
            <w:pPr>
              <w:ind w:left="100"/>
              <w:spacing w:after="0"/>
              <w:rPr>
                <w:sz w:val="20"/>
                <w:szCs w:val="20"/>
                <w:color w:val="auto"/>
              </w:rPr>
            </w:pPr>
            <w:r>
              <w:rPr>
                <w:rFonts w:ascii="Arial" w:cs="Arial" w:eastAsia="Arial" w:hAnsi="Arial"/>
                <w:sz w:val="18"/>
                <w:szCs w:val="18"/>
                <w:color w:val="auto"/>
                <w:w w:val="93"/>
              </w:rPr>
              <w:t>1,680,590 issued and outstanding at December 31, 2019 and 2018</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Nonvoting preferred shares, par value $0.01, 12,000 shares authorized and no issued</w:t>
            </w:r>
          </w:p>
        </w:tc>
        <w:tc>
          <w:tcPr>
            <w:tcW w:w="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 outstanding shares at December 31, 2019 and 2018</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148,602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147,452</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Treasury shares, at cost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(39,737)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(25,222)</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20" w:type="dxa"/>
            <w:vAlign w:val="bottom"/>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b w:val="1"/>
                <w:bCs w:val="1"/>
                <w:color w:val="auto"/>
                <w:w w:val="97"/>
              </w:rPr>
              <w:t>Total Reading International, Inc. ("RDI") Stockholders’ Equity</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135,349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175,642</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20" w:type="dxa"/>
            <w:vAlign w:val="bottom"/>
          </w:tcPr>
          <w:p>
            <w:pPr>
              <w:spacing w:after="0"/>
              <w:rPr>
                <w:sz w:val="18"/>
                <w:szCs w:val="18"/>
                <w:color w:val="auto"/>
              </w:rPr>
            </w:pPr>
          </w:p>
        </w:tc>
      </w:tr>
      <w:tr>
        <w:trPr>
          <w:trHeight w:val="209"/>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139,616</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179,979</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674,989</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439,237</w:t>
            </w:r>
          </w:p>
        </w:tc>
        <w:tc>
          <w:tcPr>
            <w:tcW w:w="20" w:type="dxa"/>
            <w:vAlign w:val="bottom"/>
          </w:tcPr>
          <w:p>
            <w:pPr>
              <w:spacing w:after="0"/>
              <w:rPr>
                <w:sz w:val="18"/>
                <w:szCs w:val="18"/>
                <w:color w:val="auto"/>
              </w:rPr>
            </w:pPr>
          </w:p>
        </w:tc>
      </w:tr>
      <w:tr>
        <w:trPr>
          <w:trHeight w:val="380"/>
        </w:trPr>
        <w:tc>
          <w:tcPr>
            <w:tcW w:w="7660" w:type="dxa"/>
            <w:vAlign w:val="bottom"/>
            <w:gridSpan w:val="4"/>
          </w:tcPr>
          <w:p>
            <w:pPr>
              <w:ind w:left="2400"/>
              <w:spacing w:after="0"/>
              <w:rPr>
                <w:sz w:val="20"/>
                <w:szCs w:val="20"/>
                <w:color w:val="auto"/>
              </w:rPr>
            </w:pPr>
            <w:r>
              <w:rPr>
                <w:rFonts w:ascii="Arial" w:cs="Arial" w:eastAsia="Arial" w:hAnsi="Arial"/>
                <w:sz w:val="14"/>
                <w:szCs w:val="14"/>
                <w:i w:val="1"/>
                <w:iCs w:val="1"/>
                <w:color w:val="auto"/>
                <w:w w:val="96"/>
              </w:rPr>
              <w:t>The accompanying Notes are an integral part of the Consolidated Financial Statements.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7"/>
        </w:trPr>
        <w:tc>
          <w:tcPr>
            <w:tcW w:w="5100" w:type="dxa"/>
            <w:vAlign w:val="bottom"/>
          </w:tcPr>
          <w:p>
            <w:pPr>
              <w:ind w:left="4720"/>
              <w:spacing w:after="0"/>
              <w:rPr>
                <w:sz w:val="20"/>
                <w:szCs w:val="20"/>
                <w:color w:val="auto"/>
              </w:rPr>
            </w:pPr>
            <w:r>
              <w:rPr>
                <w:rFonts w:ascii="Arial" w:cs="Arial" w:eastAsia="Arial" w:hAnsi="Arial"/>
                <w:sz w:val="18"/>
                <w:szCs w:val="18"/>
                <w:color w:val="auto"/>
              </w:rPr>
              <w:t>- 71</w:t>
            </w:r>
          </w:p>
        </w:tc>
        <w:tc>
          <w:tcPr>
            <w:tcW w:w="21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1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510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7" w:right="95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for the Three Years Ended December 31, 2019</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Cinema</w:t>
            </w:r>
          </w:p>
        </w:tc>
        <w:tc>
          <w:tcPr>
            <w:tcW w:w="114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262,189</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293,723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263,141</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 estate</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16,415</w:t>
            </w:r>
          </w:p>
        </w:tc>
        <w:tc>
          <w:tcPr>
            <w:tcW w:w="20" w:type="dxa"/>
            <w:vAlign w:val="bottom"/>
          </w:tcPr>
          <w:p>
            <w:pPr>
              <w:spacing w:after="0"/>
              <w:rPr>
                <w:sz w:val="18"/>
                <w:szCs w:val="18"/>
                <w:color w:val="auto"/>
              </w:rPr>
            </w:pPr>
          </w:p>
        </w:tc>
      </w:tr>
      <w:tr>
        <w:trPr>
          <w:trHeight w:val="209"/>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276,768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308,931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279,556</w:t>
            </w:r>
          </w:p>
        </w:tc>
        <w:tc>
          <w:tcPr>
            <w:tcW w:w="20" w:type="dxa"/>
            <w:vAlign w:val="bottom"/>
          </w:tcPr>
          <w:p>
            <w:pPr>
              <w:spacing w:after="0"/>
              <w:rPr>
                <w:sz w:val="18"/>
                <w:szCs w:val="18"/>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Cinema</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(225,791)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(207,447)</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Real estate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(9,453)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(9,904)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(9,437)</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(16,942)</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(25,395)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(27,337)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(25,347)</w:t>
            </w:r>
          </w:p>
        </w:tc>
        <w:tc>
          <w:tcPr>
            <w:tcW w:w="20" w:type="dxa"/>
            <w:vAlign w:val="bottom"/>
          </w:tcPr>
          <w:p>
            <w:pPr>
              <w:spacing w:after="0"/>
              <w:rPr>
                <w:sz w:val="18"/>
                <w:szCs w:val="18"/>
                <w:color w:val="auto"/>
              </w:rPr>
            </w:pPr>
          </w:p>
        </w:tc>
      </w:tr>
      <w:tr>
        <w:trPr>
          <w:trHeight w:val="210"/>
        </w:trPr>
        <w:tc>
          <w:tcPr>
            <w:tcW w:w="5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(267,645)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(285,307)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(259,173)</w:t>
            </w:r>
          </w:p>
        </w:tc>
        <w:tc>
          <w:tcPr>
            <w:tcW w:w="20" w:type="dxa"/>
            <w:vAlign w:val="bottom"/>
          </w:tcPr>
          <w:p>
            <w:pPr>
              <w:spacing w:after="0"/>
              <w:rPr>
                <w:sz w:val="18"/>
                <w:szCs w:val="18"/>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9,123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23,624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20,383</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Casualty gain (loss)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9,217</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r>
      <w:tr>
        <w:trPr>
          <w:trHeight w:val="191"/>
        </w:trPr>
        <w:tc>
          <w:tcPr>
            <w:tcW w:w="51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2"/>
              </w:rPr>
              <w:t>Income (loss) before income tax expense and equity earnings of</w:t>
            </w: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unconsolidated joint ventures</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33,354</w:t>
            </w:r>
          </w:p>
        </w:tc>
        <w:tc>
          <w:tcPr>
            <w:tcW w:w="20" w:type="dxa"/>
            <w:vAlign w:val="bottom"/>
          </w:tcPr>
          <w:p>
            <w:pPr>
              <w:spacing w:after="0"/>
              <w:rPr>
                <w:sz w:val="20"/>
                <w:szCs w:val="20"/>
                <w:color w:val="auto"/>
              </w:rPr>
            </w:pPr>
          </w:p>
        </w:tc>
      </w:tr>
      <w:tr>
        <w:trPr>
          <w:trHeight w:val="216"/>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earnings of unconsolidated joint ventures</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34,169</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(28,837)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(3,293)</w:t>
            </w:r>
          </w:p>
        </w:tc>
        <w:tc>
          <w:tcPr>
            <w:tcW w:w="20" w:type="dxa"/>
            <w:vAlign w:val="bottom"/>
          </w:tcPr>
          <w:p>
            <w:pPr>
              <w:spacing w:after="0"/>
              <w:rPr>
                <w:sz w:val="18"/>
                <w:szCs w:val="18"/>
                <w:color w:val="auto"/>
              </w:rPr>
            </w:pPr>
          </w:p>
        </w:tc>
      </w:tr>
      <w:tr>
        <w:trPr>
          <w:trHeight w:val="209"/>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(26,503)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14,166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30,876</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191"/>
        </w:trPr>
        <w:tc>
          <w:tcPr>
            <w:tcW w:w="5860" w:type="dxa"/>
            <w:vAlign w:val="bottom"/>
            <w:tcBorders>
              <w:top w:val="single" w:sz="8" w:color="auto"/>
            </w:tcBorders>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9"/>
              </w:rPr>
              <w:t>Net income (loss) attributable to Reading International, Inc. common</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54"/>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w:t>
            </w:r>
          </w:p>
        </w:tc>
        <w:tc>
          <w:tcPr>
            <w:tcW w:w="114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(26,429)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14,034</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30,865</w:t>
            </w:r>
          </w:p>
        </w:tc>
        <w:tc>
          <w:tcPr>
            <w:tcW w:w="20" w:type="dxa"/>
            <w:vAlign w:val="bottom"/>
          </w:tcPr>
          <w:p>
            <w:pPr>
              <w:spacing w:after="0"/>
              <w:rPr>
                <w:sz w:val="22"/>
                <w:szCs w:val="22"/>
                <w:color w:val="auto"/>
              </w:rPr>
            </w:pPr>
          </w:p>
        </w:tc>
      </w:tr>
      <w:tr>
        <w:trPr>
          <w:trHeight w:val="185"/>
        </w:trPr>
        <w:tc>
          <w:tcPr>
            <w:tcW w:w="5860" w:type="dxa"/>
            <w:vAlign w:val="bottom"/>
            <w:tcBorders>
              <w:top w:val="single" w:sz="8" w:color="auto"/>
            </w:tcBorders>
            <w:gridSpan w:val="2"/>
          </w:tcPr>
          <w:p>
            <w:pPr>
              <w:spacing w:after="0" w:line="185" w:lineRule="exact"/>
              <w:rPr>
                <w:sz w:val="20"/>
                <w:szCs w:val="20"/>
                <w:color w:val="auto"/>
              </w:rPr>
            </w:pPr>
            <w:r>
              <w:rPr>
                <w:rFonts w:ascii="Arial" w:cs="Arial" w:eastAsia="Arial" w:hAnsi="Arial"/>
                <w:sz w:val="18"/>
                <w:szCs w:val="18"/>
                <w:b w:val="1"/>
                <w:bCs w:val="1"/>
                <w:color w:val="auto"/>
                <w:w w:val="93"/>
              </w:rPr>
              <w:t>Basic earnings (loss) per share attributable to Reading International, Inc.</w:t>
            </w: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41"/>
        </w:trPr>
        <w:tc>
          <w:tcPr>
            <w:tcW w:w="510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114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(1.17)</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0.61</w:t>
            </w:r>
          </w:p>
        </w:tc>
        <w:tc>
          <w:tcPr>
            <w:tcW w:w="80" w:type="dxa"/>
            <w:vAlign w:val="bottom"/>
          </w:tcPr>
          <w:p>
            <w:pPr>
              <w:spacing w:after="0"/>
              <w:rPr>
                <w:sz w:val="20"/>
                <w:szCs w:val="20"/>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0" w:type="dxa"/>
            <w:vAlign w:val="bottom"/>
          </w:tcPr>
          <w:p>
            <w:pPr>
              <w:spacing w:after="0"/>
              <w:rPr>
                <w:sz w:val="20"/>
                <w:szCs w:val="20"/>
                <w:color w:val="auto"/>
              </w:rPr>
            </w:pPr>
          </w:p>
        </w:tc>
      </w:tr>
      <w:tr>
        <w:trPr>
          <w:trHeight w:val="198"/>
        </w:trPr>
        <w:tc>
          <w:tcPr>
            <w:tcW w:w="586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Diluted earnings (loss) per share attributable to Reading International, Inc.</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w:t>
            </w:r>
          </w:p>
        </w:tc>
        <w:tc>
          <w:tcPr>
            <w:tcW w:w="114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(1.17)</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0" w:type="dxa"/>
            <w:vAlign w:val="bottom"/>
          </w:tcPr>
          <w:p>
            <w:pPr>
              <w:spacing w:after="0"/>
              <w:rPr>
                <w:sz w:val="20"/>
                <w:szCs w:val="20"/>
                <w:color w:val="auto"/>
              </w:rPr>
            </w:pPr>
          </w:p>
        </w:tc>
      </w:tr>
      <w:tr>
        <w:trPr>
          <w:trHeight w:val="216"/>
        </w:trPr>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Weighted average number of shares outstanding–basic</w:t>
            </w: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22,631,754</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22,991,277</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23,041,190</w:t>
            </w:r>
          </w:p>
        </w:tc>
        <w:tc>
          <w:tcPr>
            <w:tcW w:w="20" w:type="dxa"/>
            <w:vAlign w:val="bottom"/>
          </w:tcPr>
          <w:p>
            <w:pPr>
              <w:spacing w:after="0"/>
              <w:rPr>
                <w:sz w:val="18"/>
                <w:szCs w:val="18"/>
                <w:color w:val="auto"/>
              </w:rPr>
            </w:pPr>
          </w:p>
        </w:tc>
      </w:tr>
      <w:tr>
        <w:trPr>
          <w:trHeight w:val="223"/>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outstanding–diluted</w:t>
            </w:r>
          </w:p>
        </w:tc>
        <w:tc>
          <w:tcPr>
            <w:tcW w:w="7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22,784,122</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23,208,991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23,247,969</w:t>
            </w:r>
          </w:p>
        </w:tc>
        <w:tc>
          <w:tcPr>
            <w:tcW w:w="20" w:type="dxa"/>
            <w:vAlign w:val="bottom"/>
          </w:tcPr>
          <w:p>
            <w:pPr>
              <w:spacing w:after="0"/>
              <w:rPr>
                <w:sz w:val="19"/>
                <w:szCs w:val="19"/>
                <w:color w:val="auto"/>
              </w:rPr>
            </w:pPr>
          </w:p>
        </w:tc>
      </w:tr>
      <w:tr>
        <w:trPr>
          <w:trHeight w:val="312"/>
        </w:trPr>
        <w:tc>
          <w:tcPr>
            <w:tcW w:w="7620" w:type="dxa"/>
            <w:vAlign w:val="bottom"/>
            <w:gridSpan w:val="8"/>
          </w:tcPr>
          <w:p>
            <w:pPr>
              <w:ind w:left="2420"/>
              <w:spacing w:after="0"/>
              <w:rPr>
                <w:sz w:val="20"/>
                <w:szCs w:val="20"/>
                <w:color w:val="auto"/>
              </w:rPr>
            </w:pPr>
            <w:r>
              <w:rPr>
                <w:rFonts w:ascii="Arial" w:cs="Arial" w:eastAsia="Arial" w:hAnsi="Arial"/>
                <w:sz w:val="14"/>
                <w:szCs w:val="14"/>
                <w:i w:val="1"/>
                <w:iCs w:val="1"/>
                <w:color w:val="auto"/>
                <w:w w:val="95"/>
              </w:rPr>
              <w:t>The accompanying Notes are an integral part of the Consolidated Financial Statements.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6"/>
        </w:trPr>
        <w:tc>
          <w:tcPr>
            <w:tcW w:w="5100" w:type="dxa"/>
            <w:vAlign w:val="bottom"/>
          </w:tcPr>
          <w:p>
            <w:pPr>
              <w:ind w:left="4720"/>
              <w:spacing w:after="0"/>
              <w:rPr>
                <w:sz w:val="20"/>
                <w:szCs w:val="20"/>
                <w:color w:val="auto"/>
              </w:rPr>
            </w:pPr>
            <w:r>
              <w:rPr>
                <w:rFonts w:ascii="Arial" w:cs="Arial" w:eastAsia="Arial" w:hAnsi="Arial"/>
                <w:sz w:val="18"/>
                <w:szCs w:val="18"/>
                <w:color w:val="auto"/>
              </w:rPr>
              <w:t>- 72</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5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17" w:right="95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for the Three Years Ended December 31,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30,876</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(14,903)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8,810</w:t>
            </w:r>
          </w:p>
        </w:tc>
      </w:tr>
      <w:tr>
        <w:trPr>
          <w:trHeight w:val="22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Gain (loss) on cash flow hedges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39,811</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comprehensive income (loss) attributable to noncontrolling interests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5"/>
              </w:rPr>
              <w:t>Comprehensive income (loss) attributable to Reading International, Inc.</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(26,955)</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39,781</w:t>
            </w:r>
          </w:p>
        </w:tc>
      </w:tr>
    </w:tbl>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30" w:right="97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 for the Three Years Ended December 31,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97"/>
              <w:spacing w:after="0"/>
              <w:rPr>
                <w:sz w:val="20"/>
                <w:szCs w:val="20"/>
                <w:color w:val="auto"/>
              </w:rPr>
            </w:pPr>
            <w:r>
              <w:rPr>
                <w:rFonts w:ascii="Arial" w:cs="Arial" w:eastAsia="Arial" w:hAnsi="Arial"/>
                <w:sz w:val="13"/>
                <w:szCs w:val="13"/>
                <w:b w:val="1"/>
                <w:bCs w:val="1"/>
                <w:color w:val="auto"/>
                <w:w w:val="90"/>
              </w:rPr>
              <w:t>Retained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3"/>
                <w:szCs w:val="13"/>
                <w:color w:val="auto"/>
              </w:rPr>
            </w:pPr>
          </w:p>
        </w:tc>
        <w:tc>
          <w:tcPr>
            <w:tcW w:w="780" w:type="dxa"/>
            <w:vAlign w:val="bottom"/>
          </w:tcPr>
          <w:p>
            <w:pPr>
              <w:jc w:val="center"/>
              <w:ind w:right="117"/>
              <w:spacing w:after="0"/>
              <w:rPr>
                <w:sz w:val="20"/>
                <w:szCs w:val="20"/>
                <w:color w:val="auto"/>
              </w:rPr>
            </w:pPr>
            <w:r>
              <w:rPr>
                <w:rFonts w:ascii="Arial" w:cs="Arial" w:eastAsia="Arial" w:hAnsi="Arial"/>
                <w:sz w:val="13"/>
                <w:szCs w:val="13"/>
                <w:b w:val="1"/>
                <w:bCs w:val="1"/>
                <w:color w:val="auto"/>
                <w:w w:val="85"/>
              </w:rPr>
              <w:t>Reading</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8"/>
        </w:trPr>
        <w:tc>
          <w:tcPr>
            <w:tcW w:w="208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52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Class B</w:t>
            </w:r>
          </w:p>
        </w:tc>
        <w:tc>
          <w:tcPr>
            <w:tcW w:w="5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6"/>
              </w:rPr>
              <w:t>Class B</w:t>
            </w: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5"/>
                <w:szCs w:val="15"/>
                <w:color w:val="auto"/>
              </w:rPr>
            </w:pPr>
          </w:p>
        </w:tc>
        <w:tc>
          <w:tcPr>
            <w:tcW w:w="70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Earnings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Arial" w:cs="Arial" w:eastAsia="Arial" w:hAnsi="Arial"/>
                <w:sz w:val="13"/>
                <w:szCs w:val="13"/>
                <w:b w:val="1"/>
                <w:bCs w:val="1"/>
                <w:color w:val="auto"/>
              </w:rPr>
              <w:t>Other</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International Inc.</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35"/>
        </w:trPr>
        <w:tc>
          <w:tcPr>
            <w:tcW w:w="2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0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Voting</w:t>
            </w:r>
          </w:p>
        </w:tc>
        <w:tc>
          <w:tcPr>
            <w:tcW w:w="100" w:type="dxa"/>
            <w:vAlign w:val="bottom"/>
          </w:tcPr>
          <w:p>
            <w:pPr>
              <w:spacing w:after="0"/>
              <w:rPr>
                <w:sz w:val="11"/>
                <w:szCs w:val="11"/>
                <w:color w:val="auto"/>
              </w:rPr>
            </w:pPr>
          </w:p>
        </w:tc>
        <w:tc>
          <w:tcPr>
            <w:tcW w:w="420" w:type="dxa"/>
            <w:vAlign w:val="bottom"/>
            <w:tcBorders>
              <w:right w:val="single" w:sz="8" w:color="auto"/>
            </w:tcBorders>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Par</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Voting</w:t>
            </w:r>
          </w:p>
        </w:tc>
        <w:tc>
          <w:tcPr>
            <w:tcW w:w="100" w:type="dxa"/>
            <w:vAlign w:val="bottom"/>
          </w:tcPr>
          <w:p>
            <w:pPr>
              <w:spacing w:after="0"/>
              <w:rPr>
                <w:sz w:val="11"/>
                <w:szCs w:val="11"/>
                <w:color w:val="auto"/>
              </w:rPr>
            </w:pPr>
          </w:p>
        </w:tc>
        <w:tc>
          <w:tcPr>
            <w:tcW w:w="42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2"/>
              </w:rPr>
              <w:t>Paid-In</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3"/>
              </w:rPr>
              <w:t>Treasury</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62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w w:val="86"/>
              </w:rPr>
              <w:t>Noncontrolling Stockholders’</w:t>
            </w:r>
          </w:p>
        </w:tc>
      </w:tr>
      <w:tr>
        <w:trPr>
          <w:trHeight w:val="153"/>
        </w:trPr>
        <w:tc>
          <w:tcPr>
            <w:tcW w:w="208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Value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Deficit)</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Shares</w:t>
            </w: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0"/>
              </w:rPr>
              <w:t>Income/(Loss)</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8"/>
              </w:rPr>
              <w:t>Interests</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Equity</w:t>
            </w:r>
          </w:p>
        </w:tc>
      </w:tr>
      <w:tr>
        <w:trPr>
          <w:trHeight w:val="136"/>
        </w:trPr>
        <w:tc>
          <w:tcPr>
            <w:tcW w:w="208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At January 1, 2017</w:t>
            </w:r>
          </w:p>
        </w:tc>
        <w:tc>
          <w:tcPr>
            <w:tcW w:w="56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21,498</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230</w:t>
            </w:r>
          </w:p>
        </w:tc>
        <w:tc>
          <w:tcPr>
            <w:tcW w:w="680" w:type="dxa"/>
            <w:vAlign w:val="bottom"/>
            <w:tcBorders>
              <w:bottom w:val="single" w:sz="8" w:color="auto"/>
              <w:right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b w:val="1"/>
                <w:bCs w:val="1"/>
                <w:color w:val="auto"/>
                <w:w w:val="92"/>
              </w:rPr>
              <w:t>1,680</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right w:val="single" w:sz="8" w:color="auto"/>
            </w:tcBorders>
            <w:shd w:val="clear" w:color="auto" w:fill="CCEEFF"/>
          </w:tcPr>
          <w:p>
            <w:pPr>
              <w:ind w:left="240"/>
              <w:spacing w:after="0" w:line="129" w:lineRule="exact"/>
              <w:rPr>
                <w:sz w:val="20"/>
                <w:szCs w:val="20"/>
                <w:color w:val="auto"/>
              </w:rPr>
            </w:pPr>
            <w:r>
              <w:rPr>
                <w:rFonts w:ascii="Arial" w:cs="Arial" w:eastAsia="Arial" w:hAnsi="Arial"/>
                <w:sz w:val="13"/>
                <w:szCs w:val="13"/>
                <w:b w:val="1"/>
                <w:bCs w:val="1"/>
                <w:color w:val="auto"/>
                <w:w w:val="96"/>
              </w:rPr>
              <w:t>17</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144,569</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1,955</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(16,374)</w:t>
            </w:r>
          </w:p>
        </w:tc>
        <w:tc>
          <w:tcPr>
            <w:tcW w:w="200" w:type="dxa"/>
            <w:vAlign w:val="bottom"/>
            <w:tcBorders>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12,075</w:t>
            </w:r>
          </w:p>
        </w:tc>
        <w:tc>
          <w:tcPr>
            <w:tcW w:w="18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142,472</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4,418</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146,890</w:t>
            </w:r>
          </w:p>
        </w:tc>
      </w:tr>
      <w:tr>
        <w:trPr>
          <w:trHeight w:val="216"/>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Net income (loss)</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30,865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30,865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30,876</w:t>
            </w:r>
          </w:p>
        </w:tc>
      </w:tr>
      <w:tr>
        <w:trPr>
          <w:trHeight w:val="216"/>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Other comprehensive income, net</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8,935</w:t>
            </w:r>
          </w:p>
        </w:tc>
      </w:tr>
      <w:tr>
        <w:trPr>
          <w:trHeight w:val="216"/>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Share-based compensation expense</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216"/>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 repurchase plan</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(6,532)</w:t>
            </w:r>
          </w:p>
        </w:tc>
      </w:tr>
      <w:tr>
        <w:trPr>
          <w:trHeight w:val="121"/>
        </w:trPr>
        <w:tc>
          <w:tcPr>
            <w:tcW w:w="208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w w:val="87"/>
              </w:rPr>
              <w:t>Class A common stock issued for share-</w:t>
            </w:r>
          </w:p>
        </w:tc>
        <w:tc>
          <w:tcPr>
            <w:tcW w:w="5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9"/>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3"/>
              </w:rPr>
              <w:t>based bonuses and options exercised</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rPr>
              <w:t>1</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330</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330</w:t>
            </w:r>
          </w:p>
        </w:tc>
      </w:tr>
      <w:tr>
        <w:trPr>
          <w:trHeight w:val="121"/>
        </w:trPr>
        <w:tc>
          <w:tcPr>
            <w:tcW w:w="208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In-kind exchange of share for the</w:t>
            </w:r>
          </w:p>
        </w:tc>
        <w:tc>
          <w:tcPr>
            <w:tcW w:w="56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9"/>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exercise of options, net issued</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Restricted Stock Units</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56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9"/>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shareholders</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r>
      <w:tr>
        <w:trPr>
          <w:trHeight w:val="121"/>
        </w:trPr>
        <w:tc>
          <w:tcPr>
            <w:tcW w:w="208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5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9"/>
        </w:trPr>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shareholders</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r>
      <w:tr>
        <w:trPr>
          <w:trHeight w:val="135"/>
        </w:trPr>
        <w:tc>
          <w:tcPr>
            <w:tcW w:w="208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At December 31, 2017</w:t>
            </w:r>
          </w:p>
        </w:tc>
        <w:tc>
          <w:tcPr>
            <w:tcW w:w="56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21,251</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231</w:t>
            </w:r>
          </w:p>
        </w:tc>
        <w:tc>
          <w:tcPr>
            <w:tcW w:w="680" w:type="dxa"/>
            <w:vAlign w:val="bottom"/>
            <w:tcBorders>
              <w:bottom w:val="single" w:sz="8" w:color="auto"/>
              <w:right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b w:val="1"/>
                <w:bCs w:val="1"/>
                <w:color w:val="auto"/>
                <w:w w:val="92"/>
              </w:rPr>
              <w:t>1,680</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right w:val="single" w:sz="8" w:color="auto"/>
            </w:tcBorders>
            <w:shd w:val="clear" w:color="auto" w:fill="CCEEFF"/>
          </w:tcPr>
          <w:p>
            <w:pPr>
              <w:ind w:left="240"/>
              <w:spacing w:after="0" w:line="129" w:lineRule="exact"/>
              <w:rPr>
                <w:sz w:val="20"/>
                <w:szCs w:val="20"/>
                <w:color w:val="auto"/>
              </w:rPr>
            </w:pPr>
            <w:r>
              <w:rPr>
                <w:rFonts w:ascii="Arial" w:cs="Arial" w:eastAsia="Arial" w:hAnsi="Arial"/>
                <w:sz w:val="13"/>
                <w:szCs w:val="13"/>
                <w:b w:val="1"/>
                <w:bCs w:val="1"/>
                <w:color w:val="auto"/>
                <w:w w:val="96"/>
              </w:rPr>
              <w:t>17</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145,898</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32,820</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(22,906)</w:t>
            </w:r>
          </w:p>
        </w:tc>
        <w:tc>
          <w:tcPr>
            <w:tcW w:w="200" w:type="dxa"/>
            <w:vAlign w:val="bottom"/>
            <w:tcBorders>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20,991</w:t>
            </w:r>
          </w:p>
        </w:tc>
        <w:tc>
          <w:tcPr>
            <w:tcW w:w="18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177,051</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4,331</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181,382</w:t>
            </w:r>
          </w:p>
        </w:tc>
      </w:tr>
      <w:tr>
        <w:trPr>
          <w:trHeight w:val="216"/>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Net income (loss)</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14,034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14,034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14,166</w:t>
            </w:r>
          </w:p>
        </w:tc>
      </w:tr>
      <w:tr>
        <w:trPr>
          <w:trHeight w:val="121"/>
        </w:trPr>
        <w:tc>
          <w:tcPr>
            <w:tcW w:w="208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Adjustments to opening retained</w:t>
            </w:r>
          </w:p>
        </w:tc>
        <w:tc>
          <w:tcPr>
            <w:tcW w:w="56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9"/>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earnings on adoption of ASC 606</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r>
      <w:tr>
        <w:trPr>
          <w:trHeight w:val="216"/>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Other comprehensive income, net</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(14,876)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(14,876)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(14,891)</w:t>
            </w:r>
          </w:p>
        </w:tc>
      </w:tr>
      <w:tr>
        <w:trPr>
          <w:trHeight w:val="216"/>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w w:val="96"/>
              </w:rPr>
              <w:t>Share-based compensation expense</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w:t>
            </w:r>
          </w:p>
        </w:tc>
      </w:tr>
      <w:tr>
        <w:trPr>
          <w:trHeight w:val="216"/>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 repurchase plan</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(2,316)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(2,316)</w:t>
            </w:r>
          </w:p>
        </w:tc>
      </w:tr>
      <w:tr>
        <w:trPr>
          <w:trHeight w:val="121"/>
        </w:trPr>
        <w:tc>
          <w:tcPr>
            <w:tcW w:w="208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87"/>
              </w:rPr>
              <w:t>Class A common stock issued for share-</w:t>
            </w:r>
          </w:p>
        </w:tc>
        <w:tc>
          <w:tcPr>
            <w:tcW w:w="56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9"/>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w w:val="93"/>
              </w:rPr>
              <w:t>based bonuses and options exercised</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r>
      <w:tr>
        <w:trPr>
          <w:trHeight w:val="121"/>
        </w:trPr>
        <w:tc>
          <w:tcPr>
            <w:tcW w:w="208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In-kind exchange of share for the</w:t>
            </w:r>
          </w:p>
        </w:tc>
        <w:tc>
          <w:tcPr>
            <w:tcW w:w="5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9"/>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exercise of options, net issued</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rPr>
              <w:t>1</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216"/>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Restricted Stock Units</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21"/>
        </w:trPr>
        <w:tc>
          <w:tcPr>
            <w:tcW w:w="208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5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9"/>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shareholders</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21"/>
        </w:trPr>
        <w:tc>
          <w:tcPr>
            <w:tcW w:w="208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56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9"/>
        </w:trPr>
        <w:tc>
          <w:tcPr>
            <w:tcW w:w="20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shareholders</w:t>
            </w: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r>
      <w:tr>
        <w:trPr>
          <w:trHeight w:val="135"/>
        </w:trPr>
        <w:tc>
          <w:tcPr>
            <w:tcW w:w="208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At December 31, 2018</w:t>
            </w:r>
          </w:p>
        </w:tc>
        <w:tc>
          <w:tcPr>
            <w:tcW w:w="56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21,195</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232</w:t>
            </w:r>
          </w:p>
        </w:tc>
        <w:tc>
          <w:tcPr>
            <w:tcW w:w="680" w:type="dxa"/>
            <w:vAlign w:val="bottom"/>
            <w:tcBorders>
              <w:bottom w:val="single" w:sz="8" w:color="auto"/>
              <w:right w:val="single" w:sz="8" w:color="auto"/>
            </w:tcBorders>
          </w:tcPr>
          <w:p>
            <w:pPr>
              <w:ind w:left="340"/>
              <w:spacing w:after="0" w:line="129" w:lineRule="exact"/>
              <w:rPr>
                <w:sz w:val="20"/>
                <w:szCs w:val="20"/>
                <w:color w:val="auto"/>
              </w:rPr>
            </w:pPr>
            <w:r>
              <w:rPr>
                <w:rFonts w:ascii="Arial" w:cs="Arial" w:eastAsia="Arial" w:hAnsi="Arial"/>
                <w:sz w:val="13"/>
                <w:szCs w:val="13"/>
                <w:b w:val="1"/>
                <w:bCs w:val="1"/>
                <w:color w:val="auto"/>
                <w:w w:val="92"/>
              </w:rPr>
              <w:t>1,680</w:t>
            </w:r>
          </w:p>
        </w:tc>
        <w:tc>
          <w:tcPr>
            <w:tcW w:w="1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right w:val="single" w:sz="8" w:color="auto"/>
            </w:tcBorders>
          </w:tcPr>
          <w:p>
            <w:pPr>
              <w:ind w:left="240"/>
              <w:spacing w:after="0" w:line="129" w:lineRule="exact"/>
              <w:rPr>
                <w:sz w:val="20"/>
                <w:szCs w:val="20"/>
                <w:color w:val="auto"/>
              </w:rPr>
            </w:pPr>
            <w:r>
              <w:rPr>
                <w:rFonts w:ascii="Arial" w:cs="Arial" w:eastAsia="Arial" w:hAnsi="Arial"/>
                <w:sz w:val="13"/>
                <w:szCs w:val="13"/>
                <w:b w:val="1"/>
                <w:bCs w:val="1"/>
                <w:color w:val="auto"/>
                <w:w w:val="96"/>
              </w:rPr>
              <w:t>17</w:t>
            </w:r>
          </w:p>
        </w:tc>
        <w:tc>
          <w:tcPr>
            <w:tcW w:w="1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147,452</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47,048</w:t>
            </w: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(25,222)</w:t>
            </w:r>
          </w:p>
        </w:tc>
        <w:tc>
          <w:tcPr>
            <w:tcW w:w="20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6,115</w:t>
            </w:r>
          </w:p>
        </w:tc>
        <w:tc>
          <w:tcPr>
            <w:tcW w:w="18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175,642</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4,337</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179,979</w:t>
            </w:r>
          </w:p>
        </w:tc>
      </w:tr>
      <w:tr>
        <w:trPr>
          <w:trHeight w:val="216"/>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(26,429)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(26,429)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(26,503)</w:t>
            </w:r>
          </w:p>
        </w:tc>
      </w:tr>
      <w:tr>
        <w:trPr>
          <w:trHeight w:val="121"/>
        </w:trPr>
        <w:tc>
          <w:tcPr>
            <w:tcW w:w="208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Adjustments to opening retained</w:t>
            </w:r>
          </w:p>
        </w:tc>
        <w:tc>
          <w:tcPr>
            <w:tcW w:w="5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9"/>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earnings on adoption of ASC 842</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216"/>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Other comprehensive income, net</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w:t>
            </w:r>
          </w:p>
        </w:tc>
      </w:tr>
      <w:tr>
        <w:trPr>
          <w:trHeight w:val="216"/>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Share-based compensation expense</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1,463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1,463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1,463</w:t>
            </w:r>
          </w:p>
        </w:tc>
      </w:tr>
      <w:tr>
        <w:trPr>
          <w:trHeight w:val="216"/>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 repurchase plan</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(14,518)</w:t>
            </w:r>
          </w:p>
        </w:tc>
      </w:tr>
      <w:tr>
        <w:trPr>
          <w:trHeight w:val="121"/>
        </w:trPr>
        <w:tc>
          <w:tcPr>
            <w:tcW w:w="208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w w:val="87"/>
              </w:rPr>
              <w:t>Class A common stock issued for share-</w:t>
            </w:r>
          </w:p>
        </w:tc>
        <w:tc>
          <w:tcPr>
            <w:tcW w:w="5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9"/>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3"/>
              </w:rPr>
              <w:t>based bonuses and options exercised</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(185)</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(185)</w:t>
            </w:r>
          </w:p>
        </w:tc>
      </w:tr>
      <w:tr>
        <w:trPr>
          <w:trHeight w:val="216"/>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Restricted Stock Units</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rPr>
              <w:t>1</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216"/>
        </w:trPr>
        <w:tc>
          <w:tcPr>
            <w:tcW w:w="2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Retirements</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680" w:type="dxa"/>
            <w:vAlign w:val="bottom"/>
            <w:tcBorders>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42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21"/>
        </w:trPr>
        <w:tc>
          <w:tcPr>
            <w:tcW w:w="208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56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9"/>
        </w:trPr>
        <w:tc>
          <w:tcPr>
            <w:tcW w:w="20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stockholders</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right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21"/>
        </w:trPr>
        <w:tc>
          <w:tcPr>
            <w:tcW w:w="208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5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9"/>
        </w:trPr>
        <w:tc>
          <w:tcPr>
            <w:tcW w:w="2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stockholders</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center"/>
              <w:ind w:left="197"/>
              <w:spacing w:after="0"/>
              <w:rPr>
                <w:sz w:val="20"/>
                <w:szCs w:val="20"/>
                <w:color w:val="auto"/>
              </w:rPr>
            </w:pPr>
            <w:r>
              <w:rPr>
                <w:rFonts w:ascii="Arial" w:cs="Arial" w:eastAsia="Arial" w:hAnsi="Arial"/>
                <w:sz w:val="13"/>
                <w:szCs w:val="13"/>
                <w:color w:val="auto"/>
                <w:w w:val="91"/>
              </w:rPr>
              <w:t>—</w:t>
            </w:r>
          </w:p>
        </w:tc>
        <w:tc>
          <w:tcPr>
            <w:tcW w:w="6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w w:val="76"/>
              </w:rPr>
              <w:t>—</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r>
      <w:tr>
        <w:trPr>
          <w:trHeight w:val="135"/>
        </w:trPr>
        <w:tc>
          <w:tcPr>
            <w:tcW w:w="208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At December 31, 2019</w:t>
            </w:r>
          </w:p>
        </w:tc>
        <w:tc>
          <w:tcPr>
            <w:tcW w:w="56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20,103</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231</w:t>
            </w:r>
          </w:p>
        </w:tc>
        <w:tc>
          <w:tcPr>
            <w:tcW w:w="680" w:type="dxa"/>
            <w:vAlign w:val="bottom"/>
            <w:tcBorders>
              <w:bottom w:val="single" w:sz="8" w:color="auto"/>
              <w:right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b w:val="1"/>
                <w:bCs w:val="1"/>
                <w:color w:val="auto"/>
                <w:w w:val="92"/>
              </w:rPr>
              <w:t>1,680</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right w:val="single" w:sz="8" w:color="auto"/>
            </w:tcBorders>
            <w:shd w:val="clear" w:color="auto" w:fill="CCEEFF"/>
          </w:tcPr>
          <w:p>
            <w:pPr>
              <w:ind w:left="240"/>
              <w:spacing w:after="0" w:line="129" w:lineRule="exact"/>
              <w:rPr>
                <w:sz w:val="20"/>
                <w:szCs w:val="20"/>
                <w:color w:val="auto"/>
              </w:rPr>
            </w:pPr>
            <w:r>
              <w:rPr>
                <w:rFonts w:ascii="Arial" w:cs="Arial" w:eastAsia="Arial" w:hAnsi="Arial"/>
                <w:sz w:val="13"/>
                <w:szCs w:val="13"/>
                <w:b w:val="1"/>
                <w:bCs w:val="1"/>
                <w:color w:val="auto"/>
                <w:w w:val="96"/>
              </w:rPr>
              <w:t>17</w:t>
            </w: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148,602</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20,647</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(39,737)</w:t>
            </w:r>
          </w:p>
        </w:tc>
        <w:tc>
          <w:tcPr>
            <w:tcW w:w="200" w:type="dxa"/>
            <w:vAlign w:val="bottom"/>
            <w:tcBorders>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5,589</w:t>
            </w:r>
          </w:p>
        </w:tc>
        <w:tc>
          <w:tcPr>
            <w:tcW w:w="18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135,349</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4,267</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139,616</w:t>
            </w:r>
          </w:p>
        </w:tc>
      </w:tr>
    </w:tbl>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7" w:right="97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for the Three Years Ended December 31,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(U.S. dollars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9"/>
                <w:szCs w:val="19"/>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5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(26,503)</w:t>
            </w: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14,166</w:t>
            </w: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30,876</w:t>
            </w:r>
          </w:p>
        </w:tc>
        <w:tc>
          <w:tcPr>
            <w:tcW w:w="20" w:type="dxa"/>
            <w:vAlign w:val="bottom"/>
          </w:tcPr>
          <w:p>
            <w:pPr>
              <w:spacing w:after="0"/>
              <w:rPr>
                <w:sz w:val="19"/>
                <w:szCs w:val="19"/>
                <w:color w:val="auto"/>
              </w:rPr>
            </w:pPr>
          </w:p>
        </w:tc>
      </w:tr>
      <w:tr>
        <w:trPr>
          <w:trHeight w:val="213"/>
        </w:trPr>
        <w:tc>
          <w:tcPr>
            <w:tcW w:w="5760" w:type="dxa"/>
            <w:vAlign w:val="bottom"/>
          </w:tcPr>
          <w:p>
            <w:pPr>
              <w:ind w:left="100"/>
              <w:spacing w:after="0"/>
              <w:rPr>
                <w:sz w:val="20"/>
                <w:szCs w:val="20"/>
                <w:color w:val="auto"/>
              </w:rPr>
            </w:pPr>
            <w:r>
              <w:rPr>
                <w:rFonts w:ascii="Arial" w:cs="Arial" w:eastAsia="Arial" w:hAnsi="Arial"/>
                <w:sz w:val="16"/>
                <w:szCs w:val="16"/>
                <w:i w:val="1"/>
                <w:iCs w:val="1"/>
                <w:color w:val="auto"/>
              </w:rPr>
              <w:t>Adjustments to reconcile net income to net cash flows from operating activities: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earnings of unconsolidated joint ventures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20" w:type="dxa"/>
            <w:vAlign w:val="bottom"/>
          </w:tcPr>
          <w:p>
            <w:pPr>
              <w:spacing w:after="0"/>
              <w:rPr>
                <w:sz w:val="19"/>
                <w:szCs w:val="19"/>
                <w:color w:val="auto"/>
              </w:rPr>
            </w:pPr>
          </w:p>
        </w:tc>
      </w:tr>
      <w:tr>
        <w:trPr>
          <w:trHeight w:val="213"/>
        </w:trPr>
        <w:tc>
          <w:tcPr>
            <w:tcW w:w="5760" w:type="dxa"/>
            <w:vAlign w:val="bottom"/>
          </w:tcPr>
          <w:p>
            <w:pPr>
              <w:ind w:left="100"/>
              <w:spacing w:after="0"/>
              <w:rPr>
                <w:sz w:val="20"/>
                <w:szCs w:val="20"/>
                <w:color w:val="auto"/>
              </w:rPr>
            </w:pPr>
            <w:r>
              <w:rPr>
                <w:rFonts w:ascii="Arial" w:cs="Arial" w:eastAsia="Arial" w:hAnsi="Arial"/>
                <w:sz w:val="16"/>
                <w:szCs w:val="16"/>
                <w:color w:val="auto"/>
              </w:rPr>
              <w:t>Distributions of earnings from unconsolidated joint ventures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recognized on foreign currency transactions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9"/>
                <w:szCs w:val="19"/>
                <w:color w:val="auto"/>
              </w:rPr>
            </w:pPr>
          </w:p>
        </w:tc>
      </w:tr>
      <w:tr>
        <w:trPr>
          <w:trHeight w:val="213"/>
        </w:trPr>
        <w:tc>
          <w:tcPr>
            <w:tcW w:w="5760" w:type="dxa"/>
            <w:vAlign w:val="bottom"/>
          </w:tcPr>
          <w:p>
            <w:pPr>
              <w:ind w:left="100"/>
              <w:spacing w:after="0"/>
              <w:rPr>
                <w:sz w:val="20"/>
                <w:szCs w:val="20"/>
                <w:color w:val="auto"/>
              </w:rPr>
            </w:pPr>
            <w:r>
              <w:rPr>
                <w:rFonts w:ascii="Arial" w:cs="Arial" w:eastAsia="Arial" w:hAnsi="Arial"/>
                <w:sz w:val="16"/>
                <w:szCs w:val="16"/>
                <w:color w:val="auto"/>
              </w:rPr>
              <w:t>Net loss (gain) on sale of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(9,360)</w:t>
            </w:r>
          </w:p>
        </w:tc>
      </w:tr>
      <w:tr>
        <w:trPr>
          <w:trHeight w:val="219"/>
        </w:trPr>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 operating leases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5760" w:type="dxa"/>
            <w:vAlign w:val="bottom"/>
          </w:tcPr>
          <w:p>
            <w:pPr>
              <w:ind w:left="100"/>
              <w:spacing w:after="0"/>
              <w:rPr>
                <w:sz w:val="20"/>
                <w:szCs w:val="20"/>
                <w:color w:val="auto"/>
              </w:rPr>
            </w:pPr>
            <w:r>
              <w:rPr>
                <w:rFonts w:ascii="Arial" w:cs="Arial" w:eastAsia="Arial" w:hAnsi="Arial"/>
                <w:sz w:val="16"/>
                <w:szCs w:val="16"/>
                <w:color w:val="auto"/>
              </w:rPr>
              <w:t>Amortization of finance leases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operating lease liabilities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5760" w:type="dxa"/>
            <w:vAlign w:val="bottom"/>
          </w:tcPr>
          <w:p>
            <w:pPr>
              <w:ind w:left="100"/>
              <w:spacing w:after="0"/>
              <w:rPr>
                <w:sz w:val="20"/>
                <w:szCs w:val="20"/>
                <w:color w:val="auto"/>
              </w:rPr>
            </w:pPr>
            <w:r>
              <w:rPr>
                <w:rFonts w:ascii="Arial" w:cs="Arial" w:eastAsia="Arial" w:hAnsi="Arial"/>
                <w:sz w:val="16"/>
                <w:szCs w:val="16"/>
                <w:color w:val="auto"/>
              </w:rPr>
              <w:t>Interest on hedged derivatives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net deferred tax assets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w:t>
            </w:r>
          </w:p>
        </w:tc>
        <w:tc>
          <w:tcPr>
            <w:tcW w:w="20" w:type="dxa"/>
            <w:vAlign w:val="bottom"/>
          </w:tcPr>
          <w:p>
            <w:pPr>
              <w:spacing w:after="0"/>
              <w:rPr>
                <w:sz w:val="19"/>
                <w:szCs w:val="19"/>
                <w:color w:val="auto"/>
              </w:rPr>
            </w:pPr>
          </w:p>
        </w:tc>
      </w:tr>
      <w:tr>
        <w:trPr>
          <w:trHeight w:val="213"/>
        </w:trPr>
        <w:tc>
          <w:tcPr>
            <w:tcW w:w="576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16,942</w:t>
            </w: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amortization</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20" w:type="dxa"/>
            <w:vAlign w:val="bottom"/>
          </w:tcPr>
          <w:p>
            <w:pPr>
              <w:spacing w:after="0"/>
              <w:rPr>
                <w:sz w:val="19"/>
                <w:szCs w:val="19"/>
                <w:color w:val="auto"/>
              </w:rPr>
            </w:pPr>
          </w:p>
        </w:tc>
      </w:tr>
      <w:tr>
        <w:trPr>
          <w:trHeight w:val="213"/>
        </w:trPr>
        <w:tc>
          <w:tcPr>
            <w:tcW w:w="5760" w:type="dxa"/>
            <w:vAlign w:val="bottom"/>
          </w:tcPr>
          <w:p>
            <w:pPr>
              <w:ind w:left="100"/>
              <w:spacing w:after="0"/>
              <w:rPr>
                <w:sz w:val="20"/>
                <w:szCs w:val="20"/>
                <w:color w:val="auto"/>
              </w:rPr>
            </w:pPr>
            <w:r>
              <w:rPr>
                <w:rFonts w:ascii="Arial" w:cs="Arial" w:eastAsia="Arial" w:hAnsi="Arial"/>
                <w:sz w:val="16"/>
                <w:szCs w:val="16"/>
                <w:color w:val="auto"/>
              </w:rPr>
              <w:t>Casualty (gain) loss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(9,217)</w:t>
            </w:r>
          </w:p>
        </w:tc>
      </w:tr>
      <w:tr>
        <w:trPr>
          <w:trHeight w:val="219"/>
        </w:trPr>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9"/>
                <w:szCs w:val="19"/>
                <w:color w:val="auto"/>
              </w:rPr>
            </w:pPr>
          </w:p>
        </w:tc>
      </w:tr>
      <w:tr>
        <w:trPr>
          <w:trHeight w:val="213"/>
        </w:trPr>
        <w:tc>
          <w:tcPr>
            <w:tcW w:w="5760" w:type="dxa"/>
            <w:vAlign w:val="bottom"/>
          </w:tcPr>
          <w:p>
            <w:pPr>
              <w:ind w:left="100"/>
              <w:spacing w:after="0"/>
              <w:rPr>
                <w:sz w:val="20"/>
                <w:szCs w:val="20"/>
                <w:color w:val="auto"/>
              </w:rPr>
            </w:pPr>
            <w:r>
              <w:rPr>
                <w:rFonts w:ascii="Arial" w:cs="Arial" w:eastAsia="Arial" w:hAnsi="Arial"/>
                <w:sz w:val="16"/>
                <w:szCs w:val="16"/>
                <w:i w:val="1"/>
                <w:iCs w:val="1"/>
                <w:color w:val="auto"/>
              </w:rPr>
              <w:t>Net changes in operating assets and liabilities: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Receivables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20" w:type="dxa"/>
            <w:vAlign w:val="bottom"/>
          </w:tcPr>
          <w:p>
            <w:pPr>
              <w:spacing w:after="0"/>
              <w:rPr>
                <w:sz w:val="19"/>
                <w:szCs w:val="19"/>
                <w:color w:val="auto"/>
              </w:rPr>
            </w:pPr>
          </w:p>
        </w:tc>
      </w:tr>
      <w:tr>
        <w:trPr>
          <w:trHeight w:val="213"/>
        </w:trPr>
        <w:tc>
          <w:tcPr>
            <w:tcW w:w="5760" w:type="dxa"/>
            <w:vAlign w:val="bottom"/>
          </w:tcPr>
          <w:p>
            <w:pPr>
              <w:ind w:left="320"/>
              <w:spacing w:after="0"/>
              <w:rPr>
                <w:sz w:val="20"/>
                <w:szCs w:val="20"/>
                <w:color w:val="auto"/>
              </w:rPr>
            </w:pPr>
            <w:r>
              <w:rPr>
                <w:rFonts w:ascii="Arial" w:cs="Arial" w:eastAsia="Arial" w:hAnsi="Arial"/>
                <w:sz w:val="16"/>
                <w:szCs w:val="16"/>
                <w:color w:val="auto"/>
              </w:rPr>
              <w:t>Prepaid and other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(2,761)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w:t>
            </w: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for accrued pension</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5760" w:type="dxa"/>
            <w:vAlign w:val="bottom"/>
          </w:tcPr>
          <w:p>
            <w:pPr>
              <w:ind w:left="32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(3,417)</w:t>
            </w:r>
          </w:p>
        </w:tc>
      </w:tr>
      <w:tr>
        <w:trPr>
          <w:trHeight w:val="219"/>
        </w:trPr>
        <w:tc>
          <w:tcPr>
            <w:tcW w:w="5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Film rent payable</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20" w:type="dxa"/>
            <w:vAlign w:val="bottom"/>
          </w:tcPr>
          <w:p>
            <w:pPr>
              <w:spacing w:after="0"/>
              <w:rPr>
                <w:sz w:val="19"/>
                <w:szCs w:val="19"/>
                <w:color w:val="auto"/>
              </w:rPr>
            </w:pPr>
          </w:p>
        </w:tc>
      </w:tr>
      <w:tr>
        <w:trPr>
          <w:trHeight w:val="213"/>
        </w:trPr>
        <w:tc>
          <w:tcPr>
            <w:tcW w:w="5760" w:type="dxa"/>
            <w:vAlign w:val="bottom"/>
          </w:tcPr>
          <w:p>
            <w:pPr>
              <w:ind w:left="320"/>
              <w:spacing w:after="0"/>
              <w:rPr>
                <w:sz w:val="20"/>
                <w:szCs w:val="20"/>
                <w:color w:val="auto"/>
              </w:rPr>
            </w:pPr>
            <w:r>
              <w:rPr>
                <w:rFonts w:ascii="Arial" w:cs="Arial" w:eastAsia="Arial" w:hAnsi="Arial"/>
                <w:sz w:val="16"/>
                <w:szCs w:val="16"/>
                <w:color w:val="auto"/>
              </w:rPr>
              <w:t>Taxes payable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(994)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(839)</w:t>
            </w:r>
          </w:p>
        </w:tc>
      </w:tr>
      <w:tr>
        <w:trPr>
          <w:trHeight w:val="216"/>
        </w:trPr>
        <w:tc>
          <w:tcPr>
            <w:tcW w:w="5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Deferred revenue and other liabilities</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(7,011)</w:t>
            </w:r>
          </w:p>
        </w:tc>
        <w:tc>
          <w:tcPr>
            <w:tcW w:w="20" w:type="dxa"/>
            <w:vAlign w:val="bottom"/>
          </w:tcPr>
          <w:p>
            <w:pPr>
              <w:spacing w:after="0"/>
              <w:rPr>
                <w:sz w:val="18"/>
                <w:szCs w:val="18"/>
                <w:color w:val="auto"/>
              </w:rPr>
            </w:pPr>
          </w:p>
        </w:tc>
      </w:tr>
      <w:tr>
        <w:trPr>
          <w:trHeight w:val="210"/>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24,607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32,645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23,851</w:t>
            </w:r>
          </w:p>
        </w:tc>
        <w:tc>
          <w:tcPr>
            <w:tcW w:w="20" w:type="dxa"/>
            <w:vAlign w:val="bottom"/>
          </w:tcPr>
          <w:p>
            <w:pPr>
              <w:spacing w:after="0"/>
              <w:rPr>
                <w:sz w:val="18"/>
                <w:szCs w:val="18"/>
                <w:color w:val="auto"/>
              </w:rPr>
            </w:pPr>
          </w:p>
        </w:tc>
      </w:tr>
      <w:tr>
        <w:trPr>
          <w:trHeight w:val="212"/>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Purchases of and additions to operating and investment properties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(45,709)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(63,529)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(65,903)</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business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Change in restricted cash</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Demolition costs of operating property</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20" w:type="dxa"/>
            <w:vAlign w:val="bottom"/>
          </w:tcPr>
          <w:p>
            <w:pPr>
              <w:spacing w:after="0"/>
              <w:rPr>
                <w:sz w:val="19"/>
                <w:szCs w:val="19"/>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Disposal of investment in unconsolidated joint ventures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(432)</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from unconsolidated joint ventures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9"/>
                <w:szCs w:val="19"/>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Cash settlement on insurance claim</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18,415</w:t>
            </w: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properties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44,677</w:t>
            </w:r>
          </w:p>
        </w:tc>
        <w:tc>
          <w:tcPr>
            <w:tcW w:w="20" w:type="dxa"/>
            <w:vAlign w:val="bottom"/>
          </w:tcPr>
          <w:p>
            <w:pPr>
              <w:spacing w:after="0"/>
              <w:rPr>
                <w:sz w:val="19"/>
                <w:szCs w:val="19"/>
                <w:color w:val="auto"/>
              </w:rPr>
            </w:pPr>
          </w:p>
        </w:tc>
      </w:tr>
      <w:tr>
        <w:trPr>
          <w:trHeight w:val="207"/>
        </w:trPr>
        <w:tc>
          <w:tcPr>
            <w:tcW w:w="5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(51,929)</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(64,855)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(6,786)</w:t>
            </w:r>
          </w:p>
        </w:tc>
        <w:tc>
          <w:tcPr>
            <w:tcW w:w="20" w:type="dxa"/>
            <w:vAlign w:val="bottom"/>
          </w:tcPr>
          <w:p>
            <w:pPr>
              <w:spacing w:after="0"/>
              <w:rPr>
                <w:sz w:val="17"/>
                <w:szCs w:val="17"/>
                <w:color w:val="auto"/>
              </w:rPr>
            </w:pPr>
          </w:p>
        </w:tc>
      </w:tr>
      <w:tr>
        <w:trPr>
          <w:trHeight w:val="212"/>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Repayment of long-term borrowings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(52,394)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(54,374)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(106,449)</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finance lease principle</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Proceeds from borrowings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90,507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90,895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91,030</w:t>
            </w: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Capitalized borrowing costs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9"/>
                <w:szCs w:val="19"/>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Repurchase of Class A nonvoting common stock</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(11,152)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(2,316)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(6,532)</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stock option exercises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9"/>
                <w:szCs w:val="19"/>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Noncontrolling interest contributions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 distributions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8"/>
                <w:szCs w:val="18"/>
                <w:color w:val="auto"/>
              </w:rPr>
            </w:pPr>
          </w:p>
        </w:tc>
      </w:tr>
      <w:tr>
        <w:trPr>
          <w:trHeight w:val="210"/>
        </w:trPr>
        <w:tc>
          <w:tcPr>
            <w:tcW w:w="5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26,008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(22,055)</w:t>
            </w:r>
          </w:p>
        </w:tc>
        <w:tc>
          <w:tcPr>
            <w:tcW w:w="20" w:type="dxa"/>
            <w:vAlign w:val="bottom"/>
          </w:tcPr>
          <w:p>
            <w:pPr>
              <w:spacing w:after="0"/>
              <w:rPr>
                <w:sz w:val="18"/>
                <w:szCs w:val="18"/>
                <w:color w:val="auto"/>
              </w:rPr>
            </w:pPr>
          </w:p>
        </w:tc>
      </w:tr>
      <w:tr>
        <w:trPr>
          <w:trHeight w:val="212"/>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on cash</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0" w:type="dxa"/>
            <w:vAlign w:val="bottom"/>
          </w:tcPr>
          <w:p>
            <w:pPr>
              <w:spacing w:after="0"/>
              <w:rPr>
                <w:sz w:val="18"/>
                <w:szCs w:val="18"/>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(5,349)</w:t>
            </w:r>
          </w:p>
        </w:tc>
      </w:tr>
      <w:tr>
        <w:trPr>
          <w:trHeight w:val="219"/>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the beginning of the year</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19,017</w:t>
            </w:r>
          </w:p>
        </w:tc>
        <w:tc>
          <w:tcPr>
            <w:tcW w:w="20" w:type="dxa"/>
            <w:vAlign w:val="bottom"/>
          </w:tcPr>
          <w:p>
            <w:pPr>
              <w:spacing w:after="0"/>
              <w:rPr>
                <w:sz w:val="19"/>
                <w:szCs w:val="19"/>
                <w:color w:val="auto"/>
              </w:rPr>
            </w:pPr>
          </w:p>
        </w:tc>
      </w:tr>
      <w:tr>
        <w:trPr>
          <w:trHeight w:val="20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12,135</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13,668</w:t>
            </w:r>
          </w:p>
        </w:tc>
        <w:tc>
          <w:tcPr>
            <w:tcW w:w="2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5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10,650</w:t>
            </w:r>
          </w:p>
        </w:tc>
        <w:tc>
          <w:tcPr>
            <w:tcW w:w="60" w:type="dxa"/>
            <w:vAlign w:val="bottom"/>
          </w:tcPr>
          <w:p>
            <w:pPr>
              <w:spacing w:after="0"/>
              <w:rPr>
                <w:sz w:val="18"/>
                <w:szCs w:val="18"/>
                <w:color w:val="auto"/>
              </w:rPr>
            </w:pPr>
          </w:p>
        </w:tc>
        <w:tc>
          <w:tcPr>
            <w:tcW w:w="3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8,035</w:t>
            </w:r>
          </w:p>
        </w:tc>
        <w:tc>
          <w:tcPr>
            <w:tcW w:w="80" w:type="dxa"/>
            <w:vAlign w:val="bottom"/>
          </w:tcPr>
          <w:p>
            <w:pPr>
              <w:spacing w:after="0"/>
              <w:rPr>
                <w:sz w:val="18"/>
                <w:szCs w:val="18"/>
                <w:color w:val="auto"/>
              </w:rPr>
            </w:pPr>
          </w:p>
        </w:tc>
        <w:tc>
          <w:tcPr>
            <w:tcW w:w="3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4,880</w:t>
            </w: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paid, net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9,245</w:t>
            </w:r>
          </w:p>
        </w:tc>
        <w:tc>
          <w:tcPr>
            <w:tcW w:w="20" w:type="dxa"/>
            <w:vAlign w:val="bottom"/>
          </w:tcPr>
          <w:p>
            <w:pPr>
              <w:spacing w:after="0"/>
              <w:rPr>
                <w:sz w:val="19"/>
                <w:szCs w:val="19"/>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Non-Cash Transactions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make-good accrual</w:t>
            </w:r>
          </w:p>
        </w:tc>
        <w:tc>
          <w:tcPr>
            <w:tcW w:w="5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In-kind exchange of stock for the exercise of options,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788</w:t>
            </w:r>
          </w:p>
        </w:tc>
        <w:tc>
          <w:tcPr>
            <w:tcW w:w="2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to long-term borrowings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0"/>
        </w:trPr>
        <w:tc>
          <w:tcPr>
            <w:tcW w:w="5760" w:type="dxa"/>
            <w:vAlign w:val="bottom"/>
          </w:tcPr>
          <w:p>
            <w:pPr>
              <w:ind w:left="220"/>
              <w:spacing w:after="0"/>
              <w:rPr>
                <w:sz w:val="20"/>
                <w:szCs w:val="20"/>
                <w:color w:val="auto"/>
              </w:rPr>
            </w:pPr>
            <w:r>
              <w:rPr>
                <w:rFonts w:ascii="Arial" w:cs="Arial" w:eastAsia="Arial" w:hAnsi="Arial"/>
                <w:sz w:val="16"/>
                <w:szCs w:val="16"/>
                <w:color w:val="auto"/>
              </w:rPr>
              <w:t>Additions to operating and investing properties through accrued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10,804</w:t>
            </w:r>
          </w:p>
        </w:tc>
        <w:tc>
          <w:tcPr>
            <w:tcW w:w="20" w:type="dxa"/>
            <w:vAlign w:val="bottom"/>
          </w:tcPr>
          <w:p>
            <w:pPr>
              <w:spacing w:after="0"/>
              <w:rPr>
                <w:sz w:val="18"/>
                <w:szCs w:val="18"/>
                <w:color w:val="auto"/>
              </w:rPr>
            </w:pPr>
          </w:p>
        </w:tc>
      </w:tr>
    </w:tbl>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r>
        <w:rPr>
          <w:rFonts w:ascii="Arial" w:cs="Arial" w:eastAsia="Arial" w:hAnsi="Arial"/>
          <w:sz w:val="14"/>
          <w:szCs w:val="14"/>
          <w:color w:val="auto"/>
        </w:rPr>
        <w:t>.</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33" w:right="97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and for Three Years Ended December 31, 2019</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________________________________________________________________________________________________________</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DESCRIPTION OF BUSINESS AND 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Reading International, Inc., a Nevada corporation (“RDI” and collectively with our consolidated subsidiaries and corporate predecessors, the “Company,” “Reading,” and “we,” “us,” or “our”), was incorporated in 1999. Our businesses consist primarily of:</w:t>
      </w:r>
    </w:p>
    <w:p>
      <w:pPr>
        <w:spacing w:after="0" w:line="25" w:lineRule="exact"/>
        <w:rPr>
          <w:sz w:val="20"/>
          <w:szCs w:val="20"/>
          <w:color w:val="auto"/>
        </w:rPr>
      </w:pPr>
    </w:p>
    <w:p>
      <w:pPr>
        <w:ind w:left="640" w:hanging="320"/>
        <w:spacing w:after="0"/>
        <w:tabs>
          <w:tab w:leader="none" w:pos="6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operation, development and ownership of multiplex cinemas in the United States, Australia, and New Zealand; and,</w:t>
      </w:r>
    </w:p>
    <w:p>
      <w:pPr>
        <w:spacing w:after="0" w:line="115" w:lineRule="exact"/>
        <w:rPr>
          <w:rFonts w:ascii="Arial" w:cs="Arial" w:eastAsia="Arial" w:hAnsi="Arial"/>
          <w:sz w:val="17"/>
          <w:szCs w:val="17"/>
          <w:color w:val="auto"/>
        </w:rPr>
      </w:pPr>
    </w:p>
    <w:p>
      <w:pPr>
        <w:ind w:left="640" w:right="360" w:hanging="320"/>
        <w:spacing w:after="0" w:line="277" w:lineRule="auto"/>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development, ownership, operation and/or rental of retail, commercial and live venue real estate assets in Australia, New Zealand, and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business is comprised of two operating segments, as follows: (i) cinema exhibition and (ii) real estate. Each of these segments has discrete and separate financial information and for which operating results are evaluated regularly by our Chief Executive Officer, the chief operating decision-maker of the Company. As part of our real estate segment, we have acquired, and continue to hold, raw land in urban and suburban centers in New Zealand, Australia and the United States.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tables below summarize the results of operations for each of our business segments. Operating expense includes costs associated with the day-to-day operations of the cinemas and the management of rental properties, including our live theatre assets.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2019</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2018</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60"/>
              <w:spacing w:after="0" w:line="117" w:lineRule="exact"/>
              <w:rPr>
                <w:sz w:val="20"/>
                <w:szCs w:val="20"/>
                <w:color w:val="auto"/>
              </w:rPr>
            </w:pPr>
            <w:r>
              <w:rPr>
                <w:rFonts w:ascii="Arial" w:cs="Arial" w:eastAsia="Arial" w:hAnsi="Arial"/>
                <w:sz w:val="13"/>
                <w:szCs w:val="13"/>
                <w:b w:val="1"/>
                <w:bCs w:val="1"/>
                <w:color w:val="auto"/>
                <w:w w:val="94"/>
              </w:rPr>
              <w:t>Real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87"/>
              </w:rPr>
              <w:t>Real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ind w:left="120"/>
              <w:spacing w:after="0" w:line="117" w:lineRule="exact"/>
              <w:rPr>
                <w:sz w:val="20"/>
                <w:szCs w:val="20"/>
                <w:color w:val="auto"/>
              </w:rPr>
            </w:pPr>
            <w:r>
              <w:rPr>
                <w:rFonts w:ascii="Arial" w:cs="Arial" w:eastAsia="Arial" w:hAnsi="Arial"/>
                <w:sz w:val="13"/>
                <w:szCs w:val="13"/>
                <w:b w:val="1"/>
                <w:bCs w:val="1"/>
                <w:color w:val="auto"/>
              </w:rPr>
              <w:t>Real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60"/>
        </w:trPr>
        <w:tc>
          <w:tcPr>
            <w:tcW w:w="20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Cinema</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Estate</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Cinema</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Estate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7"/>
              </w:rPr>
              <w:t>Cinema</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Estate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r>
      <w:tr>
        <w:trPr>
          <w:trHeight w:val="203"/>
        </w:trPr>
        <w:tc>
          <w:tcPr>
            <w:tcW w:w="2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 third party</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262,189</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14,579</w:t>
            </w:r>
          </w:p>
        </w:tc>
        <w:tc>
          <w:tcPr>
            <w:tcW w:w="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276,768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293,723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263,141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279,556</w:t>
            </w:r>
          </w:p>
        </w:tc>
      </w:tr>
      <w:tr>
        <w:trPr>
          <w:trHeight w:val="216"/>
        </w:trPr>
        <w:tc>
          <w:tcPr>
            <w:tcW w:w="2160" w:type="dxa"/>
            <w:vAlign w:val="bottom"/>
            <w:gridSpan w:val="2"/>
          </w:tcPr>
          <w:p>
            <w:pPr>
              <w:ind w:left="100"/>
              <w:spacing w:after="0"/>
              <w:rPr>
                <w:sz w:val="20"/>
                <w:szCs w:val="20"/>
                <w:color w:val="auto"/>
              </w:rPr>
            </w:pPr>
            <w:r>
              <w:rPr>
                <w:rFonts w:ascii="Arial" w:cs="Arial" w:eastAsia="Arial" w:hAnsi="Arial"/>
                <w:sz w:val="13"/>
                <w:szCs w:val="13"/>
                <w:color w:val="auto"/>
              </w:rPr>
              <w:t xml:space="preserve">Inter-segment revenue </w:t>
            </w:r>
            <w:r>
              <w:rPr>
                <w:rFonts w:ascii="Arial" w:cs="Arial" w:eastAsia="Arial" w:hAnsi="Arial"/>
                <w:sz w:val="14"/>
                <w:szCs w:val="14"/>
                <w:color w:val="auto"/>
                <w:vertAlign w:val="superscript"/>
              </w:rPr>
              <w:t>(1)</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7,326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7,573</w:t>
            </w:r>
          </w:p>
        </w:tc>
      </w:tr>
      <w:tr>
        <w:trPr>
          <w:trHeight w:val="209"/>
        </w:trPr>
        <w:tc>
          <w:tcPr>
            <w:tcW w:w="2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segment revenue</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262,189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21,905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284,094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293,723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24,235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317,958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263,141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287,129</w:t>
            </w:r>
          </w:p>
        </w:tc>
      </w:tr>
      <w:tr>
        <w:trPr>
          <w:trHeight w:val="216"/>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Operating expense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Expense - Third Party</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(210,050)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(219,503)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(225,791)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(9,904)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(235,695)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(207,447)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(9,436)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(216,883)</w:t>
            </w:r>
          </w:p>
        </w:tc>
      </w:tr>
      <w:tr>
        <w:trPr>
          <w:trHeight w:val="216"/>
        </w:trPr>
        <w:tc>
          <w:tcPr>
            <w:tcW w:w="2160" w:type="dxa"/>
            <w:vAlign w:val="bottom"/>
            <w:gridSpan w:val="2"/>
          </w:tcPr>
          <w:p>
            <w:pPr>
              <w:ind w:left="100"/>
              <w:spacing w:after="0"/>
              <w:rPr>
                <w:sz w:val="20"/>
                <w:szCs w:val="20"/>
                <w:color w:val="auto"/>
              </w:rPr>
            </w:pPr>
            <w:r>
              <w:rPr>
                <w:rFonts w:ascii="Arial" w:cs="Arial" w:eastAsia="Arial" w:hAnsi="Arial"/>
                <w:sz w:val="13"/>
                <w:szCs w:val="13"/>
                <w:color w:val="auto"/>
                <w:w w:val="93"/>
              </w:rPr>
              <w:t>Inter-Segment Operating Expense</w:t>
            </w:r>
            <w:r>
              <w:rPr>
                <w:rFonts w:ascii="Arial" w:cs="Arial" w:eastAsia="Arial" w:hAnsi="Arial"/>
                <w:sz w:val="14"/>
                <w:szCs w:val="14"/>
                <w:color w:val="auto"/>
                <w:w w:val="93"/>
                <w:vertAlign w:val="superscript"/>
              </w:rPr>
              <w:t>s (</w:t>
            </w:r>
            <w:r>
              <w:rPr>
                <w:rFonts w:ascii="Arial" w:cs="Arial" w:eastAsia="Arial" w:hAnsi="Arial"/>
                <w:sz w:val="13"/>
                <w:szCs w:val="13"/>
                <w:color w:val="auto"/>
                <w:w w:val="93"/>
              </w:rPr>
              <w:t>1)</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(7,326)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(7,326)</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(9,027)</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(9,027)</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(7,573)</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(7,573)</w:t>
            </w:r>
          </w:p>
        </w:tc>
      </w:tr>
      <w:tr>
        <w:trPr>
          <w:trHeight w:val="101"/>
        </w:trPr>
        <w:tc>
          <w:tcPr>
            <w:tcW w:w="2160" w:type="dxa"/>
            <w:vAlign w:val="bottom"/>
            <w:tcBorders>
              <w:top w:val="single" w:sz="8" w:color="CCEEFF"/>
            </w:tcBorders>
            <w:gridSpan w:val="2"/>
            <w:shd w:val="clear" w:color="auto" w:fill="CCEEFF"/>
          </w:tcPr>
          <w:p>
            <w:pPr>
              <w:ind w:left="100"/>
              <w:spacing w:after="0" w:line="101" w:lineRule="exact"/>
              <w:rPr>
                <w:sz w:val="20"/>
                <w:szCs w:val="20"/>
                <w:color w:val="auto"/>
              </w:rPr>
            </w:pPr>
            <w:r>
              <w:rPr>
                <w:rFonts w:ascii="Arial" w:cs="Arial" w:eastAsia="Arial" w:hAnsi="Arial"/>
                <w:sz w:val="10"/>
                <w:szCs w:val="10"/>
                <w:color w:val="auto"/>
              </w:rPr>
              <w:t>Total of services and products</w:t>
            </w:r>
          </w:p>
        </w:tc>
        <w:tc>
          <w:tcPr>
            <w:tcW w:w="1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r>
      <w:tr>
        <w:trPr>
          <w:trHeight w:val="135"/>
        </w:trPr>
        <w:tc>
          <w:tcPr>
            <w:tcW w:w="21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(excluding depreciation and</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49"/>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(217,376)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(9,453)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(226,829)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(234,818)</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(9,904)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(244,722)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(215,020)</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(9,436)</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(224,456)</w:t>
            </w:r>
          </w:p>
        </w:tc>
      </w:tr>
      <w:tr>
        <w:trPr>
          <w:trHeight w:val="216"/>
        </w:trPr>
        <w:tc>
          <w:tcPr>
            <w:tcW w:w="216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(16,940)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(5,393)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(22,333)</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(16,314)</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(5,567)</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(21,881)</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(12,213)</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(4,256)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(16,469)</w:t>
            </w:r>
          </w:p>
        </w:tc>
      </w:tr>
      <w:tr>
        <w:trPr>
          <w:trHeight w:val="216"/>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8"/>
              </w:rPr>
              <w:t>General and administrative expense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(6,462)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(2,326)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(6,050)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(3,261)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(5,401)</w:t>
            </w: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10"/>
        </w:trPr>
        <w:tc>
          <w:tcPr>
            <w:tcW w:w="2160" w:type="dxa"/>
            <w:vAlign w:val="bottom"/>
            <w:gridSpan w:val="2"/>
          </w:tcPr>
          <w:p>
            <w:pPr>
              <w:spacing w:after="0"/>
              <w:rPr>
                <w:sz w:val="20"/>
                <w:szCs w:val="20"/>
                <w:color w:val="auto"/>
              </w:rPr>
            </w:pPr>
            <w:r>
              <w:rPr>
                <w:rFonts w:ascii="Arial" w:cs="Arial" w:eastAsia="Arial" w:hAnsi="Arial"/>
                <w:sz w:val="13"/>
                <w:szCs w:val="13"/>
                <w:color w:val="auto"/>
              </w:rPr>
              <w:t>Total operating expense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(238,860)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(16,764)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(255,624)</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(254,856)</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(17,797)</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(272,653)</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(230,494)</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(15,832)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(246,326)</w:t>
            </w:r>
          </w:p>
        </w:tc>
      </w:tr>
      <w:tr>
        <w:trPr>
          <w:trHeight w:val="190"/>
        </w:trPr>
        <w:tc>
          <w:tcPr>
            <w:tcW w:w="2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Segment operating income (loss)</w:t>
            </w: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23,329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5,141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28,470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38,867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45,305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32,647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40,803</w:t>
            </w:r>
          </w:p>
        </w:tc>
      </w:tr>
    </w:tbl>
    <w:p>
      <w:pPr>
        <w:spacing w:after="0" w:line="130" w:lineRule="exact"/>
        <w:rPr>
          <w:sz w:val="20"/>
          <w:szCs w:val="20"/>
          <w:color w:val="auto"/>
        </w:rPr>
      </w:pPr>
    </w:p>
    <w:p>
      <w:pPr>
        <w:ind w:left="640" w:right="320" w:hanging="320"/>
        <w:spacing w:after="0" w:line="253" w:lineRule="auto"/>
        <w:tabs>
          <w:tab w:leader="none" w:pos="6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Inter-segment Revenues and Operating Expense relates to the internal charge between the two segments where the cinema operates within real estate owned within the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operating income to income before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40,803</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Unallocated corporate expense: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(18,933)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(21,287)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(19,947)</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Equity earnings of unconsolidated joint ventures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Casualty gain (loss)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9,217</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34,169</w:t>
            </w:r>
          </w:p>
        </w:tc>
        <w:tc>
          <w:tcPr>
            <w:tcW w:w="20" w:type="dxa"/>
            <w:vAlign w:val="bottom"/>
          </w:tcPr>
          <w:p>
            <w:pPr>
              <w:spacing w:after="0"/>
              <w:rPr>
                <w:sz w:val="18"/>
                <w:szCs w:val="18"/>
                <w:color w:val="auto"/>
              </w:rPr>
            </w:pPr>
          </w:p>
        </w:tc>
      </w:tr>
      <w:tr>
        <w:trPr>
          <w:trHeight w:val="648"/>
        </w:trPr>
        <w:tc>
          <w:tcPr>
            <w:tcW w:w="4820" w:type="dxa"/>
            <w:vAlign w:val="bottom"/>
          </w:tcPr>
          <w:p>
            <w:pPr>
              <w:ind w:left="47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0"/>
              <w:spacing w:after="0"/>
              <w:rPr>
                <w:sz w:val="20"/>
                <w:szCs w:val="20"/>
                <w:color w:val="auto"/>
              </w:rPr>
            </w:pPr>
            <w:r>
              <w:rPr>
                <w:rFonts w:ascii="Arial" w:cs="Arial" w:eastAsia="Arial" w:hAnsi="Arial"/>
                <w:sz w:val="18"/>
                <w:szCs w:val="18"/>
                <w:color w:val="auto"/>
              </w:rPr>
              <w:t>76 -</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8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333" w:right="959" w:bottom="1440" w:gutter="0" w:footer="0" w:header="0"/>
        </w:sectPr>
      </w:pPr>
    </w:p>
    <w:bookmarkStart w:id="77" w:name="page78"/>
    <w:bookmarkEnd w:id="77"/>
    <w:p>
      <w:pPr>
        <w:ind w:right="120"/>
        <w:spacing w:after="0" w:line="277" w:lineRule="auto"/>
        <w:rPr>
          <w:sz w:val="20"/>
          <w:szCs w:val="20"/>
          <w:color w:val="auto"/>
        </w:rPr>
      </w:pPr>
      <w:r>
        <w:rPr>
          <w:rFonts w:ascii="Arial" w:cs="Arial" w:eastAsia="Arial" w:hAnsi="Arial"/>
          <w:sz w:val="18"/>
          <w:szCs w:val="18"/>
          <w:color w:val="auto"/>
        </w:rPr>
        <w:t>Assuming cash and cash equivalents are accounted for as corporate assets, total assets by business segment and by country are presented as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By segment:</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Cinema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364,905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295,213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263,782</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36,605</w:t>
            </w:r>
          </w:p>
        </w:tc>
      </w:tr>
      <w:tr>
        <w:trPr>
          <w:trHeight w:val="217"/>
        </w:trPr>
        <w:tc>
          <w:tcPr>
            <w:tcW w:w="7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674,989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439,237</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By country: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356,191</w:t>
            </w:r>
          </w:p>
        </w:tc>
        <w:tc>
          <w:tcPr>
            <w:tcW w:w="16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220,986</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248,031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156,768</w:t>
            </w:r>
          </w:p>
        </w:tc>
      </w:tr>
      <w:tr>
        <w:trPr>
          <w:trHeight w:val="216"/>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New Zealand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70,767</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61,483</w:t>
            </w:r>
          </w:p>
        </w:tc>
      </w:tr>
      <w:tr>
        <w:trPr>
          <w:trHeight w:val="217"/>
        </w:trPr>
        <w:tc>
          <w:tcPr>
            <w:tcW w:w="7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674,989</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439,237</w:t>
            </w:r>
          </w:p>
        </w:tc>
      </w:tr>
    </w:tbl>
    <w:p>
      <w:pPr>
        <w:spacing w:after="0" w:line="197" w:lineRule="exact"/>
        <w:rPr>
          <w:sz w:val="20"/>
          <w:szCs w:val="20"/>
          <w:color w:val="auto"/>
        </w:rPr>
      </w:pPr>
    </w:p>
    <w:p>
      <w:pPr>
        <w:ind w:left="640" w:hanging="320"/>
        <w:spacing w:after="0"/>
        <w:tabs>
          <w:tab w:leader="none" w:pos="6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Corporate Assets includes cash and cash equivalents of $12.1 million and $13.1 million as of December 31, 2019 and 2018,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properties by country: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209"/>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Australia</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137,677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132,624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29,333</w:t>
            </w:r>
          </w:p>
        </w:tc>
      </w:tr>
      <w:tr>
        <w:trPr>
          <w:trHeight w:val="21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operating property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257,667</w:t>
            </w:r>
          </w:p>
        </w:tc>
      </w:tr>
      <w:tr>
        <w:trPr>
          <w:trHeight w:val="432"/>
        </w:trPr>
        <w:tc>
          <w:tcPr>
            <w:tcW w:w="7220" w:type="dxa"/>
            <w:vAlign w:val="bottom"/>
            <w:gridSpan w:val="5"/>
          </w:tcPr>
          <w:p>
            <w:pPr>
              <w:spacing w:after="0"/>
              <w:rPr>
                <w:sz w:val="20"/>
                <w:szCs w:val="20"/>
                <w:color w:val="auto"/>
              </w:rPr>
            </w:pPr>
            <w:r>
              <w:rPr>
                <w:rFonts w:ascii="Arial" w:cs="Arial" w:eastAsia="Arial" w:hAnsi="Arial"/>
                <w:sz w:val="18"/>
                <w:szCs w:val="18"/>
                <w:color w:val="auto"/>
                <w:w w:val="93"/>
              </w:rPr>
              <w:t>The table below summarizes capital expenditures for the three years ended December 31, 2019: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79"/>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Segment capital expenditures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56,795</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76,300</w:t>
            </w: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capital expenditures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capital expenditures</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47,722</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56,827</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247"/>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76,708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Consolidation</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(“U.S. GAAP”). These consolidated financial statements include the accounts of our wholly owned subsidiaries, which are RDGE, CRG, and CDL. We have also consolidated the following entities that are not wholly owned for which we have control:</w:t>
      </w:r>
    </w:p>
    <w:p>
      <w:pPr>
        <w:spacing w:after="0" w:line="65" w:lineRule="exact"/>
        <w:rPr>
          <w:sz w:val="20"/>
          <w:szCs w:val="20"/>
          <w:color w:val="auto"/>
        </w:rPr>
      </w:pPr>
    </w:p>
    <w:p>
      <w:pPr>
        <w:ind w:left="640" w:right="260" w:hanging="320"/>
        <w:spacing w:after="0" w:line="198" w:lineRule="auto"/>
        <w:tabs>
          <w:tab w:leader="none" w:pos="640" w:val="left"/>
        </w:tabs>
        <w:numPr>
          <w:ilvl w:val="0"/>
          <w:numId w:val="147"/>
        </w:numPr>
        <w:rPr>
          <w:rFonts w:ascii="Arial" w:cs="Arial" w:eastAsia="Arial" w:hAnsi="Arial"/>
          <w:sz w:val="29"/>
          <w:szCs w:val="29"/>
          <w:color w:val="auto"/>
          <w:vertAlign w:val="superscript"/>
        </w:rPr>
      </w:pPr>
      <w:r>
        <w:rPr>
          <w:rFonts w:ascii="Arial" w:cs="Arial" w:eastAsia="Arial" w:hAnsi="Arial"/>
          <w:sz w:val="18"/>
          <w:szCs w:val="18"/>
          <w:color w:val="auto"/>
        </w:rPr>
        <w:t>Australia Country Cinemas Pty, Limited, a company in which we own a 75% interest and whose only assets are our leasehold cinemas in Townsville and Dubbo, Australia;</w:t>
      </w:r>
    </w:p>
    <w:p>
      <w:pPr>
        <w:spacing w:after="0" w:line="80" w:lineRule="exact"/>
        <w:rPr>
          <w:rFonts w:ascii="Arial" w:cs="Arial" w:eastAsia="Arial" w:hAnsi="Arial"/>
          <w:sz w:val="29"/>
          <w:szCs w:val="29"/>
          <w:color w:val="auto"/>
          <w:vertAlign w:val="superscript"/>
        </w:rPr>
      </w:pPr>
    </w:p>
    <w:p>
      <w:pPr>
        <w:ind w:left="640" w:right="260" w:hanging="320"/>
        <w:spacing w:after="0" w:line="198" w:lineRule="auto"/>
        <w:tabs>
          <w:tab w:leader="none" w:pos="640" w:val="left"/>
        </w:tabs>
        <w:numPr>
          <w:ilvl w:val="0"/>
          <w:numId w:val="147"/>
        </w:numPr>
        <w:rPr>
          <w:rFonts w:ascii="Arial" w:cs="Arial" w:eastAsia="Arial" w:hAnsi="Arial"/>
          <w:sz w:val="29"/>
          <w:szCs w:val="29"/>
          <w:color w:val="auto"/>
          <w:vertAlign w:val="superscript"/>
        </w:rPr>
      </w:pPr>
      <w:r>
        <w:rPr>
          <w:rFonts w:ascii="Arial" w:cs="Arial" w:eastAsia="Arial" w:hAnsi="Arial"/>
          <w:sz w:val="18"/>
          <w:szCs w:val="18"/>
          <w:color w:val="auto"/>
        </w:rPr>
        <w:t>Sutton Hill Properties, LLC (“SHP”), a company based in New York in which we own a 75% interest and whose only asset is the fee interest in the Cinemas 1,2,3; and,</w:t>
      </w:r>
    </w:p>
    <w:p>
      <w:pPr>
        <w:spacing w:after="0" w:line="80" w:lineRule="exact"/>
        <w:rPr>
          <w:rFonts w:ascii="Arial" w:cs="Arial" w:eastAsia="Arial" w:hAnsi="Arial"/>
          <w:sz w:val="29"/>
          <w:szCs w:val="29"/>
          <w:color w:val="auto"/>
          <w:vertAlign w:val="superscript"/>
        </w:rPr>
      </w:pPr>
    </w:p>
    <w:p>
      <w:pPr>
        <w:ind w:left="640" w:right="140" w:hanging="320"/>
        <w:spacing w:after="0" w:line="198" w:lineRule="auto"/>
        <w:tabs>
          <w:tab w:leader="none" w:pos="640" w:val="left"/>
        </w:tabs>
        <w:numPr>
          <w:ilvl w:val="0"/>
          <w:numId w:val="147"/>
        </w:numPr>
        <w:rPr>
          <w:rFonts w:ascii="Arial" w:cs="Arial" w:eastAsia="Arial" w:hAnsi="Arial"/>
          <w:sz w:val="29"/>
          <w:szCs w:val="29"/>
          <w:color w:val="auto"/>
          <w:vertAlign w:val="superscript"/>
        </w:rPr>
      </w:pPr>
      <w:r>
        <w:rPr>
          <w:rFonts w:ascii="Arial" w:cs="Arial" w:eastAsia="Arial" w:hAnsi="Arial"/>
          <w:sz w:val="18"/>
          <w:szCs w:val="18"/>
          <w:color w:val="auto"/>
        </w:rPr>
        <w:t>Shadow View Land and Farming, LLC in which we own a 50% controlling membership interest and whose only asset is a 202-acre land parcel in Coachella, California.</w:t>
      </w:r>
    </w:p>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w:t>
      </w:r>
    </w:p>
    <w:p>
      <w:pPr>
        <w:spacing w:after="0" w:line="62" w:lineRule="exact"/>
        <w:rPr>
          <w:sz w:val="20"/>
          <w:szCs w:val="20"/>
          <w:color w:val="auto"/>
        </w:rPr>
      </w:pPr>
    </w:p>
    <w:p>
      <w:pPr>
        <w:ind w:left="640" w:right="720" w:hanging="320"/>
        <w:spacing w:after="0" w:line="198" w:lineRule="auto"/>
        <w:tabs>
          <w:tab w:leader="none" w:pos="640" w:val="left"/>
        </w:tabs>
        <w:numPr>
          <w:ilvl w:val="0"/>
          <w:numId w:val="148"/>
        </w:numPr>
        <w:rPr>
          <w:rFonts w:ascii="Arial" w:cs="Arial" w:eastAsia="Arial" w:hAnsi="Arial"/>
          <w:sz w:val="29"/>
          <w:szCs w:val="29"/>
          <w:color w:val="auto"/>
          <w:vertAlign w:val="superscript"/>
        </w:rPr>
      </w:pPr>
      <w:r>
        <w:rPr>
          <w:rFonts w:ascii="Arial" w:cs="Arial" w:eastAsia="Arial" w:hAnsi="Arial"/>
          <w:sz w:val="18"/>
          <w:szCs w:val="18"/>
          <w:color w:val="auto"/>
        </w:rPr>
        <w:t>33.3% undivided interest in the unincorporated joint venture that owns the Mt. Gravatt cinema in a suburb of Brisbane, Australia;</w:t>
      </w:r>
    </w:p>
    <w:p>
      <w:pPr>
        <w:ind w:left="640" w:hanging="320"/>
        <w:spacing w:after="0" w:line="223" w:lineRule="auto"/>
        <w:tabs>
          <w:tab w:leader="none" w:pos="640" w:val="left"/>
        </w:tabs>
        <w:numPr>
          <w:ilvl w:val="0"/>
          <w:numId w:val="148"/>
        </w:numPr>
        <w:rPr>
          <w:rFonts w:ascii="Arial" w:cs="Arial" w:eastAsia="Arial" w:hAnsi="Arial"/>
          <w:sz w:val="29"/>
          <w:szCs w:val="29"/>
          <w:color w:val="auto"/>
          <w:vertAlign w:val="superscript"/>
        </w:rPr>
      </w:pPr>
      <w:r>
        <w:rPr>
          <w:rFonts w:ascii="Arial" w:cs="Arial" w:eastAsia="Arial" w:hAnsi="Arial"/>
          <w:sz w:val="18"/>
          <w:szCs w:val="18"/>
          <w:color w:val="auto"/>
        </w:rPr>
        <w:t>50% undivided interest in the unincorporated joint venture that owns Rialto Cinemas in New Zealand.</w:t>
      </w:r>
    </w:p>
    <w:p>
      <w:pPr>
        <w:spacing w:after="0" w:line="200" w:lineRule="exact"/>
        <w:rPr>
          <w:rFonts w:ascii="Arial" w:cs="Arial" w:eastAsia="Arial" w:hAnsi="Arial"/>
          <w:sz w:val="29"/>
          <w:szCs w:val="29"/>
          <w:color w:val="auto"/>
          <w:vertAlign w:val="superscript"/>
        </w:rPr>
      </w:pPr>
    </w:p>
    <w:p>
      <w:pPr>
        <w:spacing w:after="0" w:line="218" w:lineRule="exact"/>
        <w:rPr>
          <w:rFonts w:ascii="Arial" w:cs="Arial" w:eastAsia="Arial" w:hAnsi="Arial"/>
          <w:sz w:val="29"/>
          <w:szCs w:val="29"/>
          <w:color w:val="auto"/>
          <w:vertAlign w:val="superscript"/>
        </w:rPr>
      </w:pPr>
    </w:p>
    <w:p>
      <w:pPr>
        <w:ind w:left="4880" w:hanging="156"/>
        <w:spacing w:after="0"/>
        <w:tabs>
          <w:tab w:leader="none" w:pos="48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78" w:name="page79"/>
    <w:bookmarkEnd w:id="78"/>
    <w:p>
      <w:pPr>
        <w:ind w:right="280"/>
        <w:spacing w:after="0" w:line="277" w:lineRule="auto"/>
        <w:rPr>
          <w:sz w:val="20"/>
          <w:szCs w:val="20"/>
          <w:color w:val="auto"/>
        </w:rPr>
      </w:pPr>
      <w:r>
        <w:rPr>
          <w:rFonts w:ascii="Arial" w:cs="Arial" w:eastAsia="Arial" w:hAnsi="Arial"/>
          <w:sz w:val="18"/>
          <w:szCs w:val="18"/>
          <w:color w:val="auto"/>
        </w:rPr>
        <w:t>We consider that we have control over our partially owned subsidiaries and joint venture interests (collectively “investee”) when these conditions exist:</w:t>
      </w:r>
    </w:p>
    <w:p>
      <w:pPr>
        <w:spacing w:after="0" w:line="170" w:lineRule="exact"/>
        <w:rPr>
          <w:sz w:val="20"/>
          <w:szCs w:val="20"/>
          <w:color w:val="auto"/>
        </w:rPr>
      </w:pPr>
    </w:p>
    <w:p>
      <w:pPr>
        <w:ind w:left="640" w:hanging="320"/>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we own a majority of the voting rights or interests of the investee (typically above 50%), or</w:t>
      </w:r>
    </w:p>
    <w:p>
      <w:pPr>
        <w:spacing w:after="0" w:line="23" w:lineRule="exact"/>
        <w:rPr>
          <w:rFonts w:ascii="Arial" w:cs="Arial" w:eastAsia="Arial" w:hAnsi="Arial"/>
          <w:sz w:val="18"/>
          <w:szCs w:val="18"/>
          <w:color w:val="auto"/>
        </w:rPr>
      </w:pPr>
    </w:p>
    <w:p>
      <w:pPr>
        <w:ind w:left="640" w:right="200" w:hanging="320"/>
        <w:spacing w:after="0" w:line="323" w:lineRule="auto"/>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case when we own less than the majority voting rights or interests, we have the power over the investee when the voting rights or interests are sufficient to give it the practical ability to direct the relevant activities of the investee unilaterally.</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considers all relevant facts and circumstances in assessing whether or not our voting rights in the investee are sufficient to give it power, including:</w:t>
      </w:r>
    </w:p>
    <w:p>
      <w:pPr>
        <w:spacing w:after="0" w:line="170" w:lineRule="exact"/>
        <w:rPr>
          <w:sz w:val="20"/>
          <w:szCs w:val="20"/>
          <w:color w:val="auto"/>
        </w:rPr>
      </w:pPr>
    </w:p>
    <w:p>
      <w:pPr>
        <w:ind w:left="640" w:hanging="320"/>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size of our voting rights and interests relative to the size and dispersion of holdings of other vote holders;</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potential voting rights and interests held by us;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rights and interests arising from other contractual arrangements;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additional other relevant facts.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the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 but are not limited to:</w:t>
      </w:r>
    </w:p>
    <w:p>
      <w:pPr>
        <w:spacing w:after="0" w:line="165" w:lineRule="exact"/>
        <w:rPr>
          <w:sz w:val="20"/>
          <w:szCs w:val="20"/>
          <w:color w:val="auto"/>
        </w:rPr>
      </w:pPr>
    </w:p>
    <w:p>
      <w:pPr>
        <w:ind w:left="640" w:hanging="320"/>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projections we make regarding the recoverability and impairment of our assets (including goodwill and intangibles);</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valuations of our derivative instruments;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allocation of insurance proceeds to various recoverable components;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recoverability of our deferred tax;</w:t>
      </w:r>
    </w:p>
    <w:p>
      <w:pPr>
        <w:spacing w:after="0" w:line="9" w:lineRule="exact"/>
        <w:rPr>
          <w:rFonts w:ascii="Arial" w:cs="Arial" w:eastAsia="Arial" w:hAnsi="Arial"/>
          <w:sz w:val="18"/>
          <w:szCs w:val="18"/>
          <w:color w:val="auto"/>
        </w:rPr>
      </w:pPr>
    </w:p>
    <w:p>
      <w:pPr>
        <w:ind w:left="640" w:right="160" w:hanging="320"/>
        <w:spacing w:after="0" w:line="250"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estimation of our Incremental Borrowing Rate (“IBR”) as relates to the valuation of our right-of-use assets and lease liabilities; and,</w:t>
      </w:r>
    </w:p>
    <w:p>
      <w:pPr>
        <w:ind w:left="640" w:hanging="320"/>
        <w:spacing w:after="0"/>
        <w:tabs>
          <w:tab w:leader="none" w:pos="6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estimation of gift card and gift certificate breakage where we have concluded that the likelihood of redemption is remote.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640" w:hanging="320"/>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Cinema Exhibition Segment (all net of related taxes):</w:t>
      </w:r>
    </w:p>
    <w:p>
      <w:pPr>
        <w:spacing w:after="0" w:line="104" w:lineRule="exact"/>
        <w:rPr>
          <w:sz w:val="20"/>
          <w:szCs w:val="20"/>
          <w:color w:val="auto"/>
        </w:rPr>
      </w:pPr>
    </w:p>
    <w:p>
      <w:pPr>
        <w:ind w:left="640" w:right="280" w:hanging="320"/>
        <w:spacing w:after="0" w:line="207" w:lineRule="auto"/>
        <w:tabs>
          <w:tab w:leader="none" w:pos="640" w:val="left"/>
        </w:tabs>
        <w:numPr>
          <w:ilvl w:val="0"/>
          <w:numId w:val="153"/>
        </w:numPr>
        <w:rPr>
          <w:rFonts w:ascii="Arial" w:cs="Arial" w:eastAsia="Arial" w:hAnsi="Arial"/>
          <w:sz w:val="28"/>
          <w:szCs w:val="28"/>
          <w:color w:val="auto"/>
          <w:vertAlign w:val="superscript"/>
        </w:rPr>
      </w:pPr>
      <w:r>
        <w:rPr>
          <w:rFonts w:ascii="Arial" w:cs="Arial" w:eastAsia="Arial" w:hAnsi="Arial"/>
          <w:sz w:val="17"/>
          <w:szCs w:val="17"/>
          <w:i w:val="1"/>
          <w:iCs w:val="1"/>
          <w:u w:val="single" w:color="auto"/>
          <w:color w:val="auto"/>
        </w:rPr>
        <w:t>Sales of Cinema tickets (excluding bulk and advanced ticket sales) and food and beverage (“F&amp;B”) sales</w:t>
      </w:r>
      <w:r>
        <w:rPr>
          <w:rFonts w:ascii="Arial" w:cs="Arial" w:eastAsia="Arial" w:hAnsi="Arial"/>
          <w:sz w:val="17"/>
          <w:szCs w:val="17"/>
          <w:i w:val="1"/>
          <w:iCs w:val="1"/>
          <w:color w:val="auto"/>
        </w:rPr>
        <w:t xml:space="preserve"> </w:t>
      </w:r>
      <w:r>
        <w:rPr>
          <w:rFonts w:ascii="Arial" w:cs="Arial" w:eastAsia="Arial" w:hAnsi="Arial"/>
          <w:sz w:val="17"/>
          <w:szCs w:val="17"/>
          <w:color w:val="auto"/>
        </w:rPr>
        <w:t>– recognized when</w:t>
      </w:r>
      <w:r>
        <w:rPr>
          <w:rFonts w:ascii="Arial" w:cs="Arial" w:eastAsia="Arial" w:hAnsi="Arial"/>
          <w:sz w:val="17"/>
          <w:szCs w:val="17"/>
          <w:i w:val="1"/>
          <w:iCs w:val="1"/>
          <w:color w:val="auto"/>
        </w:rPr>
        <w:t xml:space="preserve"> </w:t>
      </w:r>
      <w:r>
        <w:rPr>
          <w:rFonts w:ascii="Arial" w:cs="Arial" w:eastAsia="Arial" w:hAnsi="Arial"/>
          <w:sz w:val="17"/>
          <w:szCs w:val="17"/>
          <w:color w:val="auto"/>
        </w:rPr>
        <w:t>sold and collected, either in cash or credit card at our theatre locations and through our online selling channels;</w:t>
      </w:r>
    </w:p>
    <w:p>
      <w:pPr>
        <w:spacing w:after="0" w:line="80" w:lineRule="exact"/>
        <w:rPr>
          <w:rFonts w:ascii="Arial" w:cs="Arial" w:eastAsia="Arial" w:hAnsi="Arial"/>
          <w:sz w:val="28"/>
          <w:szCs w:val="28"/>
          <w:color w:val="auto"/>
          <w:vertAlign w:val="superscript"/>
        </w:rPr>
      </w:pPr>
    </w:p>
    <w:p>
      <w:pPr>
        <w:ind w:left="640" w:right="500" w:hanging="320"/>
        <w:spacing w:after="0" w:line="198" w:lineRule="auto"/>
        <w:tabs>
          <w:tab w:leader="none" w:pos="640" w:val="left"/>
        </w:tabs>
        <w:numPr>
          <w:ilvl w:val="0"/>
          <w:numId w:val="153"/>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Sales of Bulk and Advanced Cinema Ticket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 deferred and recognized as revenue when the promised performance or</w:t>
      </w:r>
      <w:r>
        <w:rPr>
          <w:rFonts w:ascii="Arial" w:cs="Arial" w:eastAsia="Arial" w:hAnsi="Arial"/>
          <w:sz w:val="18"/>
          <w:szCs w:val="18"/>
          <w:i w:val="1"/>
          <w:iCs w:val="1"/>
          <w:color w:val="auto"/>
        </w:rPr>
        <w:t xml:space="preserve"> </w:t>
      </w:r>
      <w:r>
        <w:rPr>
          <w:rFonts w:ascii="Arial" w:cs="Arial" w:eastAsia="Arial" w:hAnsi="Arial"/>
          <w:sz w:val="18"/>
          <w:szCs w:val="18"/>
          <w:color w:val="auto"/>
        </w:rPr>
        <w:t>movie that the ticket has been purchased for is shown;</w:t>
      </w:r>
    </w:p>
    <w:p>
      <w:pPr>
        <w:spacing w:after="0" w:line="80" w:lineRule="exact"/>
        <w:rPr>
          <w:rFonts w:ascii="Arial" w:cs="Arial" w:eastAsia="Arial" w:hAnsi="Arial"/>
          <w:sz w:val="29"/>
          <w:szCs w:val="29"/>
          <w:color w:val="auto"/>
          <w:vertAlign w:val="superscript"/>
        </w:rPr>
      </w:pPr>
    </w:p>
    <w:p>
      <w:pPr>
        <w:ind w:left="640" w:right="180" w:hanging="320"/>
        <w:spacing w:after="0" w:line="198" w:lineRule="auto"/>
        <w:tabs>
          <w:tab w:leader="none" w:pos="640" w:val="left"/>
        </w:tabs>
        <w:numPr>
          <w:ilvl w:val="0"/>
          <w:numId w:val="153"/>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Gift Cards and Gift Certificate Sales</w:t>
      </w:r>
      <w:r>
        <w:rPr>
          <w:rFonts w:ascii="Arial" w:cs="Arial" w:eastAsia="Arial" w:hAnsi="Arial"/>
          <w:sz w:val="18"/>
          <w:szCs w:val="18"/>
          <w:i w:val="1"/>
          <w:iCs w:val="1"/>
          <w:color w:val="auto"/>
        </w:rPr>
        <w:t xml:space="preserve"> </w:t>
      </w:r>
      <w:r>
        <w:rPr>
          <w:rFonts w:ascii="Arial" w:cs="Arial" w:eastAsia="Arial" w:hAnsi="Arial"/>
          <w:sz w:val="18"/>
          <w:szCs w:val="18"/>
          <w:color w:val="auto"/>
        </w:rPr>
        <w:t>– deferred and recognized as revenue when redeemed, except for the breakage portion,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80" w:lineRule="exact"/>
        <w:rPr>
          <w:rFonts w:ascii="Arial" w:cs="Arial" w:eastAsia="Arial" w:hAnsi="Arial"/>
          <w:sz w:val="29"/>
          <w:szCs w:val="29"/>
          <w:color w:val="auto"/>
          <w:vertAlign w:val="superscript"/>
        </w:rPr>
      </w:pPr>
    </w:p>
    <w:p>
      <w:pPr>
        <w:ind w:left="640" w:right="20" w:hanging="320"/>
        <w:spacing w:after="0" w:line="220" w:lineRule="auto"/>
        <w:tabs>
          <w:tab w:leader="none" w:pos="640" w:val="left"/>
        </w:tabs>
        <w:numPr>
          <w:ilvl w:val="0"/>
          <w:numId w:val="153"/>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Breakage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recognized for unredeemed cards and certificates using the proportional method, whereby breakage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is recognized in proportion to the pattern of rights exercised by the customer when the Company expects that it is probable that a significant revenue reversal would not occur for any estimated breakage amounts. This is based on a breakage ‘experience rate’ which is determined by historical redemption data;</w:t>
      </w:r>
    </w:p>
    <w:p>
      <w:pPr>
        <w:spacing w:after="0" w:line="83" w:lineRule="exact"/>
        <w:rPr>
          <w:rFonts w:ascii="Arial" w:cs="Arial" w:eastAsia="Arial" w:hAnsi="Arial"/>
          <w:sz w:val="29"/>
          <w:szCs w:val="29"/>
          <w:color w:val="auto"/>
          <w:vertAlign w:val="superscript"/>
        </w:rPr>
      </w:pPr>
    </w:p>
    <w:p>
      <w:pPr>
        <w:jc w:val="both"/>
        <w:ind w:left="640" w:hanging="320"/>
        <w:spacing w:after="0" w:line="220" w:lineRule="auto"/>
        <w:tabs>
          <w:tab w:leader="none" w:pos="640" w:val="left"/>
        </w:tabs>
        <w:numPr>
          <w:ilvl w:val="0"/>
          <w:numId w:val="153"/>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Loyalty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a component of revenue from members of our loyalty programs relating to the earning of loyalty rewards is</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until such a time as members redeem rewards, or until we believe the likelihood of redemption by the member is remote. Deferral is based on the progress made toward the next reward, the fair value of that reward, and the likelihood of redemption, determined by historical redemption data, and;</w:t>
      </w:r>
    </w:p>
    <w:p>
      <w:pPr>
        <w:spacing w:after="0" w:line="83" w:lineRule="exact"/>
        <w:rPr>
          <w:rFonts w:ascii="Arial" w:cs="Arial" w:eastAsia="Arial" w:hAnsi="Arial"/>
          <w:sz w:val="29"/>
          <w:szCs w:val="29"/>
          <w:color w:val="auto"/>
          <w:vertAlign w:val="superscript"/>
        </w:rPr>
      </w:pPr>
    </w:p>
    <w:p>
      <w:pPr>
        <w:ind w:left="640" w:right="100" w:hanging="320"/>
        <w:spacing w:after="0" w:line="198" w:lineRule="auto"/>
        <w:tabs>
          <w:tab w:leader="none" w:pos="640" w:val="left"/>
        </w:tabs>
        <w:numPr>
          <w:ilvl w:val="0"/>
          <w:numId w:val="153"/>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Advertising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recognized based on contractual arrangements or relevant admissions information, as appropriate,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performance obligation is satisfied.</w:t>
      </w:r>
    </w:p>
    <w:p>
      <w:pPr>
        <w:spacing w:after="0" w:line="202" w:lineRule="exact"/>
        <w:rPr>
          <w:sz w:val="20"/>
          <w:szCs w:val="20"/>
          <w:color w:val="auto"/>
        </w:rPr>
      </w:pPr>
    </w:p>
    <w:p>
      <w:pPr>
        <w:ind w:left="640" w:hanging="320"/>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Real Estate Segment:</w:t>
      </w:r>
    </w:p>
    <w:p>
      <w:pPr>
        <w:spacing w:after="0" w:line="104" w:lineRule="exact"/>
        <w:rPr>
          <w:sz w:val="20"/>
          <w:szCs w:val="20"/>
          <w:color w:val="auto"/>
        </w:rPr>
      </w:pPr>
    </w:p>
    <w:p>
      <w:pPr>
        <w:jc w:val="both"/>
        <w:ind w:left="640" w:right="40" w:hanging="320"/>
        <w:spacing w:after="0" w:line="212" w:lineRule="auto"/>
        <w:tabs>
          <w:tab w:leader="none" w:pos="640" w:val="left"/>
        </w:tabs>
        <w:numPr>
          <w:ilvl w:val="0"/>
          <w:numId w:val="155"/>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Property Rentals</w:t>
      </w:r>
      <w:r>
        <w:rPr>
          <w:rFonts w:ascii="Arial" w:cs="Arial" w:eastAsia="Arial" w:hAnsi="Arial"/>
          <w:sz w:val="18"/>
          <w:szCs w:val="18"/>
          <w:i w:val="1"/>
          <w:iCs w:val="1"/>
          <w:color w:val="auto"/>
        </w:rPr>
        <w:t xml:space="preserve"> </w:t>
      </w:r>
      <w:r>
        <w:rPr>
          <w:rFonts w:ascii="Arial" w:cs="Arial" w:eastAsia="Arial" w:hAnsi="Arial"/>
          <w:sz w:val="18"/>
          <w:szCs w:val="18"/>
          <w:color w:val="auto"/>
        </w:rPr>
        <w:t>–we contractually retain substantially all of the risks and benefits of ownership of our real estate properties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account for our tenant leases as operating leases. Accordingly, rental revenue is recognized on a straight-line basis over the lease term; and,</w:t>
      </w:r>
    </w:p>
    <w:p>
      <w:pPr>
        <w:spacing w:after="0" w:line="82" w:lineRule="exact"/>
        <w:rPr>
          <w:rFonts w:ascii="Arial" w:cs="Arial" w:eastAsia="Arial" w:hAnsi="Arial"/>
          <w:sz w:val="29"/>
          <w:szCs w:val="29"/>
          <w:color w:val="auto"/>
          <w:vertAlign w:val="superscript"/>
        </w:rPr>
      </w:pPr>
    </w:p>
    <w:p>
      <w:pPr>
        <w:ind w:left="640" w:right="220" w:hanging="320"/>
        <w:spacing w:after="0" w:line="212" w:lineRule="auto"/>
        <w:tabs>
          <w:tab w:leader="none" w:pos="640" w:val="left"/>
        </w:tabs>
        <w:numPr>
          <w:ilvl w:val="0"/>
          <w:numId w:val="155"/>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Live Theatre License Fees</w:t>
      </w:r>
      <w:r>
        <w:rPr>
          <w:rFonts w:ascii="Arial" w:cs="Arial" w:eastAsia="Arial" w:hAnsi="Arial"/>
          <w:sz w:val="18"/>
          <w:szCs w:val="18"/>
          <w:i w:val="1"/>
          <w:iCs w:val="1"/>
          <w:color w:val="auto"/>
        </w:rPr>
        <w:t xml:space="preserve"> </w:t>
      </w:r>
      <w:r>
        <w:rPr>
          <w:rFonts w:ascii="Arial" w:cs="Arial" w:eastAsia="Arial" w:hAnsi="Arial"/>
          <w:sz w:val="18"/>
          <w:szCs w:val="18"/>
          <w:color w:val="auto"/>
        </w:rPr>
        <w:t>– we have real property interest in and license theatre space to third parties for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theatrical productions. Revenue is recognized in accordance with the license agreement, and is typically recorded on a weekly basis after the performance of a show has occurred.</w:t>
      </w:r>
    </w:p>
    <w:p>
      <w:pPr>
        <w:spacing w:after="0" w:line="203" w:lineRule="exact"/>
        <w:rPr>
          <w:rFonts w:ascii="Arial" w:cs="Arial" w:eastAsia="Arial" w:hAnsi="Arial"/>
          <w:sz w:val="29"/>
          <w:szCs w:val="29"/>
          <w:color w:val="auto"/>
          <w:vertAlign w:val="superscript"/>
        </w:rPr>
      </w:pPr>
    </w:p>
    <w:p>
      <w:pPr>
        <w:ind w:left="4880" w:hanging="156"/>
        <w:spacing w:after="0"/>
        <w:tabs>
          <w:tab w:leader="none" w:pos="48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consider all highly liquid investments with original maturities of three months or less at the time of purchase as cash equivalents for which cost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receivables balance is composed primarily of credit card and booking agent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sales tax refund receivable from our Australian taxing authorities, rents receivable from our third-party tenants, and the management fee receivable from the managed cinemas and property damage insurance recovery proceeds. We have no history of significant bad debt losses and we have established an allowance for accounts that we deem uncollectible.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Inventory is composed of food and beverage items in our theater operation and books and associated stationery items at our State Cinema bookstore, and is stated at the lower of cost (first-in, first-out method) or net realizable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Restricted cash includes those cash accounts for which the use of funds is restricted by any contract or bank covenant. At December 31, 2019 and 2018, our restricted cash balance, included as part of prepaid and other current assets, was $7,000 and $1.3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 Financial Instruments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time to time, we purchase interest rate derivative instruments to hedge the interest rate risk that results from the variability of our floating-rate borrowings. Our use of derivative transactions is intended to reduce long-term fluctuations in cash flows caused by market movements. Derivative instruments are recorded on the balance sheet at fair value with changes in fair value through interest expense in the Consolidated Statements of Operations or, in the case of accounting hedges, in Other Comprehensive Income and then reclassified into interest expense in the same period(s) during which the hedged transactions affect earnings. The cash flows from interest rate derivatives are classified as cashflows provided by operating activities in the Consolidated Cashflow Statement, as are the hedged transactions. As of December 31, 2019 and 2018 we have unfavorable derivative positions designated as accounting hedges of $342,000 and $186,000,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Properties, net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Operating Properties consist of land, buildings and improvements, leasehold improvements, fixtures and equipment, which we use to derive operating income associated with our two 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they improve or extend the lives of the respective assets and/or provide long-term future net cash inflows, including the potential for cost savings.</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and amortization are provided using the straight-line method over the estimated useful lives of the assets. The estimated useful lives are generally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Building and improvements</w:t>
            </w:r>
          </w:p>
        </w:tc>
        <w:tc>
          <w:tcPr>
            <w:tcW w:w="73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15 – 60 years</w:t>
            </w:r>
          </w:p>
        </w:tc>
      </w:tr>
      <w:tr>
        <w:trPr>
          <w:trHeight w:val="149"/>
        </w:trPr>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Leasehold improvements</w:t>
            </w:r>
          </w:p>
        </w:tc>
        <w:tc>
          <w:tcPr>
            <w:tcW w:w="7300" w:type="dxa"/>
            <w:vAlign w:val="bottom"/>
          </w:tcPr>
          <w:p>
            <w:pPr>
              <w:ind w:left="920"/>
              <w:spacing w:after="0" w:line="149" w:lineRule="exact"/>
              <w:rPr>
                <w:sz w:val="20"/>
                <w:szCs w:val="20"/>
                <w:color w:val="auto"/>
              </w:rPr>
            </w:pPr>
            <w:r>
              <w:rPr>
                <w:rFonts w:ascii="Arial" w:cs="Arial" w:eastAsia="Arial" w:hAnsi="Arial"/>
                <w:sz w:val="14"/>
                <w:szCs w:val="14"/>
                <w:color w:val="auto"/>
              </w:rPr>
              <w:t>Shorter of the lease term or useful life of the improvement</w:t>
            </w:r>
          </w:p>
        </w:tc>
      </w:tr>
      <w:tr>
        <w:trPr>
          <w:trHeight w:val="148"/>
        </w:trPr>
        <w:tc>
          <w:tcPr>
            <w:tcW w:w="2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Theater equipment</w:t>
            </w:r>
          </w:p>
        </w:tc>
        <w:tc>
          <w:tcPr>
            <w:tcW w:w="7300" w:type="dxa"/>
            <w:vAlign w:val="bottom"/>
            <w:shd w:val="clear" w:color="auto" w:fill="CCEEFF"/>
          </w:tcPr>
          <w:p>
            <w:pPr>
              <w:ind w:left="920"/>
              <w:spacing w:after="0" w:line="149" w:lineRule="exact"/>
              <w:rPr>
                <w:sz w:val="20"/>
                <w:szCs w:val="20"/>
                <w:color w:val="auto"/>
              </w:rPr>
            </w:pPr>
            <w:r>
              <w:rPr>
                <w:rFonts w:ascii="Arial" w:cs="Arial" w:eastAsia="Arial" w:hAnsi="Arial"/>
                <w:sz w:val="14"/>
                <w:szCs w:val="14"/>
                <w:color w:val="auto"/>
              </w:rPr>
              <w:t>7 years</w:t>
            </w:r>
          </w:p>
        </w:tc>
      </w:tr>
      <w:tr>
        <w:trPr>
          <w:trHeight w:val="182"/>
        </w:trPr>
        <w:tc>
          <w:tcPr>
            <w:tcW w:w="2640" w:type="dxa"/>
            <w:vAlign w:val="bottom"/>
          </w:tcPr>
          <w:p>
            <w:pPr>
              <w:ind w:left="120"/>
              <w:spacing w:after="0"/>
              <w:rPr>
                <w:sz w:val="20"/>
                <w:szCs w:val="20"/>
                <w:color w:val="auto"/>
              </w:rPr>
            </w:pPr>
            <w:r>
              <w:rPr>
                <w:rFonts w:ascii="Arial" w:cs="Arial" w:eastAsia="Arial" w:hAnsi="Arial"/>
                <w:sz w:val="14"/>
                <w:szCs w:val="14"/>
                <w:color w:val="auto"/>
              </w:rPr>
              <w:t>Furniture and fixtures</w:t>
            </w:r>
          </w:p>
        </w:tc>
        <w:tc>
          <w:tcPr>
            <w:tcW w:w="7300" w:type="dxa"/>
            <w:vAlign w:val="bottom"/>
          </w:tcPr>
          <w:p>
            <w:pPr>
              <w:ind w:left="920"/>
              <w:spacing w:after="0"/>
              <w:rPr>
                <w:sz w:val="20"/>
                <w:szCs w:val="20"/>
                <w:color w:val="auto"/>
              </w:rPr>
            </w:pPr>
            <w:r>
              <w:rPr>
                <w:rFonts w:ascii="Arial" w:cs="Arial" w:eastAsia="Arial" w:hAnsi="Arial"/>
                <w:sz w:val="14"/>
                <w:szCs w:val="14"/>
                <w:color w:val="auto"/>
              </w:rPr>
              <w:t>3 – 10 years</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and Development Properties, net</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Investment and Development Properties consist of land,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this category are building and improvement costs directly associated with the development of potential cinemas (whether for sale or lease), the development of entertainment-themed centers (“ETCs”), or other improvements to real property.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80" w:name="page81"/>
    <w:bookmarkEnd w:id="80"/>
    <w:p>
      <w:pPr>
        <w:ind w:right="240"/>
        <w:spacing w:after="0" w:line="277" w:lineRule="auto"/>
        <w:rPr>
          <w:sz w:val="20"/>
          <w:szCs w:val="20"/>
          <w:color w:val="auto"/>
        </w:rPr>
      </w:pPr>
      <w:r>
        <w:rPr>
          <w:rFonts w:ascii="Arial" w:cs="Arial" w:eastAsia="Arial" w:hAnsi="Arial"/>
          <w:sz w:val="18"/>
          <w:szCs w:val="18"/>
          <w:color w:val="auto"/>
        </w:rPr>
        <w:t>curtailed. However, we do not suspend cost capitalization for brief interruptions and interruptions that are externally imposed, such as mandates from governmental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Long-Lived Assets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review internal management reports on a monthly basis as well as monitor current and potential future competition in film markets for indications of potential impairment.</w:t>
      </w:r>
    </w:p>
    <w:p>
      <w:pPr>
        <w:spacing w:after="0" w:line="170" w:lineRule="exact"/>
        <w:rPr>
          <w:sz w:val="20"/>
          <w:szCs w:val="20"/>
          <w:color w:val="auto"/>
        </w:rPr>
      </w:pPr>
    </w:p>
    <w:p>
      <w:pPr>
        <w:ind w:left="640" w:hanging="320"/>
        <w:spacing w:after="0" w:line="270" w:lineRule="auto"/>
        <w:tabs>
          <w:tab w:leader="none" w:pos="640" w:val="left"/>
        </w:tabs>
        <w:numPr>
          <w:ilvl w:val="0"/>
          <w:numId w:val="1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Impairment of Long-lived Assets (other than Goodwill and Intangible Assets with indefinite lives) – </w:t>
      </w:r>
      <w:r>
        <w:rPr>
          <w:rFonts w:ascii="Arial" w:cs="Arial" w:eastAsia="Arial" w:hAnsi="Arial"/>
          <w:sz w:val="17"/>
          <w:szCs w:val="17"/>
          <w:color w:val="auto"/>
        </w:rPr>
        <w:t>we evaluate our long-lived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Following the adoption of Accounting Standards Codification 842 </w:t>
      </w:r>
      <w:r>
        <w:rPr>
          <w:rFonts w:ascii="Arial" w:cs="Arial" w:eastAsia="Arial" w:hAnsi="Arial"/>
          <w:sz w:val="17"/>
          <w:szCs w:val="17"/>
          <w:i w:val="1"/>
          <w:iCs w:val="1"/>
          <w:color w:val="auto"/>
        </w:rPr>
        <w:t>Leases</w:t>
      </w:r>
      <w:r>
        <w:rPr>
          <w:rFonts w:ascii="Arial" w:cs="Arial" w:eastAsia="Arial" w:hAnsi="Arial"/>
          <w:sz w:val="17"/>
          <w:szCs w:val="17"/>
          <w:color w:val="auto"/>
        </w:rPr>
        <w:t>, we include all relevant right-of-use assets in our impairment assessments, and exclude the related lease liabilities and payments. For certain non-income producing properties or for those assets with no consistent historical or projected cash flows, we obtain appraisals or other evidence to evaluate whether there are impairment indicators for these assets.</w:t>
      </w:r>
    </w:p>
    <w:p>
      <w:pPr>
        <w:spacing w:after="0" w:line="180" w:lineRule="exact"/>
        <w:rPr>
          <w:rFonts w:ascii="Arial" w:cs="Arial" w:eastAsia="Arial" w:hAnsi="Arial"/>
          <w:sz w:val="17"/>
          <w:szCs w:val="17"/>
          <w:i w:val="1"/>
          <w:iCs w:val="1"/>
          <w:color w:val="auto"/>
        </w:rPr>
      </w:pPr>
    </w:p>
    <w:p>
      <w:pPr>
        <w:ind w:left="640" w:right="80"/>
        <w:spacing w:after="0" w:line="286" w:lineRule="auto"/>
        <w:rPr>
          <w:rFonts w:ascii="Arial" w:cs="Arial" w:eastAsia="Arial" w:hAnsi="Arial"/>
          <w:sz w:val="17"/>
          <w:szCs w:val="17"/>
          <w:i w:val="1"/>
          <w:iCs w:val="1"/>
          <w:color w:val="auto"/>
        </w:rPr>
      </w:pPr>
      <w:r>
        <w:rPr>
          <w:rFonts w:ascii="Arial" w:cs="Arial" w:eastAsia="Arial" w:hAnsi="Arial"/>
          <w:sz w:val="16"/>
          <w:szCs w:val="16"/>
          <w:color w:val="auto"/>
        </w:rPr>
        <w:t xml:space="preserve">No impairment losses were recorded for long-lived and finite-lived intangible assets for the three years ended December 31, 2019, based on historical information and projected cash flow. We recorded a write-down of the carrying amount of our parking structure adjacent to our Courtenay Central ETC in Wellington, New Zealand due to earthquake damage during the Fourth Quarter of 2016, which was subsequently fully recovered through the final insurance settlement in May 2017. Refer to </w:t>
      </w:r>
      <w:r>
        <w:rPr>
          <w:rFonts w:ascii="Arial" w:cs="Arial" w:eastAsia="Arial" w:hAnsi="Arial"/>
          <w:sz w:val="16"/>
          <w:szCs w:val="16"/>
          <w:i w:val="1"/>
          <w:iCs w:val="1"/>
          <w:color w:val="auto"/>
        </w:rPr>
        <w:t>Note 21</w:t>
      </w:r>
    </w:p>
    <w:p>
      <w:pPr>
        <w:spacing w:after="0" w:line="1" w:lineRule="exact"/>
        <w:rPr>
          <w:rFonts w:ascii="Arial" w:cs="Arial" w:eastAsia="Arial" w:hAnsi="Arial"/>
          <w:sz w:val="17"/>
          <w:szCs w:val="17"/>
          <w:i w:val="1"/>
          <w:iCs w:val="1"/>
          <w:color w:val="auto"/>
        </w:rPr>
      </w:pPr>
    </w:p>
    <w:p>
      <w:pPr>
        <w:ind w:left="640"/>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 Insurance Recoveries on Impairment and Related Losses due to Earthquake </w:t>
      </w:r>
      <w:r>
        <w:rPr>
          <w:rFonts w:ascii="Arial" w:cs="Arial" w:eastAsia="Arial" w:hAnsi="Arial"/>
          <w:sz w:val="18"/>
          <w:szCs w:val="18"/>
          <w:color w:val="auto"/>
        </w:rPr>
        <w:t>for further details.</w:t>
      </w:r>
    </w:p>
    <w:p>
      <w:pPr>
        <w:spacing w:after="0" w:line="210" w:lineRule="exact"/>
        <w:rPr>
          <w:rFonts w:ascii="Arial" w:cs="Arial" w:eastAsia="Arial" w:hAnsi="Arial"/>
          <w:sz w:val="17"/>
          <w:szCs w:val="17"/>
          <w:i w:val="1"/>
          <w:iCs w:val="1"/>
          <w:color w:val="auto"/>
        </w:rPr>
      </w:pPr>
    </w:p>
    <w:p>
      <w:pPr>
        <w:ind w:left="640" w:right="60" w:hanging="320"/>
        <w:spacing w:after="0" w:line="273" w:lineRule="auto"/>
        <w:tabs>
          <w:tab w:leader="none" w:pos="640" w:val="left"/>
        </w:tabs>
        <w:numPr>
          <w:ilvl w:val="0"/>
          <w:numId w:val="1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Impairment of Goodwill and Intangible Assets with indefinite lives – </w:t>
      </w:r>
      <w:r>
        <w:rPr>
          <w:rFonts w:ascii="Arial" w:cs="Arial" w:eastAsia="Arial" w:hAnsi="Arial"/>
          <w:sz w:val="17"/>
          <w:szCs w:val="17"/>
          <w:color w:val="auto"/>
        </w:rPr>
        <w:t>goodwill and intangible assets with indefinite useful lives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amortized, but instead, tested for impairment at least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78"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No impairment losses were recorded for goodwill and indefinite-lived intangible assets for the three years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Variable Interest Entity</w:t>
      </w:r>
    </w:p>
    <w:p>
      <w:pPr>
        <w:spacing w:after="0" w:line="21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Reading International Trust I is a VIE. It is not consolidated in our financial statements because we are not the primary beneficiary. We carry our investment in the Reading International Trust I, recorded under “</w:t>
      </w:r>
      <w:r>
        <w:rPr>
          <w:rFonts w:ascii="Arial" w:cs="Arial" w:eastAsia="Arial" w:hAnsi="Arial"/>
          <w:sz w:val="18"/>
          <w:szCs w:val="18"/>
          <w:i w:val="1"/>
          <w:iCs w:val="1"/>
          <w:color w:val="auto"/>
        </w:rPr>
        <w:t>Other Assets”</w:t>
      </w:r>
      <w:r>
        <w:rPr>
          <w:rFonts w:ascii="Arial" w:cs="Arial" w:eastAsia="Arial" w:hAnsi="Arial"/>
          <w:sz w:val="18"/>
          <w:szCs w:val="18"/>
          <w:color w:val="auto"/>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Held for Sale</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As of December 31, 2016, we classified our landholding in Burwood, Australia as land held for sale as a result of a sale transaction on May 12, 2014. This transaction closed during December 2017. Refer to </w:t>
      </w:r>
      <w:r>
        <w:rPr>
          <w:rFonts w:ascii="Arial" w:cs="Arial" w:eastAsia="Arial" w:hAnsi="Arial"/>
          <w:sz w:val="17"/>
          <w:szCs w:val="17"/>
          <w:i w:val="1"/>
          <w:iCs w:val="1"/>
          <w:color w:val="auto"/>
        </w:rPr>
        <w:t>Note 4 – Real Estate Transactions</w:t>
      </w:r>
      <w:r>
        <w:rPr>
          <w:rFonts w:ascii="Arial" w:cs="Arial" w:eastAsia="Arial" w:hAnsi="Arial"/>
          <w:sz w:val="17"/>
          <w:szCs w:val="17"/>
          <w:color w:val="auto"/>
        </w:rPr>
        <w:t xml:space="preserve"> for details.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u w:val="single" w:color="auto"/>
          <w:color w:val="auto"/>
        </w:rPr>
        <w:t>Deferred Leasing/Financing Costs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 Net deferred financing costs are presented as a reduction in the associated debt account (see </w:t>
      </w:r>
      <w:r>
        <w:rPr>
          <w:rFonts w:ascii="Arial" w:cs="Arial" w:eastAsia="Arial" w:hAnsi="Arial"/>
          <w:sz w:val="17"/>
          <w:szCs w:val="17"/>
          <w:i w:val="1"/>
          <w:iCs w:val="1"/>
          <w:color w:val="auto"/>
        </w:rPr>
        <w:t>Note 10 – Borrowings</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Film Rental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Film rental costs are accrued based on the applicable box office receipts and estimates of the final settlement to the film licensors.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Advertising Expense</w:t>
      </w:r>
    </w:p>
    <w:p>
      <w:pPr>
        <w:spacing w:after="0" w:line="225" w:lineRule="exact"/>
        <w:rPr>
          <w:sz w:val="20"/>
          <w:szCs w:val="20"/>
          <w:color w:val="auto"/>
        </w:rPr>
      </w:pPr>
    </w:p>
    <w:p>
      <w:pPr>
        <w:ind w:left="40" w:right="240" w:hanging="44"/>
        <w:spacing w:after="0" w:line="277" w:lineRule="auto"/>
        <w:rPr>
          <w:sz w:val="20"/>
          <w:szCs w:val="20"/>
          <w:color w:val="auto"/>
        </w:rPr>
      </w:pPr>
      <w:r>
        <w:rPr>
          <w:rFonts w:ascii="Arial" w:cs="Arial" w:eastAsia="Arial" w:hAnsi="Arial"/>
          <w:sz w:val="18"/>
          <w:szCs w:val="18"/>
          <w:color w:val="auto"/>
        </w:rPr>
        <w:t>We expense our advertising as incurred. The amount of our advertising expense was $1.8 million, $2.4 million, and $2.3 million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Lessee</w:t>
      </w:r>
    </w:p>
    <w:p>
      <w:pPr>
        <w:spacing w:after="0" w:line="2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 xml:space="preserve">The majority of our cinema operations are conducted in premises under non-cancellable lease arrangements. Prior to January 1, 2019, under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 such lease arrangements were classified as operating leases, and the related lease expenses recorded on a straight-line basis over the initial base terms, taking into account any rate change clauses.</w:t>
      </w:r>
    </w:p>
    <w:p>
      <w:pPr>
        <w:spacing w:after="0" w:line="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Following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effective January 1, 2019, we determine if an arrangement is a lease at inception. Operating leases are included in operating lease right-of-use (“ROU”) assets and operating lease liabilities, current and non-current, in our consolidated balance sheets. Finance leases are included in operating properties, other current liabilities, and other long-term liabilities in our consolidated balance sheets.</w:t>
      </w:r>
    </w:p>
    <w:p>
      <w:pPr>
        <w:spacing w:after="0" w:line="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lease agreements with lease and non-lease components, which we do not separate. For certain equipment leases, such as cinema equipment, we account for the lease and non-lease components as a single lease component.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Lessor</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part of our real estate operations, we own certain real estate property in the U.S., Australia and New Zealand which we lease to third parties. We recognize lease payments for operating leases as property revenue on a straight-line basis over the lease term. Lease incentive payments we make to lessees are amortized as a reduction in property revenue over the lease term. The lease term includes all non-cancellable periods contracted for within the lease and excludes any option periods which a tenant may hold.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Arial" w:cs="Arial" w:eastAsia="Arial" w:hAnsi="Arial"/>
          <w:sz w:val="16"/>
          <w:szCs w:val="16"/>
          <w:i w:val="1"/>
          <w:iCs w:val="1"/>
          <w:color w:val="auto"/>
        </w:rPr>
        <w:t>Note 14 – Share-based Compensation and Repurchase Plans</w:t>
      </w:r>
      <w:r>
        <w:rPr>
          <w:rFonts w:ascii="Arial" w:cs="Arial" w:eastAsia="Arial" w:hAnsi="Arial"/>
          <w:sz w:val="16"/>
          <w:szCs w:val="16"/>
          <w:color w:val="auto"/>
        </w:rPr>
        <w:t xml:space="preserve"> for further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Treasury Shares</w:t>
      </w:r>
    </w:p>
    <w:p>
      <w:pPr>
        <w:spacing w:after="0" w:line="22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 xml:space="preserve">In recent years, we repurchased our own Class A common shares as part of a publicly announced stock repurchase plan. We account for these repurchases using the cost method and present these as a separate line within the Stockholders’ Equity section in our consolidated balance sheets. Refer to </w:t>
      </w:r>
      <w:r>
        <w:rPr>
          <w:rFonts w:ascii="Arial" w:cs="Arial" w:eastAsia="Arial" w:hAnsi="Arial"/>
          <w:sz w:val="16"/>
          <w:szCs w:val="16"/>
          <w:i w:val="1"/>
          <w:iCs w:val="1"/>
          <w:color w:val="auto"/>
        </w:rPr>
        <w:t>Note 14 – Share-based Compensation and Repurchase Plans</w:t>
      </w:r>
      <w:r>
        <w:rPr>
          <w:rFonts w:ascii="Arial" w:cs="Arial" w:eastAsia="Arial" w:hAnsi="Arial"/>
          <w:sz w:val="16"/>
          <w:szCs w:val="16"/>
          <w:color w:val="auto"/>
        </w:rPr>
        <w:t xml:space="preserve"> for further details of our stock repurchase plan.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u w:val="single" w:color="auto"/>
          <w:color w:val="auto"/>
        </w:rPr>
        <w:t>Insurance Recoveries and Other Contingency Matters</w:t>
      </w:r>
    </w:p>
    <w:p>
      <w:pPr>
        <w:spacing w:after="0" w:line="225" w:lineRule="exact"/>
        <w:rPr>
          <w:sz w:val="20"/>
          <w:szCs w:val="20"/>
          <w:color w:val="auto"/>
        </w:rPr>
      </w:pPr>
    </w:p>
    <w:p>
      <w:pPr>
        <w:ind w:left="640" w:right="40" w:hanging="320"/>
        <w:spacing w:after="0" w:line="277" w:lineRule="auto"/>
        <w:tabs>
          <w:tab w:leader="none" w:pos="64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 we record any loss contingencies if there is a “probable” likelihood that the liability had been incurred,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the loss can be reasonably estimated.</w:t>
      </w:r>
    </w:p>
    <w:p>
      <w:pPr>
        <w:spacing w:after="0" w:line="170" w:lineRule="exact"/>
        <w:rPr>
          <w:rFonts w:ascii="Arial" w:cs="Arial" w:eastAsia="Arial" w:hAnsi="Arial"/>
          <w:sz w:val="18"/>
          <w:szCs w:val="18"/>
          <w:i w:val="1"/>
          <w:iCs w:val="1"/>
          <w:color w:val="auto"/>
        </w:rPr>
      </w:pPr>
    </w:p>
    <w:p>
      <w:pPr>
        <w:ind w:left="640" w:hanging="320"/>
        <w:spacing w:after="0"/>
        <w:tabs>
          <w:tab w:leader="none" w:pos="64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Gain contingencies:</w:t>
      </w:r>
    </w:p>
    <w:p>
      <w:pPr>
        <w:spacing w:after="0" w:line="104" w:lineRule="exact"/>
        <w:rPr>
          <w:sz w:val="20"/>
          <w:szCs w:val="20"/>
          <w:color w:val="auto"/>
        </w:rPr>
      </w:pPr>
    </w:p>
    <w:p>
      <w:pPr>
        <w:ind w:left="640" w:right="240" w:hanging="320"/>
        <w:spacing w:after="0" w:line="226" w:lineRule="auto"/>
        <w:tabs>
          <w:tab w:leader="none" w:pos="640" w:val="left"/>
        </w:tabs>
        <w:numPr>
          <w:ilvl w:val="0"/>
          <w:numId w:val="158"/>
        </w:numPr>
        <w:rPr>
          <w:rFonts w:ascii="Arial" w:cs="Arial" w:eastAsia="Arial" w:hAnsi="Arial"/>
          <w:sz w:val="29"/>
          <w:szCs w:val="29"/>
          <w:color w:val="auto"/>
          <w:vertAlign w:val="superscript"/>
        </w:rPr>
      </w:pPr>
      <w:r>
        <w:rPr>
          <w:rFonts w:ascii="Arial" w:cs="Arial" w:eastAsia="Arial" w:hAnsi="Arial"/>
          <w:sz w:val="18"/>
          <w:szCs w:val="18"/>
          <w:u w:val="single" w:color="auto"/>
          <w:color w:val="auto"/>
        </w:rPr>
        <w:t>Insurance recoveries</w:t>
      </w:r>
      <w:r>
        <w:rPr>
          <w:rFonts w:ascii="Arial" w:cs="Arial" w:eastAsia="Arial" w:hAnsi="Arial"/>
          <w:sz w:val="18"/>
          <w:szCs w:val="18"/>
          <w:color w:val="auto"/>
        </w:rPr>
        <w:t xml:space="preserve"> – 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w:t>
      </w:r>
    </w:p>
    <w:p>
      <w:pPr>
        <w:spacing w:after="0" w:line="80" w:lineRule="exact"/>
        <w:rPr>
          <w:rFonts w:ascii="Arial" w:cs="Arial" w:eastAsia="Arial" w:hAnsi="Arial"/>
          <w:sz w:val="29"/>
          <w:szCs w:val="29"/>
          <w:color w:val="auto"/>
          <w:vertAlign w:val="superscript"/>
        </w:rPr>
      </w:pPr>
    </w:p>
    <w:p>
      <w:pPr>
        <w:ind w:left="640" w:right="20" w:hanging="320"/>
        <w:spacing w:after="0" w:line="198" w:lineRule="auto"/>
        <w:tabs>
          <w:tab w:leader="none" w:pos="640" w:val="left"/>
        </w:tabs>
        <w:numPr>
          <w:ilvl w:val="0"/>
          <w:numId w:val="158"/>
        </w:numPr>
        <w:rPr>
          <w:rFonts w:ascii="Arial" w:cs="Arial" w:eastAsia="Arial" w:hAnsi="Arial"/>
          <w:sz w:val="29"/>
          <w:szCs w:val="29"/>
          <w:color w:val="auto"/>
          <w:vertAlign w:val="superscript"/>
        </w:rPr>
      </w:pPr>
      <w:r>
        <w:rPr>
          <w:rFonts w:ascii="Arial" w:cs="Arial" w:eastAsia="Arial" w:hAnsi="Arial"/>
          <w:sz w:val="18"/>
          <w:szCs w:val="18"/>
          <w:u w:val="single" w:color="auto"/>
          <w:color w:val="auto"/>
        </w:rPr>
        <w:t>Others</w:t>
      </w:r>
      <w:r>
        <w:rPr>
          <w:rFonts w:ascii="Arial" w:cs="Arial" w:eastAsia="Arial" w:hAnsi="Arial"/>
          <w:sz w:val="18"/>
          <w:szCs w:val="18"/>
          <w:color w:val="auto"/>
        </w:rPr>
        <w:t xml:space="preserve"> – other gain contingencies typically result from legal settlements and we record those settlements in income when cash or other forms of payments are received.</w:t>
      </w:r>
    </w:p>
    <w:p>
      <w:pPr>
        <w:spacing w:after="0" w:line="20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Legal costs relating to our litigation matters, whether we are the plaintiff or the defendant, are recorded when incurred. For the years ended December 31, 2019, 2018, and 2017, we recorded gains/(losses) relating to litigation settlement of ($67,000), $nil, and $1.8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Translation Policy</w:t>
      </w:r>
    </w:p>
    <w:p>
      <w:pPr>
        <w:spacing w:after="0" w:line="22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16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2019:</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of and</w:t>
            </w: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of and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As of and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78"/>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Spot Rate</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62"/>
        </w:trPr>
        <w:tc>
          <w:tcPr>
            <w:tcW w:w="4860" w:type="dxa"/>
            <w:vAlign w:val="bottom"/>
            <w:gridSpan w:val="3"/>
            <w:vMerge w:val="continue"/>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7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Australian Dollar</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0.7030</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0.7046</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0.7815</w:t>
            </w:r>
          </w:p>
        </w:tc>
        <w:tc>
          <w:tcPr>
            <w:tcW w:w="0" w:type="dxa"/>
            <w:vAlign w:val="bottom"/>
          </w:tcPr>
          <w:p>
            <w:pPr>
              <w:spacing w:after="0"/>
              <w:rPr>
                <w:sz w:val="1"/>
                <w:szCs w:val="1"/>
                <w:color w:val="auto"/>
              </w:rPr>
            </w:pPr>
          </w:p>
        </w:tc>
      </w:tr>
      <w:tr>
        <w:trPr>
          <w:trHeight w:val="216"/>
        </w:trPr>
        <w:tc>
          <w:tcPr>
            <w:tcW w:w="4860" w:type="dxa"/>
            <w:vAlign w:val="bottom"/>
            <w:gridSpan w:val="3"/>
          </w:tcPr>
          <w:p>
            <w:pPr>
              <w:ind w:left="220"/>
              <w:spacing w:after="0"/>
              <w:rPr>
                <w:sz w:val="20"/>
                <w:szCs w:val="20"/>
                <w:color w:val="auto"/>
              </w:rPr>
            </w:pPr>
            <w:r>
              <w:rPr>
                <w:rFonts w:ascii="Arial" w:cs="Arial" w:eastAsia="Arial" w:hAnsi="Arial"/>
                <w:sz w:val="18"/>
                <w:szCs w:val="18"/>
                <w:color w:val="auto"/>
              </w:rPr>
              <w:t>New Zealand Dollar</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0.6745</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0.6711</w:t>
            </w:r>
          </w:p>
        </w:tc>
        <w:tc>
          <w:tcPr>
            <w:tcW w:w="1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0.7100</w:t>
            </w:r>
          </w:p>
        </w:tc>
        <w:tc>
          <w:tcPr>
            <w:tcW w:w="0" w:type="dxa"/>
            <w:vAlign w:val="bottom"/>
          </w:tcPr>
          <w:p>
            <w:pPr>
              <w:spacing w:after="0"/>
              <w:rPr>
                <w:sz w:val="1"/>
                <w:szCs w:val="1"/>
                <w:color w:val="auto"/>
              </w:rPr>
            </w:pPr>
          </w:p>
        </w:tc>
      </w:tr>
      <w:tr>
        <w:trPr>
          <w:trHeight w:val="175"/>
        </w:trPr>
        <w:tc>
          <w:tcPr>
            <w:tcW w:w="4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Average Rate</w:t>
            </w:r>
          </w:p>
        </w:tc>
        <w:tc>
          <w:tcPr>
            <w:tcW w:w="1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gridSpan w:val="3"/>
          </w:tcPr>
          <w:p>
            <w:pPr>
              <w:ind w:left="220"/>
              <w:spacing w:after="0"/>
              <w:rPr>
                <w:sz w:val="20"/>
                <w:szCs w:val="20"/>
                <w:color w:val="auto"/>
              </w:rPr>
            </w:pPr>
            <w:r>
              <w:rPr>
                <w:rFonts w:ascii="Arial" w:cs="Arial" w:eastAsia="Arial" w:hAnsi="Arial"/>
                <w:sz w:val="18"/>
                <w:szCs w:val="18"/>
                <w:color w:val="auto"/>
              </w:rPr>
              <w:t>Australian Dollar</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0.6954</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0.7479</w:t>
            </w:r>
          </w:p>
        </w:tc>
        <w:tc>
          <w:tcPr>
            <w:tcW w:w="1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0.7670</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Zealand Dollar</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0.6593</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0.6930</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0.7111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recognize deferred tax assets to the extent that we believe that these assets are more likely than not to be realized.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w:t>
      </w:r>
    </w:p>
    <w:p>
      <w:pPr>
        <w:spacing w:after="0" w:line="18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14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recognize tax liabilities for uncertain tax positions and adjust these liabilities when our judgment changes as a result of the evaluation of new information not previously available. We record interest and penalties related to income tax matters as part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83" w:name="page84"/>
    <w:bookmarkEnd w:id="83"/>
    <w:p>
      <w:pPr>
        <w:ind w:right="280"/>
        <w:spacing w:after="0" w:line="259" w:lineRule="auto"/>
        <w:rPr>
          <w:sz w:val="20"/>
          <w:szCs w:val="20"/>
          <w:color w:val="auto"/>
        </w:rPr>
      </w:pPr>
      <w:r>
        <w:rPr>
          <w:rFonts w:ascii="Arial" w:cs="Arial" w:eastAsia="Arial" w:hAnsi="Arial"/>
          <w:sz w:val="18"/>
          <w:szCs w:val="18"/>
          <w:color w:val="auto"/>
        </w:rPr>
        <w:t>income tax expense and record the related liabilities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spacing w:after="0" w:line="18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Tax Act creates a new requirement for U.S. corporations to include in U.S. taxable income certain earnings of their foreign subsidiaries, effective beginning tax year 2018. The Global Intangible Low Taxed Income (“GILTI”) framework introduces a new tax on foreign earnings of U.S. based consolidated groups. We record taxes related to GILTI as a current-period expense when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(Loss) Per Share</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presents both basic and diluted earnings (loss) per share amounts. Basic earnings (loss) per share is calculated by dividing net income (loss) attributable to the Company by the weighted average number of common shares outstanding during the year. Diluted earnings (loss) per share is based upon the weighted average number of common and common equivalent shares outstanding during the year, which is calculated using the treasury-stock method for equity-based awards. Common equivalent shares are excluded from the computation of diluted earnings (loss) per share in periods for which they have an anti-dilutive effect. Stock options for which the exercise price exceeds the average market price over the period are anti-dilutive and, accordingly, are excluded from the calculation.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Business Acquisition Valuation and Purchase Price Allocation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recent years, our business acquisition efforts have been focused on our real estate segment however, in 2019 we completed two acquisitions of established cinemas in Tasmania, Australia. For acquisitions meeting the definition of a “business”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assets acquired, and the liabilities assumed are recorded at their fair values as of the acquisition date. To accomplish this, we typically obtain third-party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described as follows:</w:t>
      </w:r>
    </w:p>
    <w:p>
      <w:pPr>
        <w:spacing w:after="0" w:line="177" w:lineRule="exact"/>
        <w:rPr>
          <w:sz w:val="20"/>
          <w:szCs w:val="20"/>
          <w:color w:val="auto"/>
        </w:rPr>
      </w:pPr>
    </w:p>
    <w:p>
      <w:pPr>
        <w:ind w:left="640" w:right="20" w:hanging="320"/>
        <w:spacing w:after="0" w:line="269" w:lineRule="auto"/>
        <w:tabs>
          <w:tab w:leader="none" w:pos="640" w:val="left"/>
        </w:tabs>
        <w:numPr>
          <w:ilvl w:val="0"/>
          <w:numId w:val="15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Tangible assets – </w:t>
      </w:r>
      <w:r>
        <w:rPr>
          <w:rFonts w:ascii="Arial" w:cs="Arial" w:eastAsia="Arial" w:hAnsi="Arial"/>
          <w:sz w:val="17"/>
          <w:szCs w:val="17"/>
          <w:color w:val="auto"/>
        </w:rPr>
        <w:t>we allocate the purchase price to the tangible assets of an acquired property (which typically includes land,</w:t>
      </w:r>
      <w:r>
        <w:rPr>
          <w:rFonts w:ascii="Arial" w:cs="Arial" w:eastAsia="Arial" w:hAnsi="Arial"/>
          <w:sz w:val="17"/>
          <w:szCs w:val="17"/>
          <w:i w:val="1"/>
          <w:iCs w:val="1"/>
          <w:color w:val="auto"/>
        </w:rPr>
        <w:t xml:space="preserve"> </w:t>
      </w:r>
      <w:r>
        <w:rPr>
          <w:rFonts w:ascii="Arial" w:cs="Arial" w:eastAsia="Arial" w:hAnsi="Arial"/>
          <w:sz w:val="17"/>
          <w:szCs w:val="17"/>
          <w:color w:val="auto"/>
        </w:rPr>
        <w:t>building and site/tenant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site/tenant improvements are based on present values determined based upon the application of hypothetical leases with market rates and terms. Estimates of plant and equipment, leasehold improvements and any cinema related equipment are based on their current market values with relation to their age and condition. Building and site improvements are depreciated over their remaining economic lives, while tenant improvements are depreciated over the remaining non-cancelable terms of the respective leases. Plant and equipment, leasehold improvements and any cinema related equipment are depreciated over the shorter of their useful economic lives and the underlying cinema lease.</w:t>
      </w:r>
    </w:p>
    <w:p>
      <w:pPr>
        <w:spacing w:after="0" w:line="185" w:lineRule="exact"/>
        <w:rPr>
          <w:rFonts w:ascii="Arial" w:cs="Arial" w:eastAsia="Arial" w:hAnsi="Arial"/>
          <w:sz w:val="17"/>
          <w:szCs w:val="17"/>
          <w:i w:val="1"/>
          <w:iCs w:val="1"/>
          <w:color w:val="auto"/>
        </w:rPr>
      </w:pPr>
    </w:p>
    <w:p>
      <w:pPr>
        <w:ind w:left="640" w:right="580" w:hanging="320"/>
        <w:spacing w:after="0" w:line="277" w:lineRule="auto"/>
        <w:tabs>
          <w:tab w:leader="none" w:pos="640" w:val="left"/>
        </w:tabs>
        <w:numPr>
          <w:ilvl w:val="0"/>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Intangible assets and liabilities – </w:t>
      </w:r>
      <w:r>
        <w:rPr>
          <w:rFonts w:ascii="Arial" w:cs="Arial" w:eastAsia="Arial" w:hAnsi="Arial"/>
          <w:sz w:val="18"/>
          <w:szCs w:val="18"/>
          <w:color w:val="auto"/>
        </w:rPr>
        <w:t>the valuation of the intangible assets and liabilities in a typical real estate acquisition is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49" w:lineRule="exact"/>
        <w:rPr>
          <w:sz w:val="20"/>
          <w:szCs w:val="20"/>
          <w:color w:val="auto"/>
        </w:rPr>
      </w:pPr>
    </w:p>
    <w:p>
      <w:pPr>
        <w:ind w:left="640" w:hanging="320"/>
        <w:spacing w:after="0" w:line="264" w:lineRule="auto"/>
        <w:tabs>
          <w:tab w:leader="none" w:pos="640" w:val="left"/>
        </w:tabs>
        <w:numPr>
          <w:ilvl w:val="0"/>
          <w:numId w:val="160"/>
        </w:numPr>
        <w:rPr>
          <w:rFonts w:ascii="Arial" w:cs="Arial" w:eastAsia="Arial" w:hAnsi="Arial"/>
          <w:sz w:val="26"/>
          <w:szCs w:val="26"/>
          <w:color w:val="auto"/>
          <w:vertAlign w:val="superscript"/>
        </w:rPr>
      </w:pPr>
      <w:r>
        <w:rPr>
          <w:rFonts w:ascii="Arial" w:cs="Arial" w:eastAsia="Arial" w:hAnsi="Arial"/>
          <w:sz w:val="16"/>
          <w:szCs w:val="16"/>
          <w:i w:val="1"/>
          <w:iCs w:val="1"/>
          <w:color w:val="auto"/>
        </w:rPr>
        <w:t xml:space="preserve">Above-market and below-market leases </w:t>
      </w:r>
      <w:r>
        <w:rPr>
          <w:rFonts w:ascii="Arial" w:cs="Arial" w:eastAsia="Arial" w:hAnsi="Arial"/>
          <w:sz w:val="16"/>
          <w:szCs w:val="16"/>
          <w:color w:val="auto"/>
        </w:rPr>
        <w:t>– where we are the lessor, we record above-market and below-market in-place lease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(an intangible asset) and capitalized below-market lease values (an intangible liability) over the remaining non-cancelable terms of the respective leases. Where we are the lessee, and lease arrangements entered into are assessed under ASC 842 </w:t>
      </w:r>
      <w:r>
        <w:rPr>
          <w:rFonts w:ascii="Arial" w:cs="Arial" w:eastAsia="Arial" w:hAnsi="Arial"/>
          <w:sz w:val="16"/>
          <w:szCs w:val="16"/>
          <w:i w:val="1"/>
          <w:iCs w:val="1"/>
          <w:color w:val="auto"/>
        </w:rPr>
        <w:t>Leases.</w:t>
      </w:r>
    </w:p>
    <w:p>
      <w:pPr>
        <w:spacing w:after="0" w:line="63" w:lineRule="exact"/>
        <w:rPr>
          <w:rFonts w:ascii="Arial" w:cs="Arial" w:eastAsia="Arial" w:hAnsi="Arial"/>
          <w:sz w:val="26"/>
          <w:szCs w:val="26"/>
          <w:color w:val="auto"/>
          <w:vertAlign w:val="superscript"/>
        </w:rPr>
      </w:pPr>
    </w:p>
    <w:p>
      <w:pPr>
        <w:ind w:left="640" w:hanging="320"/>
        <w:spacing w:after="0" w:line="253" w:lineRule="auto"/>
        <w:tabs>
          <w:tab w:leader="none" w:pos="640" w:val="left"/>
        </w:tabs>
        <w:numPr>
          <w:ilvl w:val="0"/>
          <w:numId w:val="160"/>
        </w:numPr>
        <w:rPr>
          <w:rFonts w:ascii="Arial" w:cs="Arial" w:eastAsia="Arial" w:hAnsi="Arial"/>
          <w:sz w:val="28"/>
          <w:szCs w:val="28"/>
          <w:color w:val="auto"/>
          <w:vertAlign w:val="superscript"/>
        </w:rPr>
      </w:pPr>
      <w:r>
        <w:rPr>
          <w:rFonts w:ascii="Arial" w:cs="Arial" w:eastAsia="Arial" w:hAnsi="Arial"/>
          <w:sz w:val="17"/>
          <w:szCs w:val="17"/>
          <w:i w:val="1"/>
          <w:iCs w:val="1"/>
          <w:color w:val="auto"/>
        </w:rPr>
        <w:t xml:space="preserve">Benefit of avoided costs due to existing tenancies </w:t>
      </w:r>
      <w:r>
        <w:rPr>
          <w:rFonts w:ascii="Arial" w:cs="Arial" w:eastAsia="Arial" w:hAnsi="Arial"/>
          <w:sz w:val="17"/>
          <w:szCs w:val="17"/>
          <w:color w:val="auto"/>
        </w:rPr>
        <w:t>– this typically includes (i) in-place leases (the value of avoided lease-up costs)</w:t>
      </w:r>
      <w:r>
        <w:rPr>
          <w:rFonts w:ascii="Arial" w:cs="Arial" w:eastAsia="Arial" w:hAnsi="Arial"/>
          <w:sz w:val="17"/>
          <w:szCs w:val="17"/>
          <w:i w:val="1"/>
          <w:iCs w:val="1"/>
          <w:color w:val="auto"/>
        </w:rPr>
        <w:t xml:space="preserve"> </w:t>
      </w:r>
      <w:r>
        <w:rPr>
          <w:rFonts w:ascii="Arial" w:cs="Arial" w:eastAsia="Arial" w:hAnsi="Arial"/>
          <w:sz w:val="17"/>
          <w:szCs w:val="17"/>
          <w:color w:val="auto"/>
        </w:rPr>
        <w:t>and (ii) leasing commissions and legal/marketing costs avoided with the leases in place. We measure the fair values of the in-place leases based on the difference between (i) the property valued with existing in-place leases adjusted to market rental rates and (ii) the property valued as if vacant. Factors considered in the fair value determination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191" w:lineRule="exact"/>
        <w:rPr>
          <w:rFonts w:ascii="Arial" w:cs="Arial" w:eastAsia="Arial" w:hAnsi="Arial"/>
          <w:sz w:val="28"/>
          <w:szCs w:val="28"/>
          <w:color w:val="auto"/>
          <w:vertAlign w:val="superscript"/>
        </w:rPr>
      </w:pPr>
    </w:p>
    <w:p>
      <w:pPr>
        <w:ind w:left="4880" w:hanging="156"/>
        <w:spacing w:after="0"/>
        <w:tabs>
          <w:tab w:leader="none" w:pos="48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84" w:name="page85"/>
    <w:bookmarkEnd w:id="84"/>
    <w:p>
      <w:pPr>
        <w:ind w:left="640" w:right="320"/>
        <w:spacing w:after="0" w:line="263" w:lineRule="auto"/>
        <w:rPr>
          <w:sz w:val="20"/>
          <w:szCs w:val="20"/>
          <w:color w:val="auto"/>
        </w:rPr>
      </w:pPr>
      <w:r>
        <w:rPr>
          <w:rFonts w:ascii="Arial" w:cs="Arial" w:eastAsia="Arial" w:hAnsi="Arial"/>
          <w:sz w:val="18"/>
          <w:szCs w:val="18"/>
          <w:color w:val="auto"/>
        </w:rPr>
        <w:t>We amortize the value of in-place leases and unamortized leasing origination costs to expense over the remaining term of the respective leases. Should a tenant terminate its lease, the unamortized portion of the in-place lease values and leasing origination costs will be charged to expense.</w:t>
      </w:r>
    </w:p>
    <w:p>
      <w:pPr>
        <w:spacing w:after="0" w:line="49" w:lineRule="exact"/>
        <w:rPr>
          <w:sz w:val="20"/>
          <w:szCs w:val="20"/>
          <w:color w:val="auto"/>
        </w:rPr>
      </w:pPr>
    </w:p>
    <w:p>
      <w:pPr>
        <w:ind w:left="640" w:right="700"/>
        <w:spacing w:after="0" w:line="277" w:lineRule="auto"/>
        <w:rPr>
          <w:sz w:val="20"/>
          <w:szCs w:val="20"/>
          <w:color w:val="auto"/>
        </w:rPr>
      </w:pPr>
      <w:r>
        <w:rPr>
          <w:rFonts w:ascii="Arial" w:cs="Arial" w:eastAsia="Arial" w:hAnsi="Arial"/>
          <w:sz w:val="18"/>
          <w:szCs w:val="18"/>
          <w:color w:val="auto"/>
        </w:rPr>
        <w:t>Intangible assets acquired in cinema business combination typically relate to the brand of the underlying business being acquired. Such fair valuations are determined through relation to</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These assessments have a direct impact on revenue and net income, particularly on the depreciable base of the allocated assets which will impact the timing of expense allocation. In accordance with our adoption of </w:t>
      </w:r>
      <w:r>
        <w:rPr>
          <w:rFonts w:ascii="Arial" w:cs="Arial" w:eastAsia="Arial" w:hAnsi="Arial"/>
          <w:sz w:val="18"/>
          <w:szCs w:val="18"/>
          <w:i w:val="1"/>
          <w:iCs w:val="1"/>
          <w:color w:val="auto"/>
        </w:rPr>
        <w:t>ASU 2015-16</w:t>
      </w:r>
      <w:r>
        <w:rPr>
          <w:rFonts w:ascii="Arial" w:cs="Arial" w:eastAsia="Arial" w:hAnsi="Arial"/>
          <w:sz w:val="18"/>
          <w:szCs w:val="18"/>
          <w:color w:val="auto"/>
        </w:rPr>
        <w:t>, we record the changes in depreciation and amortization in the period we finalized our purchase price allocation.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Adopted: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ASC 842 </w:t>
      </w:r>
      <w:r>
        <w:rPr>
          <w:rFonts w:ascii="Arial" w:cs="Arial" w:eastAsia="Arial" w:hAnsi="Arial"/>
          <w:sz w:val="18"/>
          <w:szCs w:val="18"/>
          <w:b w:val="1"/>
          <w:bCs w:val="1"/>
          <w:i w:val="1"/>
          <w:iCs w:val="1"/>
          <w:u w:val="single" w:color="auto"/>
          <w:color w:val="auto"/>
        </w:rPr>
        <w:t>Leases</w:t>
      </w:r>
    </w:p>
    <w:p>
      <w:pPr>
        <w:spacing w:after="0" w:line="229"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On January 1, 2019, we adopted the new accounting standard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current-period adjustment method. We recognized the cumulative effect of initially applying the new leasing standard as an adjustment to the opening balance of retained earnings. The comparative information has not been restated and continues to be reported under the accounting standards in effect for those periods. The standard had a material impact on our consolidated balance sheets, but not on our consolidated statements of operations or statements of cash flow.</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cumulative effect of the changes made to our consolidated January 1, 2019 balance sheet for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Balance at</w:t>
            </w:r>
          </w:p>
        </w:tc>
      </w:tr>
      <w:tr>
        <w:trPr>
          <w:trHeight w:val="148"/>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due to ASC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January 1,</w:t>
            </w:r>
          </w:p>
        </w:tc>
      </w:tr>
      <w:tr>
        <w:trPr>
          <w:trHeight w:val="178"/>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842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2019</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property, net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258,037</w:t>
            </w: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232,319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232,319</w:t>
            </w: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Deferred tax asset,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26,526</w:t>
            </w:r>
          </w:p>
        </w:tc>
      </w:tr>
      <w:tr>
        <w:trPr>
          <w:trHeight w:val="230"/>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245,280</w:t>
            </w:r>
          </w:p>
        </w:tc>
        <w:tc>
          <w:tcPr>
            <w:tcW w:w="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245,280</w:t>
            </w:r>
          </w:p>
        </w:tc>
      </w:tr>
      <w:tr>
        <w:trPr>
          <w:trHeight w:val="230"/>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r>
      <w:tr>
        <w:trPr>
          <w:trHeight w:val="229"/>
        </w:trPr>
        <w:tc>
          <w:tcPr>
            <w:tcW w:w="5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47,048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47,076</w:t>
            </w:r>
          </w:p>
        </w:tc>
      </w:tr>
    </w:tbl>
    <w:p>
      <w:pPr>
        <w:spacing w:after="0" w:line="20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accordance with the new lease accounting standard requirements, the disclosure of the impact of adoption on our consolidated statements of operations and balance sheet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Balances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As Reported,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Without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Higher /</w:t>
            </w:r>
          </w:p>
        </w:tc>
        <w:tc>
          <w:tcPr>
            <w:tcW w:w="0" w:type="dxa"/>
            <w:vAlign w:val="bottom"/>
          </w:tcPr>
          <w:p>
            <w:pPr>
              <w:spacing w:after="0"/>
              <w:rPr>
                <w:sz w:val="1"/>
                <w:szCs w:val="1"/>
                <w:color w:val="auto"/>
              </w:rPr>
            </w:pPr>
          </w:p>
        </w:tc>
      </w:tr>
      <w:tr>
        <w:trPr>
          <w:trHeight w:val="178"/>
        </w:trPr>
        <w:tc>
          <w:tcPr>
            <w:tcW w:w="29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ASC 842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(Lower)</w:t>
            </w:r>
          </w:p>
        </w:tc>
        <w:tc>
          <w:tcPr>
            <w:tcW w:w="0" w:type="dxa"/>
            <w:vAlign w:val="bottom"/>
          </w:tcPr>
          <w:p>
            <w:pPr>
              <w:spacing w:after="0"/>
              <w:rPr>
                <w:sz w:val="1"/>
                <w:szCs w:val="1"/>
                <w:color w:val="auto"/>
              </w:rPr>
            </w:pPr>
          </w:p>
        </w:tc>
      </w:tr>
      <w:tr>
        <w:trPr>
          <w:trHeight w:val="216"/>
        </w:trPr>
        <w:tc>
          <w:tcPr>
            <w:tcW w:w="29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Cinema costs and expenses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22,747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22,582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(26,503)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(26,541)</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- 84 -</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436" w:right="9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Balances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As Reported,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Without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9"/>
              </w:rPr>
              <w:t>Higher /</w:t>
            </w:r>
          </w:p>
        </w:tc>
        <w:tc>
          <w:tcPr>
            <w:tcW w:w="0" w:type="dxa"/>
            <w:vAlign w:val="bottom"/>
          </w:tcPr>
          <w:p>
            <w:pPr>
              <w:spacing w:after="0"/>
              <w:rPr>
                <w:sz w:val="1"/>
                <w:szCs w:val="1"/>
                <w:color w:val="auto"/>
              </w:rPr>
            </w:pPr>
          </w:p>
        </w:tc>
      </w:tr>
      <w:tr>
        <w:trPr>
          <w:trHeight w:val="178"/>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ASC 842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(Lower)</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property, net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229,879</w:t>
            </w: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Arial" w:cs="Arial" w:eastAsia="Arial" w:hAnsi="Arial"/>
                <w:sz w:val="18"/>
                <w:szCs w:val="18"/>
                <w:color w:val="auto"/>
              </w:rPr>
              <w:t>Deferred tax asset,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3,789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w:t>
            </w: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35,276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223,164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223,164</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Note 2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for a description of our new lease accounting recognition policies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ASC 606 </w:t>
      </w:r>
      <w:r>
        <w:rPr>
          <w:rFonts w:ascii="Arial" w:cs="Arial" w:eastAsia="Arial" w:hAnsi="Arial"/>
          <w:sz w:val="18"/>
          <w:szCs w:val="18"/>
          <w:b w:val="1"/>
          <w:bCs w:val="1"/>
          <w:i w:val="1"/>
          <w:iCs w:val="1"/>
          <w:u w:val="single" w:color="auto"/>
          <w:color w:val="auto"/>
        </w:rPr>
        <w:t>Revenue from Contracts with Customers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On January 1, 2018, we adopted the new accounting standard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using the modified retrospective method. We recognized the cumulative effect of initially applying the new revenue standard as an adjustment to the opening balance of retained earnings. The comparative information has not been restated and continues to be reported under the accounting standards in effect for those periods. The adoption of the new standard was immaterial to our net income and cash flows from operations.</w:t>
      </w:r>
    </w:p>
    <w:p>
      <w:pPr>
        <w:spacing w:after="0" w:line="15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cinema and food and beverage revenue continues to be recognized upon sale and completion of the provision of the movie or performance, or delivery of food and beverage items. Where necessary, revenue is deferred until these obligations are discharged. Property rentals continue to be recognized on a straight-line basis, and live theatre license fees continue to be based on a percentage of weekly ticket sales. Under the new standard, rewards owed to and points accrued by members of our customer loyalty programs are held as deferred revenue. Revenue from unredeemed gift cards and certificates (known as “breakage” in our industry) is recognized in proportion to the pattern of rights exercised by the customer, when the Company expects that it is probable that a significant revenue reversal would not occur for any estimated breakage amounts.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cumulative effect of the changes made to our consolidated January 1, 2018 balance sheet for the adoption of ASC 606 </w:t>
      </w:r>
      <w:r>
        <w:rPr>
          <w:rFonts w:ascii="Arial" w:cs="Arial" w:eastAsia="Arial" w:hAnsi="Arial"/>
          <w:sz w:val="16"/>
          <w:szCs w:val="16"/>
          <w:i w:val="1"/>
          <w:iCs w:val="1"/>
          <w:color w:val="auto"/>
        </w:rPr>
        <w:t>Revenue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were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4"/>
                <w:szCs w:val="14"/>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Balance at</w:t>
            </w:r>
          </w:p>
        </w:tc>
      </w:tr>
      <w:tr>
        <w:trPr>
          <w:trHeight w:val="149"/>
        </w:trPr>
        <w:tc>
          <w:tcPr>
            <w:tcW w:w="5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due to ASU</w:t>
            </w:r>
          </w:p>
        </w:tc>
        <w:tc>
          <w:tcPr>
            <w:tcW w:w="180" w:type="dxa"/>
            <w:vAlign w:val="bottom"/>
          </w:tcPr>
          <w:p>
            <w:pPr>
              <w:spacing w:after="0"/>
              <w:rPr>
                <w:sz w:val="12"/>
                <w:szCs w:val="12"/>
                <w:color w:val="auto"/>
              </w:rPr>
            </w:pPr>
          </w:p>
        </w:tc>
        <w:tc>
          <w:tcPr>
            <w:tcW w:w="10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January 1,</w:t>
            </w:r>
          </w:p>
        </w:tc>
      </w:tr>
      <w:tr>
        <w:trPr>
          <w:trHeight w:val="178"/>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2014-09</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2018</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90"/>
              </w:rPr>
              <w:t>(161)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current revenue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90"/>
              </w:rPr>
              <w:t>(355)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619"/>
              <w:spacing w:after="0"/>
              <w:rPr>
                <w:sz w:val="20"/>
                <w:szCs w:val="20"/>
                <w:color w:val="auto"/>
              </w:rPr>
            </w:pPr>
            <w:r>
              <w:rPr>
                <w:rFonts w:ascii="Arial" w:cs="Arial" w:eastAsia="Arial" w:hAnsi="Arial"/>
                <w:sz w:val="18"/>
                <w:szCs w:val="18"/>
                <w:color w:val="auto"/>
                <w:w w:val="86"/>
              </w:rPr>
              <w:t>194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w:t>
            </w: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our consolidated statements of operations and balance sheet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jc w:val="center"/>
              <w:ind w:left="777"/>
              <w:spacing w:after="0"/>
              <w:rPr>
                <w:sz w:val="20"/>
                <w:szCs w:val="20"/>
                <w:color w:val="auto"/>
              </w:rPr>
            </w:pPr>
            <w:r>
              <w:rPr>
                <w:rFonts w:ascii="Arial" w:cs="Arial" w:eastAsia="Arial" w:hAnsi="Arial"/>
                <w:sz w:val="14"/>
                <w:szCs w:val="14"/>
                <w:b w:val="1"/>
                <w:bCs w:val="1"/>
                <w:color w:val="auto"/>
                <w:w w:val="92"/>
              </w:rPr>
              <w:t>Year Ended December 31, 2019</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center"/>
              <w:ind w:left="717"/>
              <w:spacing w:after="0"/>
              <w:rPr>
                <w:sz w:val="20"/>
                <w:szCs w:val="20"/>
                <w:color w:val="auto"/>
              </w:rPr>
            </w:pPr>
            <w:r>
              <w:rPr>
                <w:rFonts w:ascii="Arial" w:cs="Arial" w:eastAsia="Arial" w:hAnsi="Arial"/>
                <w:sz w:val="14"/>
                <w:szCs w:val="14"/>
                <w:b w:val="1"/>
                <w:bCs w:val="1"/>
                <w:color w:val="auto"/>
                <w:w w:val="92"/>
              </w:rPr>
              <w:t>Year Ended December 31, 2018</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87"/>
              </w:rPr>
              <w:t>Balances</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center"/>
              <w:ind w:right="139"/>
              <w:spacing w:after="0" w:line="126" w:lineRule="exact"/>
              <w:rPr>
                <w:sz w:val="20"/>
                <w:szCs w:val="20"/>
                <w:color w:val="auto"/>
              </w:rPr>
            </w:pPr>
            <w:r>
              <w:rPr>
                <w:rFonts w:ascii="Arial" w:cs="Arial" w:eastAsia="Arial" w:hAnsi="Arial"/>
                <w:sz w:val="14"/>
                <w:szCs w:val="14"/>
                <w:b w:val="1"/>
                <w:bCs w:val="1"/>
                <w:color w:val="auto"/>
                <w:w w:val="92"/>
              </w:rPr>
              <w:t>Effect of</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7"/>
              </w:rPr>
              <w:t>Balances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Effect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As Reported,</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Without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Without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Higher /</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Higher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ASC 606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(Lower)</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ASC 606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(Lower)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Cinema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262,189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262,777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293,516</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(28,837)</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(29,014)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(3,298)</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(26,503)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(26,091)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14,309</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9"/>
              <w:spacing w:after="0"/>
              <w:rPr>
                <w:sz w:val="20"/>
                <w:szCs w:val="20"/>
                <w:color w:val="auto"/>
              </w:rPr>
            </w:pPr>
            <w:r>
              <w:rPr>
                <w:rFonts w:ascii="Arial" w:cs="Arial" w:eastAsia="Arial" w:hAnsi="Arial"/>
                <w:sz w:val="18"/>
                <w:szCs w:val="18"/>
                <w:color w:val="auto"/>
              </w:rPr>
              <w:t>85 -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550" w:right="9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Balances</w:t>
            </w:r>
          </w:p>
        </w:tc>
        <w:tc>
          <w:tcPr>
            <w:tcW w:w="220" w:type="dxa"/>
            <w:vAlign w:val="bottom"/>
          </w:tcPr>
          <w:p>
            <w:pPr>
              <w:spacing w:after="0"/>
              <w:rPr>
                <w:sz w:val="14"/>
                <w:szCs w:val="14"/>
                <w:color w:val="auto"/>
              </w:rPr>
            </w:pPr>
          </w:p>
        </w:tc>
        <w:tc>
          <w:tcPr>
            <w:tcW w:w="100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Without</w:t>
            </w:r>
          </w:p>
        </w:tc>
        <w:tc>
          <w:tcPr>
            <w:tcW w:w="2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20" w:type="dxa"/>
            <w:vAlign w:val="bottom"/>
          </w:tcPr>
          <w:p>
            <w:pPr>
              <w:spacing w:after="0"/>
              <w:rPr>
                <w:sz w:val="12"/>
                <w:szCs w:val="12"/>
                <w:color w:val="auto"/>
              </w:rPr>
            </w:pPr>
          </w:p>
        </w:tc>
        <w:tc>
          <w:tcPr>
            <w:tcW w:w="10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Higher /</w:t>
            </w:r>
          </w:p>
        </w:tc>
        <w:tc>
          <w:tcPr>
            <w:tcW w:w="0" w:type="dxa"/>
            <w:vAlign w:val="bottom"/>
          </w:tcPr>
          <w:p>
            <w:pPr>
              <w:spacing w:after="0"/>
              <w:rPr>
                <w:sz w:val="1"/>
                <w:szCs w:val="1"/>
                <w:color w:val="auto"/>
              </w:rPr>
            </w:pPr>
          </w:p>
        </w:tc>
      </w:tr>
      <w:tr>
        <w:trPr>
          <w:trHeight w:val="178"/>
        </w:trPr>
        <w:tc>
          <w:tcPr>
            <w:tcW w:w="60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606</w:t>
            </w:r>
          </w:p>
        </w:tc>
        <w:tc>
          <w:tcPr>
            <w:tcW w:w="220" w:type="dxa"/>
            <w:vAlign w:val="bottom"/>
          </w:tcPr>
          <w:p>
            <w:pPr>
              <w:spacing w:after="0"/>
              <w:rPr>
                <w:sz w:val="15"/>
                <w:szCs w:val="15"/>
                <w:color w:val="auto"/>
              </w:rPr>
            </w:pPr>
          </w:p>
        </w:tc>
        <w:tc>
          <w:tcPr>
            <w:tcW w:w="1000" w:type="dxa"/>
            <w:vAlign w:val="bottom"/>
          </w:tcPr>
          <w:p>
            <w:pPr>
              <w:jc w:val="center"/>
              <w:ind w:right="140"/>
              <w:spacing w:after="0"/>
              <w:rPr>
                <w:sz w:val="20"/>
                <w:szCs w:val="20"/>
                <w:color w:val="auto"/>
              </w:rPr>
            </w:pPr>
            <w:r>
              <w:rPr>
                <w:rFonts w:ascii="Arial" w:cs="Arial" w:eastAsia="Arial" w:hAnsi="Arial"/>
                <w:sz w:val="14"/>
                <w:szCs w:val="14"/>
                <w:b w:val="1"/>
                <w:bCs w:val="1"/>
                <w:color w:val="auto"/>
                <w:w w:val="98"/>
              </w:rPr>
              <w:t>(Lower)</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current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558"/>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Balances</w:t>
            </w:r>
          </w:p>
        </w:tc>
        <w:tc>
          <w:tcPr>
            <w:tcW w:w="220" w:type="dxa"/>
            <w:vAlign w:val="bottom"/>
          </w:tcPr>
          <w:p>
            <w:pPr>
              <w:spacing w:after="0"/>
              <w:rPr>
                <w:sz w:val="24"/>
                <w:szCs w:val="24"/>
                <w:color w:val="auto"/>
              </w:rPr>
            </w:pPr>
          </w:p>
        </w:tc>
        <w:tc>
          <w:tcPr>
            <w:tcW w:w="100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Without</w:t>
            </w:r>
          </w:p>
        </w:tc>
        <w:tc>
          <w:tcPr>
            <w:tcW w:w="2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20" w:type="dxa"/>
            <w:vAlign w:val="bottom"/>
          </w:tcPr>
          <w:p>
            <w:pPr>
              <w:spacing w:after="0"/>
              <w:rPr>
                <w:sz w:val="12"/>
                <w:szCs w:val="12"/>
                <w:color w:val="auto"/>
              </w:rPr>
            </w:pPr>
          </w:p>
        </w:tc>
        <w:tc>
          <w:tcPr>
            <w:tcW w:w="10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Higher /</w:t>
            </w:r>
          </w:p>
        </w:tc>
        <w:tc>
          <w:tcPr>
            <w:tcW w:w="0" w:type="dxa"/>
            <w:vAlign w:val="bottom"/>
          </w:tcPr>
          <w:p>
            <w:pPr>
              <w:spacing w:after="0"/>
              <w:rPr>
                <w:sz w:val="1"/>
                <w:szCs w:val="1"/>
                <w:color w:val="auto"/>
              </w:rPr>
            </w:pPr>
          </w:p>
        </w:tc>
      </w:tr>
      <w:tr>
        <w:trPr>
          <w:trHeight w:val="178"/>
        </w:trPr>
        <w:tc>
          <w:tcPr>
            <w:tcW w:w="60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606</w:t>
            </w:r>
          </w:p>
        </w:tc>
        <w:tc>
          <w:tcPr>
            <w:tcW w:w="220" w:type="dxa"/>
            <w:vAlign w:val="bottom"/>
          </w:tcPr>
          <w:p>
            <w:pPr>
              <w:spacing w:after="0"/>
              <w:rPr>
                <w:sz w:val="15"/>
                <w:szCs w:val="15"/>
                <w:color w:val="auto"/>
              </w:rPr>
            </w:pPr>
          </w:p>
        </w:tc>
        <w:tc>
          <w:tcPr>
            <w:tcW w:w="1000" w:type="dxa"/>
            <w:vAlign w:val="bottom"/>
          </w:tcPr>
          <w:p>
            <w:pPr>
              <w:jc w:val="center"/>
              <w:ind w:right="140"/>
              <w:spacing w:after="0"/>
              <w:rPr>
                <w:sz w:val="20"/>
                <w:szCs w:val="20"/>
                <w:color w:val="auto"/>
              </w:rPr>
            </w:pPr>
            <w:r>
              <w:rPr>
                <w:rFonts w:ascii="Arial" w:cs="Arial" w:eastAsia="Arial" w:hAnsi="Arial"/>
                <w:sz w:val="14"/>
                <w:szCs w:val="14"/>
                <w:b w:val="1"/>
                <w:bCs w:val="1"/>
                <w:color w:val="auto"/>
                <w:w w:val="98"/>
              </w:rPr>
              <w:t>(Lower)</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current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Refer to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a description of our new revenue recognition policies, and to Note 1-</w:t>
      </w:r>
      <w:r>
        <w:rPr>
          <w:rFonts w:ascii="Arial" w:cs="Arial" w:eastAsia="Arial" w:hAnsi="Arial"/>
          <w:sz w:val="18"/>
          <w:szCs w:val="18"/>
          <w:i w:val="1"/>
          <w:iCs w:val="1"/>
          <w:color w:val="auto"/>
        </w:rPr>
        <w:t xml:space="preserve">Description of Business and Segment Reporting </w:t>
      </w:r>
      <w:r>
        <w:rPr>
          <w:rFonts w:ascii="Arial" w:cs="Arial" w:eastAsia="Arial" w:hAnsi="Arial"/>
          <w:sz w:val="18"/>
          <w:szCs w:val="18"/>
          <w:color w:val="auto"/>
        </w:rPr>
        <w:t>for a disaggregation of our revenue sources.</w:t>
      </w:r>
    </w:p>
    <w:p>
      <w:pPr>
        <w:spacing w:after="0" w:line="17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On January 1, 2018, the Company adopted </w:t>
      </w:r>
      <w:r>
        <w:rPr>
          <w:rFonts w:ascii="Arial" w:cs="Arial" w:eastAsia="Arial" w:hAnsi="Arial"/>
          <w:sz w:val="16"/>
          <w:szCs w:val="16"/>
          <w:i w:val="1"/>
          <w:iCs w:val="1"/>
          <w:color w:val="auto"/>
        </w:rPr>
        <w:t>ASU 2016-18, Statement of Cash Flows, Topic 230: Restricted Cash, a consensus of 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Emerging Issues Task Force</w:t>
      </w:r>
      <w:r>
        <w:rPr>
          <w:rFonts w:ascii="Arial" w:cs="Arial" w:eastAsia="Arial" w:hAnsi="Arial"/>
          <w:sz w:val="16"/>
          <w:szCs w:val="16"/>
          <w:color w:val="auto"/>
        </w:rPr>
        <w:t>. This standard requires that amounts generally described as restricted cash and cash equivalents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with unrestricted cash and cash equivalents when reconciling the beginning and end of period balances on the statement of cash flows. Adoption of this standard did not have a material effect on our consolidated statement of cash flows.</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On January 1, 2018, the Company adopted </w:t>
      </w:r>
      <w:r>
        <w:rPr>
          <w:rFonts w:ascii="Arial" w:cs="Arial" w:eastAsia="Arial" w:hAnsi="Arial"/>
          <w:sz w:val="18"/>
          <w:szCs w:val="18"/>
          <w:i w:val="1"/>
          <w:iCs w:val="1"/>
          <w:color w:val="auto"/>
        </w:rPr>
        <w:t>ASU 2016-15, Statement of Cash Flows (Topic 230): Classification of Certain Cash Receipts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Cash Payments. </w:t>
      </w:r>
      <w:r>
        <w:rPr>
          <w:rFonts w:ascii="Arial" w:cs="Arial" w:eastAsia="Arial" w:hAnsi="Arial"/>
          <w:sz w:val="18"/>
          <w:szCs w:val="18"/>
          <w:color w:val="auto"/>
        </w:rPr>
        <w:t>The standard applies to eight (8) specific cash flow classification issues, reducing the current and potential future</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in the presentation of certain cash flows. Adoption of this standard did not have a material effect on our consolidated statement of cash flows.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On January 1, 2018, the Company adopted </w:t>
      </w:r>
      <w:r>
        <w:rPr>
          <w:rFonts w:ascii="Arial" w:cs="Arial" w:eastAsia="Arial" w:hAnsi="Arial"/>
          <w:sz w:val="16"/>
          <w:szCs w:val="16"/>
          <w:i w:val="1"/>
          <w:iCs w:val="1"/>
          <w:color w:val="auto"/>
        </w:rPr>
        <w:t>ASU 2017-07, Compensation—Retirement Benefits (Topic 715): Improving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Net Periodic Pension Cost and Net Periodic Postretirement Benefit Cost</w:t>
      </w:r>
      <w:r>
        <w:rPr>
          <w:rFonts w:ascii="Arial" w:cs="Arial" w:eastAsia="Arial" w:hAnsi="Arial"/>
          <w:sz w:val="16"/>
          <w:szCs w:val="16"/>
          <w:color w:val="auto"/>
        </w:rPr>
        <w:t>. This standard (i) requires that an employer disaggregate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cost component from the other components of net benefit cost, and (ii) specifies how to present the service cost component and the other components of net benefit cost in the income statement and (iii) allows only the service cost component of net benefit cost to be eligible for capitalization. Adoption of this standard did not have a material effect on our consolidated financial statements.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January 1, 2018, the Company adopted </w:t>
      </w:r>
      <w:r>
        <w:rPr>
          <w:rFonts w:ascii="Arial" w:cs="Arial" w:eastAsia="Arial" w:hAnsi="Arial"/>
          <w:sz w:val="18"/>
          <w:szCs w:val="18"/>
          <w:i w:val="1"/>
          <w:iCs w:val="1"/>
          <w:color w:val="auto"/>
        </w:rPr>
        <w:t>ASU 2017-01, Business Combinations (Topic 805): Clarifying the Definition of a Business</w:t>
      </w:r>
      <w:r>
        <w:rPr>
          <w:rFonts w:ascii="Arial" w:cs="Arial" w:eastAsia="Arial" w:hAnsi="Arial"/>
          <w:sz w:val="18"/>
          <w:szCs w:val="18"/>
          <w:color w:val="auto"/>
        </w:rPr>
        <w:t>. This ASU provides that when substantially all of the fair value of the gross assets acquired (or disposed of) is concentrated in a single identifiable asset or a group of similar identifiable assets, the asset is not a “business”, thus reducing the number of transactions that need further evaluation for business combination. Adoption of this standard did not have a material effect on our current consolidated financial statements.</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On January 1, 2017, the Company adopted </w:t>
      </w:r>
      <w:r>
        <w:rPr>
          <w:rFonts w:ascii="Arial" w:cs="Arial" w:eastAsia="Arial" w:hAnsi="Arial"/>
          <w:sz w:val="16"/>
          <w:szCs w:val="16"/>
          <w:i w:val="1"/>
          <w:iCs w:val="1"/>
          <w:color w:val="auto"/>
        </w:rPr>
        <w:t>ASU 2016-09, Compensation—Stock Compensation (Topic 718): Improvements to 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Accounting</w:t>
      </w:r>
      <w:r>
        <w:rPr>
          <w:rFonts w:ascii="Arial" w:cs="Arial" w:eastAsia="Arial" w:hAnsi="Arial"/>
          <w:sz w:val="16"/>
          <w:szCs w:val="16"/>
          <w:color w:val="auto"/>
        </w:rPr>
        <w:t>. This new guidance, which became effective for fiscal years beginning after December 15, 2016,</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simplification of several aspects of the accounting for share-based payment transactions, including (i) accounting for tax benefits in excess of compensation cost and tax deficiencies, (ii) accounting for forfeitures, and (iii) classification on the statement of cash flows. The only significant impact of the adoption of this new guidance to us is the immediate recognition of excess tax benefits (or “windfalls”) and tax deficiencies (or “shortfalls”) in the consolidated statements of operations. Previously, (i) tax windfalls were recorded in additional paid-in capital (“APIC”) in the consolidated statement of stockholders’ equity and (ii) tax shortfalls were recorded in APIC to the extent of previous windfalls and then to the consolidated statements of operations. Adoption of this standard did not have a material impact on the consolidated financial statements and related disclosures.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74" w:right="979" w:bottom="1440" w:gutter="0" w:footer="0" w:header="0"/>
        </w:sectPr>
      </w:pPr>
    </w:p>
    <w:bookmarkStart w:id="87" w:name="page88"/>
    <w:bookmarkEnd w:id="87"/>
    <w:p>
      <w:pPr>
        <w:ind w:left="4"/>
        <w:spacing w:after="0"/>
        <w:rPr>
          <w:sz w:val="20"/>
          <w:szCs w:val="20"/>
          <w:color w:val="auto"/>
        </w:rPr>
      </w:pPr>
      <w:r>
        <w:rPr>
          <w:rFonts w:ascii="Arial" w:cs="Arial" w:eastAsia="Arial" w:hAnsi="Arial"/>
          <w:sz w:val="18"/>
          <w:szCs w:val="18"/>
          <w:b w:val="1"/>
          <w:bCs w:val="1"/>
          <w:i w:val="1"/>
          <w:iCs w:val="1"/>
          <w:u w:val="single" w:color="auto"/>
          <w:color w:val="auto"/>
        </w:rPr>
        <w:t>Issued:</w:t>
      </w:r>
    </w:p>
    <w:p>
      <w:pPr>
        <w:spacing w:after="0" w:line="221" w:lineRule="exact"/>
        <w:rPr>
          <w:sz w:val="20"/>
          <w:szCs w:val="20"/>
          <w:color w:val="auto"/>
        </w:rPr>
      </w:pPr>
    </w:p>
    <w:p>
      <w:pPr>
        <w:ind w:left="224" w:hanging="224"/>
        <w:spacing w:after="0"/>
        <w:tabs>
          <w:tab w:leader="none" w:pos="224"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ASUs Effective 2020 and Beyond</w:t>
      </w:r>
    </w:p>
    <w:p>
      <w:pPr>
        <w:spacing w:after="0" w:line="323" w:lineRule="exact"/>
        <w:rPr>
          <w:rFonts w:ascii="Arial" w:cs="Arial" w:eastAsia="Arial" w:hAnsi="Arial"/>
          <w:sz w:val="18"/>
          <w:szCs w:val="18"/>
          <w:color w:val="auto"/>
        </w:rPr>
      </w:pPr>
    </w:p>
    <w:p>
      <w:pPr>
        <w:ind w:left="644" w:right="400" w:hanging="320"/>
        <w:spacing w:after="0" w:line="198" w:lineRule="auto"/>
        <w:tabs>
          <w:tab w:leader="none" w:pos="644" w:val="left"/>
        </w:tabs>
        <w:numPr>
          <w:ilvl w:val="1"/>
          <w:numId w:val="161"/>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Goodwill Impairment Simplification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ASU 2017-04, Intangibles – Goodwill and Other (Topic 350): Simplifying the Test for Goodwill Impairment)</w:t>
      </w:r>
    </w:p>
    <w:p>
      <w:pPr>
        <w:spacing w:after="0" w:line="202" w:lineRule="exact"/>
        <w:rPr>
          <w:rFonts w:ascii="Arial" w:cs="Arial" w:eastAsia="Arial" w:hAnsi="Arial"/>
          <w:sz w:val="29"/>
          <w:szCs w:val="29"/>
          <w:color w:val="auto"/>
          <w:vertAlign w:val="superscript"/>
        </w:rPr>
      </w:pPr>
    </w:p>
    <w:p>
      <w:pPr>
        <w:ind w:left="644" w:right="240"/>
        <w:spacing w:after="0" w:line="257" w:lineRule="auto"/>
        <w:rPr>
          <w:rFonts w:ascii="Arial" w:cs="Arial" w:eastAsia="Arial" w:hAnsi="Arial"/>
          <w:sz w:val="29"/>
          <w:szCs w:val="29"/>
          <w:color w:val="auto"/>
          <w:vertAlign w:val="superscript"/>
        </w:rPr>
      </w:pPr>
      <w:r>
        <w:rPr>
          <w:rFonts w:ascii="Arial" w:cs="Arial" w:eastAsia="Arial" w:hAnsi="Arial"/>
          <w:sz w:val="18"/>
          <w:szCs w:val="18"/>
          <w:color w:val="auto"/>
        </w:rPr>
        <w:t xml:space="preserve">Issued by FASB in January 2017, this new guidance removes the second step of the two-step impairment test for measuring goodwill and is to be applied on a prospective basis only. The new guidance is effective for the Company on January 1, 2020, including interim periods within the year of adoption. Early adoption is permitted for interim or annual goodwill impairment tests performed on testing dates after January 1, 2017. We do not anticipate the adoption of </w:t>
      </w:r>
      <w:r>
        <w:rPr>
          <w:rFonts w:ascii="Arial" w:cs="Arial" w:eastAsia="Arial" w:hAnsi="Arial"/>
          <w:sz w:val="18"/>
          <w:szCs w:val="18"/>
          <w:i w:val="1"/>
          <w:iCs w:val="1"/>
          <w:color w:val="auto"/>
        </w:rPr>
        <w:t>ASU 2017-04</w:t>
      </w:r>
      <w:r>
        <w:rPr>
          <w:rFonts w:ascii="Arial" w:cs="Arial" w:eastAsia="Arial" w:hAnsi="Arial"/>
          <w:sz w:val="18"/>
          <w:szCs w:val="18"/>
          <w:color w:val="auto"/>
        </w:rPr>
        <w:t xml:space="preserve"> will have a material impact on our consolidated financial statements.</w:t>
      </w:r>
    </w:p>
    <w:p>
      <w:pPr>
        <w:spacing w:after="0" w:line="179" w:lineRule="exact"/>
        <w:rPr>
          <w:rFonts w:ascii="Arial" w:cs="Arial" w:eastAsia="Arial" w:hAnsi="Arial"/>
          <w:sz w:val="29"/>
          <w:szCs w:val="29"/>
          <w:color w:val="auto"/>
          <w:vertAlign w:val="superscript"/>
        </w:rPr>
      </w:pPr>
    </w:p>
    <w:p>
      <w:pPr>
        <w:ind w:left="644" w:hanging="320"/>
        <w:spacing w:after="0"/>
        <w:tabs>
          <w:tab w:leader="none" w:pos="644" w:val="left"/>
        </w:tabs>
        <w:numPr>
          <w:ilvl w:val="1"/>
          <w:numId w:val="161"/>
        </w:numPr>
        <w:rPr>
          <w:rFonts w:ascii="Arial" w:cs="Arial" w:eastAsia="Arial" w:hAnsi="Arial"/>
          <w:sz w:val="29"/>
          <w:szCs w:val="29"/>
          <w:color w:val="auto"/>
          <w:vertAlign w:val="superscript"/>
        </w:rPr>
      </w:pPr>
      <w:r>
        <w:rPr>
          <w:rFonts w:ascii="Arial" w:cs="Arial" w:eastAsia="Arial" w:hAnsi="Arial"/>
          <w:sz w:val="18"/>
          <w:szCs w:val="18"/>
          <w:i w:val="1"/>
          <w:iCs w:val="1"/>
          <w:u w:val="single" w:color="auto"/>
          <w:color w:val="auto"/>
        </w:rPr>
        <w:t>Current Expected Credit Loss (“CECL”)</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ASU 2016-13, Financial Instruments – Credit Losses (Topic 326)</w:t>
      </w:r>
    </w:p>
    <w:p>
      <w:pPr>
        <w:spacing w:after="0" w:line="136" w:lineRule="exact"/>
        <w:rPr>
          <w:rFonts w:ascii="Arial" w:cs="Arial" w:eastAsia="Arial" w:hAnsi="Arial"/>
          <w:sz w:val="29"/>
          <w:szCs w:val="29"/>
          <w:color w:val="auto"/>
          <w:vertAlign w:val="superscript"/>
        </w:rPr>
      </w:pPr>
    </w:p>
    <w:p>
      <w:pPr>
        <w:ind w:left="644" w:right="40"/>
        <w:spacing w:after="0" w:line="209" w:lineRule="auto"/>
        <w:rPr>
          <w:rFonts w:ascii="Arial" w:cs="Arial" w:eastAsia="Arial" w:hAnsi="Arial"/>
          <w:sz w:val="29"/>
          <w:szCs w:val="29"/>
          <w:color w:val="auto"/>
          <w:vertAlign w:val="superscript"/>
        </w:rPr>
      </w:pPr>
      <w:r>
        <w:rPr>
          <w:rFonts w:ascii="Arial" w:cs="Arial" w:eastAsia="Arial" w:hAnsi="Arial"/>
          <w:sz w:val="17"/>
          <w:szCs w:val="17"/>
          <w:color w:val="auto"/>
        </w:rPr>
        <w:t xml:space="preserve">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will be required to use a forward-looking expected credit loss model for accounts receivables, loans, and other financial instruments. The standard will be adopted upon the effective date for us beginning January 1, 2020. We have no history of significant bad debt losses, and as such do not anticipate the adoption of </w:t>
      </w:r>
      <w:r>
        <w:rPr>
          <w:rFonts w:ascii="Arial" w:cs="Arial" w:eastAsia="Arial" w:hAnsi="Arial"/>
          <w:sz w:val="17"/>
          <w:szCs w:val="17"/>
          <w:i w:val="1"/>
          <w:iCs w:val="1"/>
          <w:color w:val="auto"/>
        </w:rPr>
        <w:t>ASU 2016-13</w:t>
      </w:r>
      <w:r>
        <w:rPr>
          <w:rFonts w:ascii="Arial" w:cs="Arial" w:eastAsia="Arial" w:hAnsi="Arial"/>
          <w:sz w:val="17"/>
          <w:szCs w:val="17"/>
          <w:color w:val="auto"/>
        </w:rPr>
        <w:t xml:space="preserve"> will have a material impact on our consolidated financial statements.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u w:val="single" w:color="auto"/>
          <w:color w:val="auto"/>
        </w:rPr>
        <w:t>Prior period financial statement correction of immaterial errors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Sales tax</w:t>
      </w:r>
    </w:p>
    <w:p>
      <w:pPr>
        <w:spacing w:after="0" w:line="23" w:lineRule="exact"/>
        <w:rPr>
          <w:sz w:val="20"/>
          <w:szCs w:val="20"/>
          <w:color w:val="auto"/>
        </w:rPr>
      </w:pPr>
    </w:p>
    <w:p>
      <w:pPr>
        <w:ind w:left="4" w:right="560"/>
        <w:spacing w:after="0" w:line="290" w:lineRule="auto"/>
        <w:rPr>
          <w:sz w:val="20"/>
          <w:szCs w:val="20"/>
          <w:color w:val="auto"/>
        </w:rPr>
      </w:pPr>
      <w:r>
        <w:rPr>
          <w:rFonts w:ascii="Arial" w:cs="Arial" w:eastAsia="Arial" w:hAnsi="Arial"/>
          <w:sz w:val="17"/>
          <w:szCs w:val="17"/>
          <w:color w:val="auto"/>
        </w:rPr>
        <w:t>During the fourth quarter of 2019, we identified immaterial errors related to the accounting for sales tax certain products sold from cinemas dating back to 2017. These errors resulted in an overstatement of revenue for certain periods.</w:t>
      </w:r>
    </w:p>
    <w:p>
      <w:pPr>
        <w:spacing w:after="0" w:line="161"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We assessed the materiality of these errors on our financial statements for prior periods in accordance with the SEC Staff Accounting Bulletin (SAB) No. 99, Materiality, codified in ASC 250, Presentation of Financial Statements, and concluded that they were not material to any prior annual or interim periods. However, the aggregate amount of $993,000 related to the prior period immaterial errors through September 30, 2019, would have been material to the full year Consolidated Statements of Operations to December 31, 2019, presented within this Form 10-K. Consequently, in accordance with ASC 250 (specifically SAB No. 108, Considering the Effects of Prior Year Misstatements when Quantifying Misstatements in Current Year Financial Statements), we have corrected these errors for all prior periods presented by revising the consolidated financial statements and other financial information included herein.</w:t>
      </w:r>
    </w:p>
    <w:p>
      <w:pPr>
        <w:spacing w:after="0" w:line="166"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following is a summary of the previously issued financial statement line items for all periods and statements included in this Form 10-K report affected by the correction.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98"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72"/>
              <w:spacing w:after="0"/>
              <w:rPr>
                <w:sz w:val="20"/>
                <w:szCs w:val="20"/>
                <w:color w:val="auto"/>
              </w:rPr>
            </w:pPr>
            <w:r>
              <w:rPr>
                <w:rFonts w:ascii="Arial" w:cs="Arial" w:eastAsia="Arial" w:hAnsi="Arial"/>
                <w:sz w:val="14"/>
                <w:szCs w:val="14"/>
                <w:b w:val="1"/>
                <w:bCs w:val="1"/>
                <w:color w:val="auto"/>
                <w:w w:val="92"/>
              </w:rPr>
              <w:t>Year Ended December 31, 2018</w:t>
            </w: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center"/>
              <w:ind w:right="92"/>
              <w:spacing w:after="0"/>
              <w:rPr>
                <w:sz w:val="20"/>
                <w:szCs w:val="20"/>
                <w:color w:val="auto"/>
              </w:rPr>
            </w:pPr>
            <w:r>
              <w:rPr>
                <w:rFonts w:ascii="Arial" w:cs="Arial" w:eastAsia="Arial" w:hAnsi="Arial"/>
                <w:sz w:val="14"/>
                <w:szCs w:val="14"/>
                <w:b w:val="1"/>
                <w:bCs w:val="1"/>
                <w:color w:val="auto"/>
                <w:w w:val="92"/>
              </w:rPr>
              <w:t>Year Ended December 31, 2017</w:t>
            </w:r>
          </w:p>
        </w:tc>
        <w:tc>
          <w:tcPr>
            <w:tcW w:w="20" w:type="dxa"/>
            <w:vAlign w:val="bottom"/>
          </w:tcPr>
          <w:p>
            <w:pPr>
              <w:spacing w:after="0"/>
              <w:rPr>
                <w:sz w:val="15"/>
                <w:szCs w:val="15"/>
                <w:color w:val="auto"/>
              </w:rPr>
            </w:pPr>
          </w:p>
        </w:tc>
      </w:tr>
      <w:tr>
        <w:trPr>
          <w:trHeight w:val="209"/>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Adjustment</w:t>
            </w: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Revised</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Reported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Adjustment</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Revised</w:t>
            </w:r>
          </w:p>
        </w:tc>
      </w:tr>
      <w:tr>
        <w:trPr>
          <w:trHeight w:val="216"/>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Cinema revenue</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294,177</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293,723</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263,464</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263,141</w:t>
            </w:r>
          </w:p>
        </w:tc>
        <w:tc>
          <w:tcPr>
            <w:tcW w:w="20" w:type="dxa"/>
            <w:vAlign w:val="bottom"/>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309,385</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(455)</w:t>
            </w:r>
          </w:p>
        </w:tc>
        <w:tc>
          <w:tcPr>
            <w:tcW w:w="860" w:type="dxa"/>
            <w:vAlign w:val="bottom"/>
          </w:tcPr>
          <w:p>
            <w:pPr>
              <w:jc w:val="right"/>
              <w:spacing w:after="0"/>
              <w:rPr>
                <w:sz w:val="20"/>
                <w:szCs w:val="20"/>
                <w:color w:val="auto"/>
              </w:rPr>
            </w:pPr>
            <w:r>
              <w:rPr>
                <w:rFonts w:ascii="Arial" w:cs="Arial" w:eastAsia="Arial" w:hAnsi="Arial"/>
                <w:sz w:val="18"/>
                <w:szCs w:val="18"/>
                <w:color w:val="auto"/>
              </w:rPr>
              <w:t>308,931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279,879</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880" w:type="dxa"/>
            <w:vAlign w:val="bottom"/>
          </w:tcPr>
          <w:p>
            <w:pPr>
              <w:jc w:val="right"/>
              <w:spacing w:after="0"/>
              <w:rPr>
                <w:sz w:val="20"/>
                <w:szCs w:val="20"/>
                <w:color w:val="auto"/>
              </w:rPr>
            </w:pPr>
            <w:r>
              <w:rPr>
                <w:rFonts w:ascii="Arial" w:cs="Arial" w:eastAsia="Arial" w:hAnsi="Arial"/>
                <w:sz w:val="18"/>
                <w:szCs w:val="18"/>
                <w:color w:val="auto"/>
              </w:rPr>
              <w:t>279,556</w:t>
            </w:r>
          </w:p>
        </w:tc>
        <w:tc>
          <w:tcPr>
            <w:tcW w:w="2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20" w:type="dxa"/>
            <w:vAlign w:val="bottom"/>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17,918</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(455)</w:t>
            </w:r>
          </w:p>
        </w:tc>
        <w:tc>
          <w:tcPr>
            <w:tcW w:w="860" w:type="dxa"/>
            <w:vAlign w:val="bottom"/>
          </w:tcPr>
          <w:p>
            <w:pPr>
              <w:jc w:val="right"/>
              <w:spacing w:after="0"/>
              <w:rPr>
                <w:sz w:val="20"/>
                <w:szCs w:val="20"/>
                <w:color w:val="auto"/>
              </w:rPr>
            </w:pPr>
            <w:r>
              <w:rPr>
                <w:rFonts w:ascii="Arial" w:cs="Arial" w:eastAsia="Arial" w:hAnsi="Arial"/>
                <w:sz w:val="18"/>
                <w:szCs w:val="18"/>
                <w:color w:val="auto"/>
              </w:rPr>
              <w:t>17,463</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34,492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880" w:type="dxa"/>
            <w:vAlign w:val="bottom"/>
          </w:tcPr>
          <w:p>
            <w:pPr>
              <w:jc w:val="right"/>
              <w:spacing w:after="0"/>
              <w:rPr>
                <w:sz w:val="20"/>
                <w:szCs w:val="20"/>
                <w:color w:val="auto"/>
              </w:rPr>
            </w:pPr>
            <w:r>
              <w:rPr>
                <w:rFonts w:ascii="Arial" w:cs="Arial" w:eastAsia="Arial" w:hAnsi="Arial"/>
                <w:sz w:val="18"/>
                <w:szCs w:val="18"/>
                <w:color w:val="auto"/>
              </w:rPr>
              <w:t>34,169</w:t>
            </w:r>
          </w:p>
        </w:tc>
        <w:tc>
          <w:tcPr>
            <w:tcW w:w="2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20" w:type="dxa"/>
            <w:vAlign w:val="bottom"/>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14,498</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(332)</w:t>
            </w:r>
          </w:p>
        </w:tc>
        <w:tc>
          <w:tcPr>
            <w:tcW w:w="860" w:type="dxa"/>
            <w:vAlign w:val="bottom"/>
          </w:tcPr>
          <w:p>
            <w:pPr>
              <w:jc w:val="right"/>
              <w:spacing w:after="0"/>
              <w:rPr>
                <w:sz w:val="20"/>
                <w:szCs w:val="20"/>
                <w:color w:val="auto"/>
              </w:rPr>
            </w:pPr>
            <w:r>
              <w:rPr>
                <w:rFonts w:ascii="Arial" w:cs="Arial" w:eastAsia="Arial" w:hAnsi="Arial"/>
                <w:sz w:val="18"/>
                <w:szCs w:val="18"/>
                <w:color w:val="auto"/>
              </w:rPr>
              <w:t>14,166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31,112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80" w:type="dxa"/>
            <w:vAlign w:val="bottom"/>
          </w:tcPr>
          <w:p>
            <w:pPr>
              <w:jc w:val="right"/>
              <w:spacing w:after="0"/>
              <w:rPr>
                <w:sz w:val="20"/>
                <w:szCs w:val="20"/>
                <w:color w:val="auto"/>
              </w:rPr>
            </w:pPr>
            <w:r>
              <w:rPr>
                <w:rFonts w:ascii="Arial" w:cs="Arial" w:eastAsia="Arial" w:hAnsi="Arial"/>
                <w:sz w:val="18"/>
                <w:szCs w:val="18"/>
                <w:color w:val="auto"/>
              </w:rPr>
              <w:t>30,876</w:t>
            </w:r>
          </w:p>
        </w:tc>
        <w:tc>
          <w:tcPr>
            <w:tcW w:w="20" w:type="dxa"/>
            <w:vAlign w:val="bottom"/>
          </w:tcPr>
          <w:p>
            <w:pPr>
              <w:spacing w:after="0"/>
              <w:rPr>
                <w:sz w:val="18"/>
                <w:szCs w:val="18"/>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Reading</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Inc. common shareholders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w:t>
            </w:r>
          </w:p>
        </w:tc>
        <w:tc>
          <w:tcPr>
            <w:tcW w:w="20" w:type="dxa"/>
            <w:vAlign w:val="bottom"/>
          </w:tcPr>
          <w:p>
            <w:pPr>
              <w:spacing w:after="0"/>
              <w:rPr>
                <w:sz w:val="20"/>
                <w:szCs w:val="20"/>
                <w:color w:val="auto"/>
              </w:rPr>
            </w:pP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860" w:type="dxa"/>
            <w:vAlign w:val="bottom"/>
          </w:tcPr>
          <w:p>
            <w:pPr>
              <w:jc w:val="right"/>
              <w:spacing w:after="0"/>
              <w:rPr>
                <w:sz w:val="20"/>
                <w:szCs w:val="20"/>
                <w:color w:val="auto"/>
              </w:rPr>
            </w:pPr>
            <w:r>
              <w:rPr>
                <w:rFonts w:ascii="Arial" w:cs="Arial" w:eastAsia="Arial" w:hAnsi="Arial"/>
                <w:sz w:val="18"/>
                <w:szCs w:val="18"/>
                <w:color w:val="auto"/>
              </w:rPr>
              <w:t>0.60</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0"/>
                <w:szCs w:val="20"/>
                <w:color w:val="auto"/>
              </w:rPr>
            </w:pPr>
          </w:p>
        </w:tc>
      </w:tr>
      <w:tr>
        <w:trPr>
          <w:trHeight w:val="634"/>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- 87 -</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3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6304915</wp:posOffset>
            </wp:positionH>
            <wp:positionV relativeFrom="paragraph">
              <wp:posOffset>-38100</wp:posOffset>
            </wp:positionV>
            <wp:extent cx="33655"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3655" cy="51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4"/>
          </w:cols>
          <w:pgMar w:left="976" w:top="341" w:right="9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auto"/>
        </w:rPr>
        <w:t>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11"/>
          </w:tcPr>
          <w:p>
            <w:pPr>
              <w:jc w:val="center"/>
              <w:ind w:left="293"/>
              <w:spacing w:after="0"/>
              <w:rPr>
                <w:sz w:val="20"/>
                <w:szCs w:val="20"/>
                <w:color w:val="auto"/>
              </w:rPr>
            </w:pPr>
            <w:r>
              <w:rPr>
                <w:rFonts w:ascii="Arial" w:cs="Arial" w:eastAsia="Arial" w:hAnsi="Arial"/>
                <w:sz w:val="14"/>
                <w:szCs w:val="14"/>
                <w:b w:val="1"/>
                <w:bCs w:val="1"/>
                <w:color w:val="auto"/>
                <w:w w:val="94"/>
              </w:rPr>
              <w:t>Summary of Equity</w:t>
            </w:r>
          </w:p>
        </w:tc>
        <w:tc>
          <w:tcPr>
            <w:tcW w:w="680" w:type="dxa"/>
            <w:vAlign w:val="bottom"/>
            <w:tcBorders>
              <w:bottom w:val="single" w:sz="8" w:color="auto"/>
            </w:tcBorders>
          </w:tcPr>
          <w:p>
            <w:pPr>
              <w:spacing w:after="0"/>
              <w:rPr>
                <w:sz w:val="15"/>
                <w:szCs w:val="15"/>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As Reported</w:t>
            </w:r>
          </w:p>
        </w:tc>
        <w:tc>
          <w:tcPr>
            <w:tcW w:w="20" w:type="dxa"/>
            <w:vAlign w:val="bottom"/>
          </w:tcPr>
          <w:p>
            <w:pPr>
              <w:spacing w:after="0"/>
              <w:rPr>
                <w:sz w:val="18"/>
                <w:szCs w:val="18"/>
                <w:color w:val="auto"/>
              </w:rPr>
            </w:pPr>
          </w:p>
        </w:tc>
        <w:tc>
          <w:tcPr>
            <w:tcW w:w="9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5"/>
              </w:rPr>
              <w:t>As Revised</w:t>
            </w:r>
          </w:p>
        </w:tc>
      </w:tr>
      <w:tr>
        <w:trPr>
          <w:trHeight w:val="216"/>
        </w:trPr>
        <w:tc>
          <w:tcPr>
            <w:tcW w:w="3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at January 1, 2017</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146,890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146,890</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Net income (loss) attributable to Reading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International, Inc. common shareholders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31,101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30,865</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at December 31, 2017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181,618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181,382</w:t>
            </w:r>
          </w:p>
        </w:tc>
      </w:tr>
      <w:tr>
        <w:trPr>
          <w:trHeight w:val="216"/>
        </w:trPr>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at January 1, 2018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181,618</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181,382</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Net income (loss) attributable to Reading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International, Inc. common shareholders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14,366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14,034</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at December 31, 2018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180,547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179,979</w:t>
            </w:r>
          </w:p>
        </w:tc>
      </w:tr>
      <w:tr>
        <w:trPr>
          <w:trHeight w:val="453"/>
        </w:trPr>
        <w:tc>
          <w:tcPr>
            <w:tcW w:w="2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4"/>
                <w:szCs w:val="14"/>
                <w:b w:val="1"/>
                <w:bCs w:val="1"/>
                <w:color w:val="auto"/>
                <w:w w:val="92"/>
              </w:rPr>
              <w:t>As at December 31, 2018</w:t>
            </w:r>
          </w:p>
        </w:tc>
        <w:tc>
          <w:tcPr>
            <w:tcW w:w="5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2"/>
          </w:tcPr>
          <w:p>
            <w:pPr>
              <w:jc w:val="center"/>
              <w:ind w:right="30"/>
              <w:spacing w:after="0"/>
              <w:rPr>
                <w:sz w:val="20"/>
                <w:szCs w:val="20"/>
                <w:color w:val="auto"/>
              </w:rPr>
            </w:pPr>
            <w:r>
              <w:rPr>
                <w:rFonts w:ascii="Arial" w:cs="Arial" w:eastAsia="Arial" w:hAnsi="Arial"/>
                <w:sz w:val="14"/>
                <w:szCs w:val="14"/>
                <w:b w:val="1"/>
                <w:bCs w:val="1"/>
                <w:color w:val="auto"/>
                <w:w w:val="91"/>
              </w:rPr>
              <w:t>As at December 31, 2017</w:t>
            </w:r>
          </w:p>
        </w:tc>
      </w:tr>
      <w:tr>
        <w:trPr>
          <w:trHeight w:val="209"/>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As Reported</w:t>
            </w:r>
          </w:p>
        </w:tc>
        <w:tc>
          <w:tcPr>
            <w:tcW w:w="60" w:type="dxa"/>
            <w:vAlign w:val="bottom"/>
          </w:tcPr>
          <w:p>
            <w:pPr>
              <w:spacing w:after="0"/>
              <w:rPr>
                <w:sz w:val="18"/>
                <w:szCs w:val="18"/>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8"/>
                <w:szCs w:val="18"/>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As Revised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As Reported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As Revised</w:t>
            </w:r>
          </w:p>
        </w:tc>
      </w:tr>
      <w:tr>
        <w:trPr>
          <w:trHeight w:val="216"/>
        </w:trPr>
        <w:tc>
          <w:tcPr>
            <w:tcW w:w="3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26,444</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24,746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24,833</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439,028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439,237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423,403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423,490</w:t>
            </w:r>
          </w:p>
        </w:tc>
      </w:tr>
      <w:tr>
        <w:trPr>
          <w:trHeight w:val="216"/>
        </w:trPr>
        <w:tc>
          <w:tcPr>
            <w:tcW w:w="2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26,154</w:t>
            </w:r>
          </w:p>
        </w:tc>
        <w:tc>
          <w:tcPr>
            <w:tcW w:w="40" w:type="dxa"/>
            <w:vAlign w:val="bottom"/>
          </w:tcPr>
          <w:p>
            <w:pPr>
              <w:spacing w:after="0"/>
              <w:rPr>
                <w:sz w:val="18"/>
                <w:szCs w:val="18"/>
                <w:color w:val="auto"/>
              </w:rPr>
            </w:pP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777</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26,931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34,359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34,682</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80,769</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258,481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259,258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241,785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242,108</w:t>
            </w:r>
          </w:p>
        </w:tc>
      </w:tr>
      <w:tr>
        <w:trPr>
          <w:trHeight w:val="216"/>
        </w:trPr>
        <w:tc>
          <w:tcPr>
            <w:tcW w:w="2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47,616</w:t>
            </w:r>
          </w:p>
        </w:tc>
        <w:tc>
          <w:tcPr>
            <w:tcW w:w="40" w:type="dxa"/>
            <w:vAlign w:val="bottom"/>
          </w:tcPr>
          <w:p>
            <w:pPr>
              <w:spacing w:after="0"/>
              <w:rPr>
                <w:sz w:val="18"/>
                <w:szCs w:val="18"/>
                <w:color w:val="auto"/>
              </w:rPr>
            </w:pP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47,048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32,820</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180,547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179,979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181,618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181,382</w:t>
            </w:r>
          </w:p>
        </w:tc>
      </w:tr>
      <w:tr>
        <w:trPr>
          <w:trHeight w:val="392"/>
        </w:trPr>
        <w:tc>
          <w:tcPr>
            <w:tcW w:w="384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73"/>
        </w:trPr>
        <w:tc>
          <w:tcPr>
            <w:tcW w:w="29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4"/>
                <w:szCs w:val="14"/>
                <w:b w:val="1"/>
                <w:bCs w:val="1"/>
                <w:color w:val="auto"/>
                <w:w w:val="92"/>
              </w:rPr>
              <w:t>Year Ended December 31, 2018</w:t>
            </w:r>
          </w:p>
        </w:tc>
        <w:tc>
          <w:tcPr>
            <w:tcW w:w="5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2"/>
          </w:tcPr>
          <w:p>
            <w:pPr>
              <w:jc w:val="center"/>
              <w:ind w:right="50"/>
              <w:spacing w:after="0"/>
              <w:rPr>
                <w:sz w:val="20"/>
                <w:szCs w:val="20"/>
                <w:color w:val="auto"/>
              </w:rPr>
            </w:pPr>
            <w:r>
              <w:rPr>
                <w:rFonts w:ascii="Arial" w:cs="Arial" w:eastAsia="Arial" w:hAnsi="Arial"/>
                <w:sz w:val="14"/>
                <w:szCs w:val="14"/>
                <w:b w:val="1"/>
                <w:bCs w:val="1"/>
                <w:color w:val="auto"/>
                <w:w w:val="92"/>
              </w:rPr>
              <w:t>Year Ended December 31, 2017</w:t>
            </w:r>
          </w:p>
        </w:tc>
      </w:tr>
      <w:tr>
        <w:trPr>
          <w:trHeight w:val="210"/>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As Reported</w:t>
            </w:r>
          </w:p>
        </w:tc>
        <w:tc>
          <w:tcPr>
            <w:tcW w:w="60" w:type="dxa"/>
            <w:vAlign w:val="bottom"/>
          </w:tcPr>
          <w:p>
            <w:pPr>
              <w:spacing w:after="0"/>
              <w:rPr>
                <w:sz w:val="18"/>
                <w:szCs w:val="18"/>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8"/>
                <w:szCs w:val="18"/>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As Revised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As Reported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As Revised</w:t>
            </w:r>
          </w:p>
        </w:tc>
      </w:tr>
      <w:tr>
        <w:trPr>
          <w:trHeight w:val="216"/>
        </w:trPr>
        <w:tc>
          <w:tcPr>
            <w:tcW w:w="3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31,112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30,876</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Change in net deferred tax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(1,841)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(3,740)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32,645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32,645</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23,851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23,851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EARNINGS (LOSS) PER SHARE</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following table sets forth the computation of basic and diluted earnings (loss) per share and a reconciliation of the weighted average number of common and common equivalent shares outstanding for the three years ended December 31,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 except share and per share data)</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RDI common stockholders</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(26,429)</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 basic</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22,631,754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22,991,277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23,041,190</w:t>
            </w: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dilutive impact of stock-based awards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206,779</w:t>
            </w:r>
          </w:p>
        </w:tc>
      </w:tr>
      <w:tr>
        <w:trPr>
          <w:trHeight w:val="23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of common stock – diluted</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22,784,122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23,208,991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23,247,969</w:t>
            </w:r>
          </w:p>
        </w:tc>
      </w:tr>
      <w:tr>
        <w:trPr>
          <w:trHeight w:val="210"/>
        </w:trPr>
        <w:tc>
          <w:tcPr>
            <w:tcW w:w="58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93"/>
              </w:rPr>
              <w:t>Basic earnings (loss) per share attributable to RDI common stockholders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0.61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1.34</w:t>
            </w:r>
          </w:p>
        </w:tc>
      </w:tr>
      <w:tr>
        <w:trPr>
          <w:trHeight w:val="23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1"/>
              </w:rPr>
              <w:t>Diluted earnings (loss) per share attributable to RDI common stockholders</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r>
      <w:tr>
        <w:trPr>
          <w:trHeight w:val="210"/>
        </w:trPr>
        <w:tc>
          <w:tcPr>
            <w:tcW w:w="5860" w:type="dxa"/>
            <w:vAlign w:val="bottom"/>
          </w:tcPr>
          <w:p>
            <w:pPr>
              <w:spacing w:after="0" w:line="203" w:lineRule="exact"/>
              <w:rPr>
                <w:sz w:val="20"/>
                <w:szCs w:val="20"/>
                <w:color w:val="auto"/>
              </w:rPr>
            </w:pPr>
            <w:r>
              <w:rPr>
                <w:rFonts w:ascii="Arial" w:cs="Arial" w:eastAsia="Arial" w:hAnsi="Arial"/>
                <w:sz w:val="18"/>
                <w:szCs w:val="18"/>
                <w:color w:val="auto"/>
              </w:rPr>
              <w:t>Awards excluded from diluted earnings (loss) per share</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516,010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276,681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149,841</w:t>
            </w: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Outstanding awards of 516,010 were excluded from the computation of dilutive shares for the year ended December 31, 2019, as they were anti-dilutive because of the net loss from continuing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NOTE 4 – REAL ESTATE TRANSACTIONS</w:t>
      </w:r>
    </w:p>
    <w:p>
      <w:pPr>
        <w:spacing w:after="0" w:line="229"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Discussed below are the real estate transactions affecting the presentation in our consolidated balance sheets as of December 31, 2019 and 2018, and the profitability determination in our consolidated statements of income for the three years ended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Landholding in Burwood, Australia </w:t>
      </w:r>
      <w:r>
        <w:rPr>
          <w:rFonts w:ascii="Arial" w:cs="Arial" w:eastAsia="Arial" w:hAnsi="Arial"/>
          <w:sz w:val="18"/>
          <w:szCs w:val="18"/>
          <w:i w:val="1"/>
          <w:iCs w:val="1"/>
          <w:color w:val="auto"/>
        </w:rPr>
        <w:t>(Initiated 2015, Settled 2017)</w:t>
      </w:r>
    </w:p>
    <w:p>
      <w:pPr>
        <w:spacing w:after="0" w:line="22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On May 12, 2014, we entered into a contract to sell our undeveloped 50.6-acre parcel in Burwood, Victoria, Australia, to Australand Holdings Limited (now known as Frasers Property Australia, “Frasers”) for a purchase price of $50.6 million (AU$65.0 million). We received $5.9 million (AU$6.5 million) on May 23, 2014, $16.6 million (AU$21.8 million) on June 19, 2017 and final settlement on December 14, 2017 of $28.1 million (AU$36.6 million).</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final sale price was adjusted by $56,000 (AU$75,000) due to an early settlement agreed between both parties. The final transaction gain is determined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In AU$</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price</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64,925</w:t>
            </w:r>
          </w:p>
        </w:tc>
      </w:tr>
      <w:tr>
        <w:trPr>
          <w:trHeight w:val="216"/>
        </w:trPr>
        <w:tc>
          <w:tcPr>
            <w:tcW w:w="8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Property book value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(52,108)</w:t>
            </w:r>
          </w:p>
        </w:tc>
      </w:tr>
      <w:tr>
        <w:trPr>
          <w:trHeight w:val="209"/>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transaction gain, gross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w:t>
            </w:r>
          </w:p>
        </w:tc>
      </w:tr>
      <w:tr>
        <w:trPr>
          <w:trHeight w:val="216"/>
        </w:trPr>
        <w:tc>
          <w:tcPr>
            <w:tcW w:w="8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Direct costs incurred</w:t>
            </w:r>
            <w:r>
              <w:rPr>
                <w:rFonts w:ascii="Arial" w:cs="Arial" w:eastAsia="Arial" w:hAnsi="Arial"/>
                <w:sz w:val="8"/>
                <w:szCs w:val="8"/>
                <w:color w:val="auto"/>
              </w:rPr>
              <w:t>(1)</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17"/>
        </w:trPr>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transaction gain,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12,378</w:t>
            </w:r>
          </w:p>
        </w:tc>
      </w:tr>
    </w:tbl>
    <w:p>
      <w:pPr>
        <w:spacing w:after="0" w:line="103" w:lineRule="exact"/>
        <w:rPr>
          <w:sz w:val="20"/>
          <w:szCs w:val="20"/>
          <w:color w:val="auto"/>
        </w:rPr>
      </w:pPr>
    </w:p>
    <w:p>
      <w:pPr>
        <w:ind w:left="640" w:hanging="320"/>
        <w:spacing w:after="0"/>
        <w:tabs>
          <w:tab w:leader="none" w:pos="6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Represents commissions and legal expenses incurred in connection with this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Exercise of Option to Acquire Ground Lessee’s Interest in Ground Lease and Improvements Constituting the Village East Cinema</w:t>
      </w:r>
    </w:p>
    <w:p>
      <w:pPr>
        <w:spacing w:after="0" w:line="24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August 28, 2019, we exercised our option to acquire the ground lessee’s interest in the 13-year ground lease underlying and the real property assets constituent with our Village East Cinema in Manhattan. The purchase price under the option is $5.9 million. It is anticipated that the transaction will close on or about May 31, 2021.</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March 12, 2020, we amended the original agreement to (i) extend the term of the lease to January 31, 2022 and extend the put option to December 4, 2021 and (ii) at SHC’s request, in connection with our deferral of the closing date for our acquisition of SHC’s interest in the Village East Cinema, the Company reinstated and extended until December 4, 2021 SHC’s right to put that interest to us. That put right had previously expired on December 4, 2019. We are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Building &amp; Landholding in Auburn, Australia </w:t>
      </w:r>
      <w:r>
        <w:rPr>
          <w:rFonts w:ascii="Arial" w:cs="Arial" w:eastAsia="Arial" w:hAnsi="Arial"/>
          <w:sz w:val="18"/>
          <w:szCs w:val="18"/>
          <w:i w:val="1"/>
          <w:iCs w:val="1"/>
          <w:color w:val="auto"/>
        </w:rPr>
        <w:t>(Asset Acquisition, 2018)</w:t>
      </w:r>
    </w:p>
    <w:p>
      <w:pPr>
        <w:spacing w:after="0" w:line="22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On June 29, 2018, we added 20,870 square feet of land, improved with a 16,830 square foot office building, to our Auburn Redyard entertainment-themed center (“ETC”). The property was acquired at auction for $3.5 million (AU$4.5 million) and is bordered by our existing ETC on three sides. The property is leased to Telstra through July 2022. This lease will allow us time to plan for the efficient integration of the property into our ETC. With this acquisition, Auburn Redyard now represents approximately 519,358 square feet of land, with approximately 1,641 feet of uninterrupted frontage to Parramatta Road, a major Sydney arterial motorway.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Landholding Acquisition in Townsville, Australia </w:t>
      </w:r>
      <w:r>
        <w:rPr>
          <w:rFonts w:ascii="Arial" w:cs="Arial" w:eastAsia="Arial" w:hAnsi="Arial"/>
          <w:sz w:val="18"/>
          <w:szCs w:val="18"/>
          <w:i w:val="1"/>
          <w:iCs w:val="1"/>
          <w:color w:val="auto"/>
        </w:rPr>
        <w:t>(Asset Acquisition, 2018)</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13, 2018, we acquired a 163,000 square foot parcel of land at our Cannon Park ETC, in connection with the restructuring of our relationship with the adjacent landowner. Prior to the restructuring, this parcel was commonly owned by us and the adjoining landowner. In the restructuring, the adjoining landowner conveyed to us its interest in the parcel for AU$1. We granted the adjoining landowner certain access rights with respect to that parcel.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37" w:right="9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auto"/>
        </w:rPr>
        <w:t>NOTE 5 – PROPERTIES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Property,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associated with our operating activities is summarized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r>
      <w:tr>
        <w:trPr>
          <w:trHeight w:val="209"/>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16"/>
        </w:trPr>
        <w:tc>
          <w:tcPr>
            <w:tcW w:w="7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75,689</w:t>
            </w:r>
          </w:p>
        </w:tc>
      </w:tr>
      <w:tr>
        <w:trPr>
          <w:trHeight w:val="216"/>
        </w:trPr>
        <w:tc>
          <w:tcPr>
            <w:tcW w:w="7120" w:type="dxa"/>
            <w:vAlign w:val="bottom"/>
          </w:tcPr>
          <w:p>
            <w:pPr>
              <w:ind w:left="10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149,852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149,734</w:t>
            </w:r>
          </w:p>
        </w:tc>
      </w:tr>
      <w:tr>
        <w:trPr>
          <w:trHeight w:val="216"/>
        </w:trPr>
        <w:tc>
          <w:tcPr>
            <w:tcW w:w="7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55,299</w:t>
            </w:r>
          </w:p>
        </w:tc>
      </w:tr>
      <w:tr>
        <w:trPr>
          <w:trHeight w:val="216"/>
        </w:trPr>
        <w:tc>
          <w:tcPr>
            <w:tcW w:w="7120" w:type="dxa"/>
            <w:vAlign w:val="bottom"/>
          </w:tcPr>
          <w:p>
            <w:pPr>
              <w:ind w:left="100"/>
              <w:spacing w:after="0"/>
              <w:rPr>
                <w:sz w:val="20"/>
                <w:szCs w:val="20"/>
                <w:color w:val="auto"/>
              </w:rPr>
            </w:pPr>
            <w:r>
              <w:rPr>
                <w:rFonts w:ascii="Arial" w:cs="Arial" w:eastAsia="Arial" w:hAnsi="Arial"/>
                <w:sz w:val="18"/>
                <w:szCs w:val="18"/>
                <w:color w:val="auto"/>
              </w:rPr>
              <w:t>Fixtures and equipment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186,949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167,943</w:t>
            </w:r>
          </w:p>
        </w:tc>
      </w:tr>
      <w:tr>
        <w:trPr>
          <w:trHeight w:val="216"/>
        </w:trPr>
        <w:tc>
          <w:tcPr>
            <w:tcW w:w="7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Construction-in-progress</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r>
      <w:tr>
        <w:trPr>
          <w:trHeight w:val="210"/>
        </w:trPr>
        <w:tc>
          <w:tcPr>
            <w:tcW w:w="7120" w:type="dxa"/>
            <w:vAlign w:val="bottom"/>
          </w:tcPr>
          <w:p>
            <w:pPr>
              <w:ind w:left="220"/>
              <w:spacing w:after="0"/>
              <w:rPr>
                <w:sz w:val="20"/>
                <w:szCs w:val="20"/>
                <w:color w:val="auto"/>
              </w:rPr>
            </w:pPr>
            <w:r>
              <w:rPr>
                <w:rFonts w:ascii="Arial" w:cs="Arial" w:eastAsia="Arial" w:hAnsi="Arial"/>
                <w:sz w:val="18"/>
                <w:szCs w:val="18"/>
                <w:color w:val="auto"/>
              </w:rPr>
              <w:t>Total cost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474,860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452,143</w:t>
            </w:r>
          </w:p>
        </w:tc>
      </w:tr>
      <w:tr>
        <w:trPr>
          <w:trHeight w:val="216"/>
        </w:trPr>
        <w:tc>
          <w:tcPr>
            <w:tcW w:w="7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(216,722)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(194,476)</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Operating Properties, net</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258,138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257,667</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our total operating properties as disclosed above, the gross and carrying amounts of the portion of our properties currently on lease or held for leasing as of December 31, 2019 and 2018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210"/>
        </w:trPr>
        <w:tc>
          <w:tcPr>
            <w:tcW w:w="7360" w:type="dxa"/>
            <w:vAlign w:val="bottom"/>
            <w:gridSpan w:val="2"/>
          </w:tcPr>
          <w:p>
            <w:pPr>
              <w:jc w:val="right"/>
              <w:ind w:right="6060"/>
              <w:spacing w:after="0"/>
              <w:rPr>
                <w:sz w:val="20"/>
                <w:szCs w:val="20"/>
                <w:color w:val="auto"/>
              </w:rPr>
            </w:pPr>
            <w:r>
              <w:rPr>
                <w:rFonts w:ascii="Arial" w:cs="Arial" w:eastAsia="Arial" w:hAnsi="Arial"/>
                <w:sz w:val="14"/>
                <w:szCs w:val="14"/>
                <w:i w:val="1"/>
                <w:iCs w:val="1"/>
                <w:color w:val="auto"/>
                <w:w w:val="93"/>
              </w:rPr>
              <w:t>(Dollars in thousands)</w:t>
            </w:r>
          </w:p>
        </w:tc>
        <w:tc>
          <w:tcPr>
            <w:tcW w:w="280" w:type="dxa"/>
            <w:vAlign w:val="bottom"/>
          </w:tcPr>
          <w:p>
            <w:pPr>
              <w:spacing w:after="0"/>
              <w:rPr>
                <w:sz w:val="18"/>
                <w:szCs w:val="18"/>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r>
      <w:tr>
        <w:trPr>
          <w:trHeight w:val="216"/>
        </w:trPr>
        <w:tc>
          <w:tcPr>
            <w:tcW w:w="72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Building and improvements</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6"/>
        </w:trPr>
        <w:tc>
          <w:tcPr>
            <w:tcW w:w="7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Gross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67,887</w:t>
            </w:r>
          </w:p>
        </w:tc>
      </w:tr>
      <w:tr>
        <w:trPr>
          <w:trHeight w:val="216"/>
        </w:trPr>
        <w:tc>
          <w:tcPr>
            <w:tcW w:w="73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20,220</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17,709</w:t>
            </w:r>
          </w:p>
        </w:tc>
      </w:tr>
      <w:tr>
        <w:trPr>
          <w:trHeight w:val="217"/>
        </w:trPr>
        <w:tc>
          <w:tcPr>
            <w:tcW w:w="7360" w:type="dxa"/>
            <w:vAlign w:val="bottom"/>
            <w:tcBorders>
              <w:bottom w:val="single" w:sz="8" w:color="CCEEFF"/>
            </w:tcBorders>
            <w:gridSpan w:val="2"/>
            <w:shd w:val="clear" w:color="auto" w:fill="CCEEFF"/>
          </w:tcPr>
          <w:p>
            <w:pPr>
              <w:jc w:val="right"/>
              <w:ind w:right="6060"/>
              <w:spacing w:after="0"/>
              <w:rPr>
                <w:sz w:val="20"/>
                <w:szCs w:val="20"/>
                <w:color w:val="auto"/>
              </w:rPr>
            </w:pPr>
            <w:r>
              <w:rPr>
                <w:rFonts w:ascii="Arial" w:cs="Arial" w:eastAsia="Arial" w:hAnsi="Arial"/>
                <w:sz w:val="18"/>
                <w:szCs w:val="18"/>
                <w:b w:val="1"/>
                <w:bCs w:val="1"/>
                <w:color w:val="auto"/>
                <w:w w:val="96"/>
              </w:rPr>
              <w:t>Net Book Value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47,546</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50,178</w:t>
            </w:r>
          </w:p>
        </w:tc>
      </w:tr>
    </w:tbl>
    <w:p>
      <w:pPr>
        <w:spacing w:after="0" w:line="202" w:lineRule="exact"/>
        <w:rPr>
          <w:sz w:val="20"/>
          <w:szCs w:val="20"/>
          <w:color w:val="auto"/>
        </w:rPr>
      </w:pPr>
    </w:p>
    <w:p>
      <w:pPr>
        <w:ind w:left="40" w:right="160" w:hanging="44"/>
        <w:spacing w:after="0" w:line="277" w:lineRule="auto"/>
        <w:rPr>
          <w:sz w:val="20"/>
          <w:szCs w:val="20"/>
          <w:color w:val="auto"/>
        </w:rPr>
      </w:pPr>
      <w:r>
        <w:rPr>
          <w:rFonts w:ascii="Arial" w:cs="Arial" w:eastAsia="Arial" w:hAnsi="Arial"/>
          <w:sz w:val="18"/>
          <w:szCs w:val="18"/>
          <w:color w:val="auto"/>
        </w:rPr>
        <w:t>Depreciation expense for operating property was $22.0 million, $19.5 million, and $14.0 million for the year ended December 31,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Development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development property is summarized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8"/>
                <w:szCs w:val="18"/>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16"/>
        </w:trPr>
        <w:tc>
          <w:tcPr>
            <w:tcW w:w="7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24,446</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24,371</w:t>
            </w:r>
          </w:p>
        </w:tc>
      </w:tr>
      <w:tr>
        <w:trPr>
          <w:trHeight w:val="216"/>
        </w:trPr>
        <w:tc>
          <w:tcPr>
            <w:tcW w:w="7360" w:type="dxa"/>
            <w:vAlign w:val="bottom"/>
            <w:gridSpan w:val="2"/>
          </w:tcPr>
          <w:p>
            <w:pPr>
              <w:ind w:left="100"/>
              <w:spacing w:after="0"/>
              <w:rPr>
                <w:sz w:val="20"/>
                <w:szCs w:val="20"/>
                <w:color w:val="auto"/>
              </w:rPr>
            </w:pPr>
            <w:r>
              <w:rPr>
                <w:rFonts w:ascii="Arial" w:cs="Arial" w:eastAsia="Arial" w:hAnsi="Arial"/>
                <w:sz w:val="18"/>
                <w:szCs w:val="18"/>
                <w:color w:val="auto"/>
              </w:rPr>
              <w:t>Building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7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Construction-in-progress (including capitalized interest)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87,678</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60,533</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Investment and development property,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114,024</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86,804</w:t>
            </w: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year ended December 31, 2019 and 2018, we capitalized interest charges of $6.2 million and $3.3 million pertaining to our on-going development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INVESTMENTS IN UNCONSOLIDATED JOINT VENTURES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investments in unconsolidated joint ventures are accounted for under the equity method of accounting. The table below summarizes our active investment holdings in two unconsolidated joint ventures: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Interest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Mt. Gravatt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20" w:type="dxa"/>
            <w:vAlign w:val="bottom"/>
          </w:tcPr>
          <w:p>
            <w:pPr>
              <w:spacing w:after="0"/>
              <w:rPr>
                <w:sz w:val="18"/>
                <w:szCs w:val="18"/>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Rialto Cinemas</w:t>
            </w:r>
          </w:p>
        </w:tc>
        <w:tc>
          <w:tcPr>
            <w:tcW w:w="23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8"/>
                <w:szCs w:val="18"/>
                <w:color w:val="auto"/>
              </w:rPr>
            </w:pPr>
          </w:p>
        </w:tc>
      </w:tr>
      <w:tr>
        <w:trPr>
          <w:trHeight w:val="229"/>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Joint Ventures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5,069</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w:t>
            </w:r>
          </w:p>
        </w:tc>
        <w:tc>
          <w:tcPr>
            <w:tcW w:w="20" w:type="dxa"/>
            <w:vAlign w:val="bottom"/>
          </w:tcPr>
          <w:p>
            <w:pPr>
              <w:spacing w:after="0"/>
              <w:rPr>
                <w:sz w:val="19"/>
                <w:szCs w:val="19"/>
                <w:color w:val="auto"/>
              </w:rPr>
            </w:pPr>
          </w:p>
        </w:tc>
      </w:tr>
      <w:tr>
        <w:trPr>
          <w:trHeight w:val="635"/>
        </w:trPr>
        <w:tc>
          <w:tcPr>
            <w:tcW w:w="4820" w:type="dxa"/>
            <w:vAlign w:val="bottom"/>
          </w:tcPr>
          <w:p>
            <w:pPr>
              <w:ind w:left="47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0"/>
              <w:spacing w:after="0"/>
              <w:rPr>
                <w:sz w:val="20"/>
                <w:szCs w:val="20"/>
                <w:color w:val="auto"/>
              </w:rPr>
            </w:pPr>
            <w:r>
              <w:rPr>
                <w:rFonts w:ascii="Arial" w:cs="Arial" w:eastAsia="Arial" w:hAnsi="Arial"/>
                <w:sz w:val="18"/>
                <w:szCs w:val="18"/>
                <w:color w:val="auto"/>
              </w:rPr>
              <w:t>90 -</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8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337" w:right="9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Our recorded share of equity earnings from our investments in unconsolidated joint ventures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Mt. Gravatt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Rialto Cinemas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Rialto Distribution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equity earnings</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 Gravatt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own an undivided 33.3% interest in Mt. Gravatt, an unincorporated joint venture that owns and operates a sixteen-screen multiplex cinema in Australia.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Rialto Cinemas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own an undivided 50.0% interest in the assets and liabilities of the Rialto Entertainment joint venture that owns and operates two (2) movie theaters, with 13 screens in New Zealand.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Rialto Distribution</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2017, this investment was transferred to our previous business partners. We paid an amount lower than the accrual we had taken for our debt obligation in the joint venture. Consequently, we recognized a gain of $15,000 (NZ$21,000) during the quarter ended June 30,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goodwill by business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Cinema</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 Estate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20,276</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19,445</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Change in goodwill due to purchase of business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7,126</w:t>
            </w:r>
          </w:p>
        </w:tc>
      </w:tr>
      <w:tr>
        <w:trPr>
          <w:trHeight w:val="23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26,448</w:t>
            </w: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2019. The assessment results indicated that there is no impairment to our goodwill as of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intangible assets other than goodwill:</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Beneficial</w:t>
            </w: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Trade</w:t>
            </w:r>
          </w:p>
        </w:tc>
        <w:tc>
          <w:tcPr>
            <w:tcW w:w="134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2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140" w:type="dxa"/>
            <w:vAlign w:val="bottom"/>
          </w:tcPr>
          <w:p>
            <w:pPr>
              <w:spacing w:after="0"/>
              <w:rPr>
                <w:sz w:val="15"/>
                <w:szCs w:val="15"/>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309360" cy="146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0936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Gross carrying amount</w:t>
            </w:r>
          </w:p>
        </w:tc>
        <w:tc>
          <w:tcPr>
            <w:tcW w:w="320" w:type="dxa"/>
            <w:vAlign w:val="bottom"/>
            <w:gridSpan w:val="2"/>
          </w:tcPr>
          <w:p>
            <w:pPr>
              <w:jc w:val="right"/>
              <w:ind w:right="7"/>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15,048</w:t>
            </w:r>
          </w:p>
        </w:tc>
        <w:tc>
          <w:tcPr>
            <w:tcW w:w="60" w:type="dxa"/>
            <w:vAlign w:val="bottom"/>
          </w:tcPr>
          <w:p>
            <w:pPr>
              <w:spacing w:after="0"/>
              <w:rPr>
                <w:sz w:val="17"/>
                <w:szCs w:val="17"/>
                <w:color w:val="auto"/>
              </w:rPr>
            </w:pPr>
          </w:p>
        </w:tc>
        <w:tc>
          <w:tcPr>
            <w:tcW w:w="34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center"/>
              <w:ind w:left="376"/>
              <w:spacing w:after="0" w:line="201" w:lineRule="exact"/>
              <w:rPr>
                <w:sz w:val="20"/>
                <w:szCs w:val="20"/>
                <w:color w:val="auto"/>
              </w:rPr>
            </w:pPr>
            <w:r>
              <w:rPr>
                <w:rFonts w:ascii="Arial" w:cs="Arial" w:eastAsia="Arial" w:hAnsi="Arial"/>
                <w:sz w:val="18"/>
                <w:szCs w:val="18"/>
                <w:color w:val="auto"/>
                <w:w w:val="88"/>
              </w:rPr>
              <w:t>7,258</w:t>
            </w:r>
          </w:p>
        </w:tc>
        <w:tc>
          <w:tcPr>
            <w:tcW w:w="80" w:type="dxa"/>
            <w:vAlign w:val="bottom"/>
          </w:tcPr>
          <w:p>
            <w:pPr>
              <w:spacing w:after="0"/>
              <w:rPr>
                <w:sz w:val="17"/>
                <w:szCs w:val="17"/>
                <w:color w:val="auto"/>
              </w:rPr>
            </w:pPr>
          </w:p>
        </w:tc>
        <w:tc>
          <w:tcPr>
            <w:tcW w:w="260" w:type="dxa"/>
            <w:vAlign w:val="bottom"/>
            <w:gridSpan w:val="2"/>
          </w:tcPr>
          <w:p>
            <w:pPr>
              <w:jc w:val="right"/>
              <w:ind w:right="27"/>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3,145</w:t>
            </w:r>
          </w:p>
        </w:tc>
        <w:tc>
          <w:tcPr>
            <w:tcW w:w="60" w:type="dxa"/>
            <w:vAlign w:val="bottom"/>
          </w:tcPr>
          <w:p>
            <w:pPr>
              <w:spacing w:after="0"/>
              <w:rPr>
                <w:sz w:val="17"/>
                <w:szCs w:val="17"/>
                <w:color w:val="auto"/>
              </w:rPr>
            </w:pPr>
          </w:p>
        </w:tc>
        <w:tc>
          <w:tcPr>
            <w:tcW w:w="36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25,451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(14,496)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center"/>
              <w:ind w:left="256"/>
              <w:spacing w:after="0"/>
              <w:rPr>
                <w:sz w:val="20"/>
                <w:szCs w:val="20"/>
                <w:color w:val="auto"/>
              </w:rPr>
            </w:pPr>
            <w:r>
              <w:rPr>
                <w:rFonts w:ascii="Arial" w:cs="Arial" w:eastAsia="Arial" w:hAnsi="Arial"/>
                <w:sz w:val="18"/>
                <w:szCs w:val="18"/>
                <w:color w:val="auto"/>
                <w:w w:val="91"/>
              </w:rPr>
              <w:t>(5,449)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(21,131)</w:t>
            </w:r>
          </w:p>
        </w:tc>
        <w:tc>
          <w:tcPr>
            <w:tcW w:w="0" w:type="dxa"/>
            <w:vAlign w:val="bottom"/>
          </w:tcPr>
          <w:p>
            <w:pPr>
              <w:spacing w:after="0"/>
              <w:rPr>
                <w:sz w:val="1"/>
                <w:szCs w:val="1"/>
                <w:color w:val="auto"/>
              </w:rPr>
            </w:pPr>
          </w:p>
        </w:tc>
      </w:tr>
      <w:tr>
        <w:trPr>
          <w:trHeight w:val="216"/>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intangible assets other than 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center"/>
              <w:ind w:left="376"/>
              <w:spacing w:after="0"/>
              <w:rPr>
                <w:sz w:val="20"/>
                <w:szCs w:val="20"/>
                <w:color w:val="auto"/>
              </w:rPr>
            </w:pPr>
            <w:r>
              <w:rPr>
                <w:rFonts w:ascii="Arial" w:cs="Arial" w:eastAsia="Arial" w:hAnsi="Arial"/>
                <w:sz w:val="18"/>
                <w:szCs w:val="18"/>
                <w:b w:val="1"/>
                <w:bCs w:val="1"/>
                <w:color w:val="auto"/>
                <w:w w:val="88"/>
              </w:rPr>
              <w:t>1,809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Beneficial</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5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center"/>
              <w:ind w:left="376"/>
              <w:spacing w:after="0"/>
              <w:rPr>
                <w:sz w:val="20"/>
                <w:szCs w:val="20"/>
                <w:color w:val="auto"/>
              </w:rPr>
            </w:pPr>
            <w:r>
              <w:rPr>
                <w:rFonts w:ascii="Arial" w:cs="Arial" w:eastAsia="Arial" w:hAnsi="Arial"/>
                <w:sz w:val="18"/>
                <w:szCs w:val="18"/>
                <w:color w:val="auto"/>
                <w:w w:val="88"/>
              </w:rPr>
              <w:t>7,254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(24,145)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left="256"/>
              <w:spacing w:after="0"/>
              <w:rPr>
                <w:sz w:val="20"/>
                <w:szCs w:val="20"/>
                <w:color w:val="auto"/>
              </w:rPr>
            </w:pPr>
            <w:r>
              <w:rPr>
                <w:rFonts w:ascii="Arial" w:cs="Arial" w:eastAsia="Arial" w:hAnsi="Arial"/>
                <w:sz w:val="18"/>
                <w:szCs w:val="18"/>
                <w:color w:val="auto"/>
                <w:w w:val="91"/>
              </w:rPr>
              <w:t>(5,207)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intangible assets other than 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center"/>
              <w:ind w:left="376"/>
              <w:spacing w:after="0"/>
              <w:rPr>
                <w:sz w:val="20"/>
                <w:szCs w:val="20"/>
                <w:color w:val="auto"/>
              </w:rPr>
            </w:pPr>
            <w:r>
              <w:rPr>
                <w:rFonts w:ascii="Arial" w:cs="Arial" w:eastAsia="Arial" w:hAnsi="Arial"/>
                <w:sz w:val="18"/>
                <w:szCs w:val="18"/>
                <w:b w:val="1"/>
                <w:bCs w:val="1"/>
                <w:color w:val="auto"/>
                <w:w w:val="88"/>
              </w:rPr>
              <w:t>2,047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5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4"/>
              <w:spacing w:after="0"/>
              <w:rPr>
                <w:sz w:val="20"/>
                <w:szCs w:val="20"/>
                <w:color w:val="auto"/>
              </w:rPr>
            </w:pPr>
            <w:r>
              <w:rPr>
                <w:rFonts w:ascii="Arial" w:cs="Arial" w:eastAsia="Arial" w:hAnsi="Arial"/>
                <w:sz w:val="18"/>
                <w:szCs w:val="18"/>
                <w:color w:val="auto"/>
              </w:rPr>
              <w:t>91 -</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341" w:right="959" w:bottom="1440" w:gutter="0" w:footer="0" w:header="0"/>
        </w:sectPr>
      </w:pPr>
    </w:p>
    <w:bookmarkStart w:id="92" w:name="page93"/>
    <w:bookmarkEnd w:id="92"/>
    <w:p>
      <w:pPr>
        <w:ind w:right="120"/>
        <w:spacing w:after="0" w:line="254" w:lineRule="auto"/>
        <w:rPr>
          <w:sz w:val="20"/>
          <w:szCs w:val="20"/>
          <w:color w:val="auto"/>
        </w:rPr>
      </w:pPr>
      <w:r>
        <w:rPr>
          <w:rFonts w:ascii="Arial" w:cs="Arial" w:eastAsia="Arial" w:hAnsi="Arial"/>
          <w:sz w:val="18"/>
          <w:szCs w:val="18"/>
          <w:color w:val="auto"/>
        </w:rPr>
        <w:t>Beneficial leases obtained from business combinations relating to our arrangements as lessee were amortized over the life of the lease up to 30 years until January 1, 2019. Under ASC 842 they are now incorporated into the relevant right-of-use asset. The remaining balance of beneficial leases relates to our operations as lessor. Trade names are amortized using an accelerated amortization method over an estimated useful life of 30 years, and other intangible assets over their estimated useful life of up to 30 years (except for transferrable liquor licenses, which are indefinite-lived assets, with a balance of $496,000 and $496,000 as of December 31, 2019 and 2018). For the years ended December 31, 2019, 2018, and 2017, our amortization expense was $0.7 million, $1.9 million, and $1.7 million, respectively.</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2019, the estimated amortization expense for our amortizable intangibles, in the five succeeding years and thereafter is as follows: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Estimated</w:t>
            </w:r>
          </w:p>
        </w:tc>
      </w:tr>
      <w:tr>
        <w:trPr>
          <w:trHeight w:val="148"/>
        </w:trPr>
        <w:tc>
          <w:tcPr>
            <w:tcW w:w="2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Future</w:t>
            </w:r>
          </w:p>
        </w:tc>
      </w:tr>
      <w:tr>
        <w:trPr>
          <w:trHeight w:val="148"/>
        </w:trPr>
        <w:tc>
          <w:tcPr>
            <w:tcW w:w="2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Amortization</w:t>
            </w:r>
          </w:p>
        </w:tc>
      </w:tr>
      <w:tr>
        <w:trPr>
          <w:trHeight w:val="178"/>
        </w:trPr>
        <w:tc>
          <w:tcPr>
            <w:tcW w:w="482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Expense</w:t>
            </w:r>
          </w:p>
        </w:tc>
      </w:tr>
      <w:tr>
        <w:trPr>
          <w:trHeight w:val="216"/>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2021</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2023</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r>
      <w:tr>
        <w:trPr>
          <w:trHeight w:val="216"/>
        </w:trPr>
        <w:tc>
          <w:tcPr>
            <w:tcW w:w="48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r>
      <w:tr>
        <w:trPr>
          <w:trHeight w:val="229"/>
        </w:trPr>
        <w:tc>
          <w:tcPr>
            <w:tcW w:w="4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future amortization expense</w:t>
            </w:r>
          </w:p>
        </w:tc>
        <w:tc>
          <w:tcPr>
            <w:tcW w:w="1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3,824</w:t>
            </w:r>
          </w:p>
        </w:tc>
        <w:tc>
          <w:tcPr>
            <w:tcW w:w="20" w:type="dxa"/>
            <w:vAlign w:val="bottom"/>
          </w:tcPr>
          <w:p>
            <w:pPr>
              <w:spacing w:after="0"/>
              <w:rPr>
                <w:sz w:val="19"/>
                <w:szCs w:val="19"/>
                <w:color w:val="auto"/>
              </w:rPr>
            </w:pPr>
          </w:p>
        </w:tc>
      </w:tr>
      <w:tr>
        <w:trPr>
          <w:trHeight w:val="378"/>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NOTE 8 – PREPAID AND OTHER ASSETS</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820" w:type="dxa"/>
            <w:vAlign w:val="bottom"/>
            <w:gridSpan w:val="3"/>
          </w:tcPr>
          <w:p>
            <w:pPr>
              <w:spacing w:after="0"/>
              <w:rPr>
                <w:sz w:val="20"/>
                <w:szCs w:val="20"/>
                <w:color w:val="auto"/>
              </w:rPr>
            </w:pPr>
            <w:r>
              <w:rPr>
                <w:rFonts w:ascii="Arial" w:cs="Arial" w:eastAsia="Arial" w:hAnsi="Arial"/>
                <w:sz w:val="18"/>
                <w:szCs w:val="18"/>
                <w:color w:val="auto"/>
              </w:rPr>
              <w:t>Prepaid and other assets are summarized as follows: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7"/>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4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5"/>
                <w:szCs w:val="15"/>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Prepaid and other current assets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0" w:type="dxa"/>
            <w:vAlign w:val="bottom"/>
          </w:tcPr>
          <w:p>
            <w:pPr>
              <w:spacing w:after="0"/>
              <w:rPr>
                <w:sz w:val="19"/>
                <w:szCs w:val="19"/>
                <w:color w:val="auto"/>
              </w:rPr>
            </w:pPr>
          </w:p>
        </w:tc>
      </w:tr>
      <w:tr>
        <w:trPr>
          <w:trHeight w:val="230"/>
        </w:trPr>
        <w:tc>
          <w:tcPr>
            <w:tcW w:w="4820" w:type="dxa"/>
            <w:vAlign w:val="bottom"/>
            <w:gridSpan w:val="3"/>
          </w:tcPr>
          <w:p>
            <w:pPr>
              <w:ind w:left="100"/>
              <w:spacing w:after="0"/>
              <w:rPr>
                <w:sz w:val="20"/>
                <w:szCs w:val="20"/>
                <w:color w:val="auto"/>
              </w:rPr>
            </w:pPr>
            <w:r>
              <w:rPr>
                <w:rFonts w:ascii="Arial" w:cs="Arial" w:eastAsia="Arial" w:hAnsi="Arial"/>
                <w:sz w:val="18"/>
                <w:szCs w:val="18"/>
                <w:color w:val="auto"/>
              </w:rPr>
              <w:t>Prepaid taxes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9"/>
                <w:szCs w:val="19"/>
                <w:color w:val="auto"/>
              </w:rPr>
            </w:pPr>
          </w:p>
        </w:tc>
      </w:tr>
      <w:tr>
        <w:trPr>
          <w:trHeight w:val="230"/>
        </w:trPr>
        <w:tc>
          <w:tcPr>
            <w:tcW w:w="4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Income taxes receivable</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0" w:type="dxa"/>
            <w:vAlign w:val="bottom"/>
          </w:tcPr>
          <w:p>
            <w:pPr>
              <w:spacing w:after="0"/>
              <w:rPr>
                <w:sz w:val="19"/>
                <w:szCs w:val="19"/>
                <w:color w:val="auto"/>
              </w:rPr>
            </w:pPr>
          </w:p>
        </w:tc>
      </w:tr>
      <w:tr>
        <w:trPr>
          <w:trHeight w:val="229"/>
        </w:trPr>
        <w:tc>
          <w:tcPr>
            <w:tcW w:w="4820" w:type="dxa"/>
            <w:vAlign w:val="bottom"/>
            <w:gridSpan w:val="3"/>
          </w:tcPr>
          <w:p>
            <w:pPr>
              <w:ind w:left="100"/>
              <w:spacing w:after="0"/>
              <w:rPr>
                <w:sz w:val="20"/>
                <w:szCs w:val="20"/>
                <w:color w:val="auto"/>
              </w:rPr>
            </w:pPr>
            <w:r>
              <w:rPr>
                <w:rFonts w:ascii="Arial" w:cs="Arial" w:eastAsia="Arial" w:hAnsi="Arial"/>
                <w:sz w:val="18"/>
                <w:szCs w:val="18"/>
                <w:color w:val="auto"/>
              </w:rPr>
              <w:t>Prepaid rent</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9"/>
                <w:szCs w:val="19"/>
                <w:color w:val="auto"/>
              </w:rPr>
            </w:pPr>
          </w:p>
        </w:tc>
      </w:tr>
      <w:tr>
        <w:trPr>
          <w:trHeight w:val="230"/>
        </w:trPr>
        <w:tc>
          <w:tcPr>
            <w:tcW w:w="4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Deposits</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r>
      <w:tr>
        <w:trPr>
          <w:trHeight w:val="230"/>
        </w:trPr>
        <w:tc>
          <w:tcPr>
            <w:tcW w:w="4820" w:type="dxa"/>
            <w:vAlign w:val="bottom"/>
            <w:gridSpan w:val="3"/>
          </w:tcPr>
          <w:p>
            <w:pPr>
              <w:ind w:left="100"/>
              <w:spacing w:after="0"/>
              <w:rPr>
                <w:sz w:val="20"/>
                <w:szCs w:val="20"/>
                <w:color w:val="auto"/>
              </w:rPr>
            </w:pPr>
            <w:r>
              <w:rPr>
                <w:rFonts w:ascii="Arial" w:cs="Arial" w:eastAsia="Arial" w:hAnsi="Arial"/>
                <w:sz w:val="18"/>
                <w:szCs w:val="18"/>
                <w:color w:val="auto"/>
              </w:rPr>
              <w:t>Restricted cash</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1,342</w:t>
            </w:r>
          </w:p>
        </w:tc>
        <w:tc>
          <w:tcPr>
            <w:tcW w:w="20" w:type="dxa"/>
            <w:vAlign w:val="bottom"/>
          </w:tcPr>
          <w:p>
            <w:pPr>
              <w:spacing w:after="0"/>
              <w:rPr>
                <w:sz w:val="19"/>
                <w:szCs w:val="19"/>
                <w:color w:val="auto"/>
              </w:rPr>
            </w:pPr>
          </w:p>
        </w:tc>
      </w:tr>
      <w:tr>
        <w:trPr>
          <w:trHeight w:val="230"/>
        </w:trPr>
        <w:tc>
          <w:tcPr>
            <w:tcW w:w="4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Investments in marketable securities</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16"/>
        </w:trPr>
        <w:tc>
          <w:tcPr>
            <w:tcW w:w="48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b w:val="1"/>
                <w:bCs w:val="1"/>
                <w:color w:val="auto"/>
              </w:rPr>
              <w:t>Total prepaid and other current assets</w:t>
            </w: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7,667</w:t>
            </w:r>
          </w:p>
        </w:tc>
        <w:tc>
          <w:tcPr>
            <w:tcW w:w="2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820" w:type="dxa"/>
            <w:vAlign w:val="bottom"/>
            <w:gridSpan w:val="3"/>
          </w:tcPr>
          <w:p>
            <w:pPr>
              <w:ind w:left="100"/>
              <w:spacing w:after="0"/>
              <w:rPr>
                <w:sz w:val="20"/>
                <w:szCs w:val="20"/>
                <w:color w:val="auto"/>
              </w:rPr>
            </w:pPr>
            <w:r>
              <w:rPr>
                <w:rFonts w:ascii="Arial" w:cs="Arial" w:eastAsia="Arial" w:hAnsi="Arial"/>
                <w:sz w:val="18"/>
                <w:szCs w:val="18"/>
                <w:color w:val="auto"/>
              </w:rPr>
              <w:t>Other non-cinema and non-rental real estate assets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19"/>
                <w:szCs w:val="19"/>
                <w:color w:val="auto"/>
              </w:rPr>
            </w:pPr>
          </w:p>
        </w:tc>
      </w:tr>
      <w:tr>
        <w:trPr>
          <w:trHeight w:val="230"/>
        </w:trPr>
        <w:tc>
          <w:tcPr>
            <w:tcW w:w="4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Investment in Reading International Trust I</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9"/>
                <w:szCs w:val="19"/>
                <w:color w:val="auto"/>
              </w:rPr>
            </w:pPr>
          </w:p>
        </w:tc>
      </w:tr>
      <w:tr>
        <w:trPr>
          <w:trHeight w:val="230"/>
        </w:trPr>
        <w:tc>
          <w:tcPr>
            <w:tcW w:w="4820" w:type="dxa"/>
            <w:vAlign w:val="bottom"/>
            <w:gridSpan w:val="3"/>
          </w:tcPr>
          <w:p>
            <w:pPr>
              <w:ind w:left="100"/>
              <w:spacing w:after="0"/>
              <w:rPr>
                <w:sz w:val="20"/>
                <w:szCs w:val="20"/>
                <w:color w:val="auto"/>
              </w:rPr>
            </w:pPr>
            <w:r>
              <w:rPr>
                <w:rFonts w:ascii="Arial" w:cs="Arial" w:eastAsia="Arial" w:hAnsi="Arial"/>
                <w:sz w:val="18"/>
                <w:szCs w:val="18"/>
                <w:color w:val="auto"/>
              </w:rPr>
              <w:t>Straight-line rent asset</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4,150</w:t>
            </w:r>
          </w:p>
        </w:tc>
        <w:tc>
          <w:tcPr>
            <w:tcW w:w="20" w:type="dxa"/>
            <w:vAlign w:val="bottom"/>
          </w:tcPr>
          <w:p>
            <w:pPr>
              <w:spacing w:after="0"/>
              <w:rPr>
                <w:sz w:val="19"/>
                <w:szCs w:val="19"/>
                <w:color w:val="auto"/>
              </w:rPr>
            </w:pPr>
          </w:p>
        </w:tc>
      </w:tr>
      <w:tr>
        <w:trPr>
          <w:trHeight w:val="230"/>
        </w:trPr>
        <w:tc>
          <w:tcPr>
            <w:tcW w:w="4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Long-term deposits</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16"/>
        </w:trPr>
        <w:tc>
          <w:tcPr>
            <w:tcW w:w="482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non-current assets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6,129</w:t>
            </w:r>
          </w:p>
        </w:tc>
        <w:tc>
          <w:tcPr>
            <w:tcW w:w="20" w:type="dxa"/>
            <w:vAlign w:val="bottom"/>
          </w:tcPr>
          <w:p>
            <w:pPr>
              <w:spacing w:after="0"/>
              <w:rPr>
                <w:sz w:val="18"/>
                <w:szCs w:val="18"/>
                <w:color w:val="auto"/>
              </w:rPr>
            </w:pPr>
          </w:p>
        </w:tc>
      </w:tr>
      <w:tr>
        <w:trPr>
          <w:trHeight w:val="392"/>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NOTE 9 - INCOME TAXES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820" w:type="dxa"/>
            <w:vAlign w:val="bottom"/>
            <w:gridSpan w:val="3"/>
          </w:tcPr>
          <w:p>
            <w:pPr>
              <w:spacing w:after="0"/>
              <w:rPr>
                <w:sz w:val="20"/>
                <w:szCs w:val="20"/>
                <w:color w:val="auto"/>
              </w:rPr>
            </w:pPr>
            <w:r>
              <w:rPr>
                <w:rFonts w:ascii="Arial" w:cs="Arial" w:eastAsia="Arial" w:hAnsi="Arial"/>
                <w:sz w:val="18"/>
                <w:szCs w:val="18"/>
                <w:color w:val="auto"/>
              </w:rPr>
              <w:t>Income before income taxes includes the following:</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1"/>
        </w:trPr>
        <w:tc>
          <w:tcPr>
            <w:tcW w:w="4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24"/>
                <w:szCs w:val="24"/>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0" w:type="dxa"/>
            <w:vAlign w:val="bottom"/>
          </w:tcPr>
          <w:p>
            <w:pPr>
              <w:spacing w:after="0"/>
              <w:rPr>
                <w:sz w:val="18"/>
                <w:szCs w:val="18"/>
                <w:color w:val="auto"/>
              </w:rPr>
            </w:pPr>
          </w:p>
        </w:tc>
      </w:tr>
      <w:tr>
        <w:trPr>
          <w:trHeight w:val="223"/>
        </w:trPr>
        <w:tc>
          <w:tcPr>
            <w:tcW w:w="48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13,081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19,983</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38,820</w:t>
            </w:r>
          </w:p>
        </w:tc>
        <w:tc>
          <w:tcPr>
            <w:tcW w:w="20" w:type="dxa"/>
            <w:vAlign w:val="bottom"/>
          </w:tcPr>
          <w:p>
            <w:pPr>
              <w:spacing w:after="0"/>
              <w:rPr>
                <w:sz w:val="19"/>
                <w:szCs w:val="19"/>
                <w:color w:val="auto"/>
              </w:rPr>
            </w:pPr>
          </w:p>
        </w:tc>
      </w:tr>
      <w:tr>
        <w:trPr>
          <w:trHeight w:val="184"/>
        </w:trPr>
        <w:tc>
          <w:tcPr>
            <w:tcW w:w="6020" w:type="dxa"/>
            <w:vAlign w:val="bottom"/>
            <w:gridSpan w:val="5"/>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5"/>
              </w:rPr>
              <w:t>Income (loss) before income taxes and equity earnings of unconsolidated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joint ventures</w:t>
            </w:r>
          </w:p>
        </w:tc>
        <w:tc>
          <w:tcPr>
            <w:tcW w:w="148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33,354</w:t>
            </w:r>
          </w:p>
        </w:tc>
        <w:tc>
          <w:tcPr>
            <w:tcW w:w="20" w:type="dxa"/>
            <w:vAlign w:val="bottom"/>
          </w:tcPr>
          <w:p>
            <w:pPr>
              <w:spacing w:after="0"/>
              <w:rPr>
                <w:sz w:val="20"/>
                <w:szCs w:val="20"/>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i w:val="1"/>
                <w:iCs w:val="1"/>
                <w:color w:val="auto"/>
              </w:rPr>
              <w:t>Equity earnings of unconsolidated joint ventures</w:t>
            </w: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82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792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8"/>
                <w:szCs w:val="18"/>
                <w:color w:val="auto"/>
              </w:rPr>
            </w:pPr>
          </w:p>
        </w:tc>
      </w:tr>
      <w:tr>
        <w:trPr>
          <w:trHeight w:val="229"/>
        </w:trPr>
        <w:tc>
          <w:tcPr>
            <w:tcW w:w="4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2,334</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17,464</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34,169</w:t>
            </w:r>
          </w:p>
        </w:tc>
        <w:tc>
          <w:tcPr>
            <w:tcW w:w="20" w:type="dxa"/>
            <w:vAlign w:val="bottom"/>
          </w:tcPr>
          <w:p>
            <w:pPr>
              <w:spacing w:after="0"/>
              <w:rPr>
                <w:sz w:val="19"/>
                <w:szCs w:val="19"/>
                <w:color w:val="auto"/>
              </w:rPr>
            </w:pPr>
          </w:p>
        </w:tc>
      </w:tr>
      <w:tr>
        <w:trPr>
          <w:trHeight w:val="635"/>
        </w:trPr>
        <w:tc>
          <w:tcPr>
            <w:tcW w:w="4820" w:type="dxa"/>
            <w:vAlign w:val="bottom"/>
            <w:gridSpan w:val="3"/>
          </w:tcPr>
          <w:p>
            <w:pPr>
              <w:ind w:left="47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0"/>
              <w:spacing w:after="0"/>
              <w:rPr>
                <w:sz w:val="20"/>
                <w:szCs w:val="20"/>
                <w:color w:val="auto"/>
              </w:rPr>
            </w:pPr>
            <w:r>
              <w:rPr>
                <w:rFonts w:ascii="Arial" w:cs="Arial" w:eastAsia="Arial" w:hAnsi="Arial"/>
                <w:sz w:val="18"/>
                <w:szCs w:val="18"/>
                <w:color w:val="auto"/>
              </w:rPr>
              <w:t>92 -</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21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341" w:right="9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Significant components of the provision for income taxes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Current income tax expense (benefit)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r>
              <w:rPr>
                <w:rFonts w:ascii="Arial" w:cs="Arial" w:eastAsia="Arial" w:hAnsi="Arial"/>
                <w:sz w:val="8"/>
                <w:szCs w:val="8"/>
                <w:color w:val="auto"/>
              </w:rPr>
              <w:t>(1)</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w:t>
            </w:r>
          </w:p>
        </w:tc>
      </w:tr>
      <w:tr>
        <w:trPr>
          <w:trHeight w:val="216"/>
        </w:trPr>
        <w:tc>
          <w:tcPr>
            <w:tcW w:w="5860" w:type="dxa"/>
            <w:vAlign w:val="bottom"/>
          </w:tcPr>
          <w:p>
            <w:pPr>
              <w:ind w:left="10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16"/>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r>
      <w:tr>
        <w:trPr>
          <w:trHeight w:val="21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expense (benefit)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860" w:type="dxa"/>
            <w:vAlign w:val="bottom"/>
          </w:tcPr>
          <w:p>
            <w:pPr>
              <w:ind w:left="10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16"/>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r>
      <w:tr>
        <w:trPr>
          <w:trHeight w:val="216"/>
        </w:trPr>
        <w:tc>
          <w:tcPr>
            <w:tcW w:w="5860" w:type="dxa"/>
            <w:vAlign w:val="bottom"/>
          </w:tcPr>
          <w:p>
            <w:pPr>
              <w:ind w:left="10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09"/>
        </w:trPr>
        <w:tc>
          <w:tcPr>
            <w:tcW w:w="5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21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3,293</w:t>
            </w:r>
          </w:p>
        </w:tc>
      </w:tr>
    </w:tbl>
    <w:p>
      <w:pPr>
        <w:spacing w:after="0" w:line="197" w:lineRule="exact"/>
        <w:rPr>
          <w:sz w:val="20"/>
          <w:szCs w:val="20"/>
          <w:color w:val="auto"/>
        </w:rPr>
      </w:pPr>
    </w:p>
    <w:p>
      <w:pPr>
        <w:ind w:left="640" w:hanging="320"/>
        <w:spacing w:after="0"/>
        <w:tabs>
          <w:tab w:leader="none" w:pos="6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2017 amount includes a federal tax benefit of $7,785 related to changes in unrecognized tax benefits and related interest.</w:t>
      </w:r>
    </w:p>
    <w:p>
      <w:pPr>
        <w:spacing w:after="0" w:line="2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6"/>
        </w:trPr>
        <w:tc>
          <w:tcPr>
            <w:tcW w:w="7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r>
      <w:tr>
        <w:trPr>
          <w:trHeight w:val="216"/>
        </w:trPr>
        <w:tc>
          <w:tcPr>
            <w:tcW w:w="7360" w:type="dxa"/>
            <w:vAlign w:val="bottom"/>
            <w:gridSpan w:val="2"/>
          </w:tcPr>
          <w:p>
            <w:pPr>
              <w:ind w:left="100"/>
              <w:spacing w:after="0"/>
              <w:rPr>
                <w:sz w:val="20"/>
                <w:szCs w:val="20"/>
                <w:color w:val="auto"/>
              </w:rPr>
            </w:pPr>
            <w:r>
              <w:rPr>
                <w:rFonts w:ascii="Arial" w:cs="Arial" w:eastAsia="Arial" w:hAnsi="Arial"/>
                <w:sz w:val="18"/>
                <w:szCs w:val="18"/>
                <w:color w:val="auto"/>
              </w:rPr>
              <w:t>Alternative minimum tax credit carry-forwards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16"/>
        </w:trPr>
        <w:tc>
          <w:tcPr>
            <w:tcW w:w="7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Tax Credit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16"/>
        </w:trPr>
        <w:tc>
          <w:tcPr>
            <w:tcW w:w="7360" w:type="dxa"/>
            <w:vAlign w:val="bottom"/>
            <w:gridSpan w:val="2"/>
          </w:tcPr>
          <w:p>
            <w:pPr>
              <w:ind w:left="100"/>
              <w:spacing w:after="0"/>
              <w:rPr>
                <w:sz w:val="20"/>
                <w:szCs w:val="20"/>
                <w:color w:val="auto"/>
              </w:rPr>
            </w:pPr>
            <w:r>
              <w:rPr>
                <w:rFonts w:ascii="Arial" w:cs="Arial" w:eastAsia="Arial" w:hAnsi="Arial"/>
                <w:sz w:val="18"/>
                <w:szCs w:val="18"/>
                <w:color w:val="auto"/>
              </w:rPr>
              <w:t>Compensation and employee benefits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16"/>
        </w:trPr>
        <w:tc>
          <w:tcPr>
            <w:tcW w:w="7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r>
      <w:tr>
        <w:trPr>
          <w:trHeight w:val="216"/>
        </w:trPr>
        <w:tc>
          <w:tcPr>
            <w:tcW w:w="7360" w:type="dxa"/>
            <w:vAlign w:val="bottom"/>
            <w:gridSpan w:val="2"/>
          </w:tcPr>
          <w:p>
            <w:pPr>
              <w:ind w:left="1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7,126</w:t>
            </w:r>
          </w:p>
        </w:tc>
      </w:tr>
      <w:tr>
        <w:trPr>
          <w:trHeight w:val="216"/>
        </w:trPr>
        <w:tc>
          <w:tcPr>
            <w:tcW w:w="7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16"/>
        </w:trPr>
        <w:tc>
          <w:tcPr>
            <w:tcW w:w="7360" w:type="dxa"/>
            <w:vAlign w:val="bottom"/>
            <w:gridSpan w:val="2"/>
          </w:tcPr>
          <w:p>
            <w:pPr>
              <w:ind w:left="100"/>
              <w:spacing w:after="0"/>
              <w:rPr>
                <w:sz w:val="20"/>
                <w:szCs w:val="20"/>
                <w:color w:val="auto"/>
              </w:rPr>
            </w:pPr>
            <w:r>
              <w:rPr>
                <w:rFonts w:ascii="Arial" w:cs="Arial" w:eastAsia="Arial" w:hAnsi="Arial"/>
                <w:sz w:val="18"/>
                <w:szCs w:val="18"/>
                <w:color w:val="auto"/>
              </w:rPr>
              <w:t>Lease obligations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68,320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Land and property</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10"/>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102,600</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34,787</w:t>
            </w: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(64,551)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16"/>
        </w:trPr>
        <w:tc>
          <w:tcPr>
            <w:tcW w:w="736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09"/>
        </w:trPr>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(65,210)</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Net deferred tax assets before valuation allowance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37,390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33,164</w:t>
            </w:r>
          </w:p>
        </w:tc>
      </w:tr>
      <w:tr>
        <w:trPr>
          <w:trHeight w:val="216"/>
        </w:trPr>
        <w:tc>
          <w:tcPr>
            <w:tcW w:w="7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Valuation allowance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(33,946)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asset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3,444</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26,444</w:t>
            </w:r>
          </w:p>
        </w:tc>
      </w:tr>
    </w:tbl>
    <w:p>
      <w:pPr>
        <w:spacing w:after="0" w:line="134"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We record net deferred tax assets to the extent we believe these assets will more-likely-than-not be realized. In making such determination, we considered all available positive and negative evidence, including scheduled reversals of deferred tax liabilities, projected future taxable income, tax planning strategies and recent financial performance. As of December 31, 2019, based on all available evidence, we believe the U.S. and state deferred tax assets as well as New Zealand loss carry-forwards do not support a conclusion of being more-likely-than-not to be realized, except for the carried forward tax credits relating to the U.S. alternative minimum tax. Accordingly, we recorded an increase to valuation allowance of $27.2 million. We reassess the valuation allowance quarterly and if future evidence allows for a partial or full release of the valuation allowance, a tax benefit will be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the following carry-forwards:</w:t>
      </w:r>
    </w:p>
    <w:p>
      <w:pPr>
        <w:ind w:left="640" w:hanging="320"/>
        <w:spacing w:after="0"/>
        <w:tabs>
          <w:tab w:leader="none" w:pos="64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approximately $3.6 million in Federal loss carry-forwards with no expiration date;</w:t>
      </w:r>
    </w:p>
    <w:p>
      <w:pPr>
        <w:spacing w:after="0" w:line="96" w:lineRule="exact"/>
        <w:rPr>
          <w:rFonts w:ascii="Arial" w:cs="Arial" w:eastAsia="Arial" w:hAnsi="Arial"/>
          <w:sz w:val="29"/>
          <w:szCs w:val="29"/>
          <w:color w:val="auto"/>
          <w:vertAlign w:val="superscript"/>
        </w:rPr>
      </w:pPr>
    </w:p>
    <w:p>
      <w:pPr>
        <w:ind w:left="640" w:right="500" w:hanging="320"/>
        <w:spacing w:after="0" w:line="191" w:lineRule="auto"/>
        <w:tabs>
          <w:tab w:leader="none" w:pos="64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approximately $1.2 million in U.S. alternative minimum tax credit carry-forwards with no expiration date and $661,000 is refundable in 2020;</w:t>
      </w:r>
    </w:p>
    <w:p>
      <w:pPr>
        <w:ind w:left="640" w:hanging="320"/>
        <w:spacing w:after="0" w:line="223" w:lineRule="auto"/>
        <w:tabs>
          <w:tab w:leader="none" w:pos="640" w:val="left"/>
        </w:tabs>
        <w:numPr>
          <w:ilvl w:val="0"/>
          <w:numId w:val="164"/>
        </w:numPr>
        <w:rPr>
          <w:rFonts w:ascii="Arial" w:cs="Arial" w:eastAsia="Arial" w:hAnsi="Arial"/>
          <w:sz w:val="29"/>
          <w:szCs w:val="29"/>
          <w:color w:val="auto"/>
          <w:vertAlign w:val="superscript"/>
        </w:rPr>
      </w:pPr>
      <w:r>
        <w:rPr>
          <w:rFonts w:ascii="Arial" w:cs="Arial" w:eastAsia="Arial" w:hAnsi="Arial"/>
          <w:sz w:val="18"/>
          <w:szCs w:val="18"/>
          <w:color w:val="auto"/>
        </w:rPr>
        <w:t>approximately $5.3 million in California loss carry-forwards expiring in 2038;</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64"/>
        </w:numPr>
        <w:rPr>
          <w:rFonts w:ascii="Arial" w:cs="Arial" w:eastAsia="Arial" w:hAnsi="Arial"/>
          <w:sz w:val="24"/>
          <w:szCs w:val="24"/>
          <w:color w:val="auto"/>
          <w:vertAlign w:val="superscript"/>
        </w:rPr>
      </w:pPr>
      <w:r>
        <w:rPr>
          <w:rFonts w:ascii="Arial" w:cs="Arial" w:eastAsia="Arial" w:hAnsi="Arial"/>
          <w:sz w:val="15"/>
          <w:szCs w:val="15"/>
          <w:color w:val="auto"/>
        </w:rPr>
        <w:t>approximately $4.1 million in Hawaii loss carry-forwards expiring in 2038;</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64"/>
        </w:numPr>
        <w:rPr>
          <w:rFonts w:ascii="Arial" w:cs="Arial" w:eastAsia="Arial" w:hAnsi="Arial"/>
          <w:sz w:val="24"/>
          <w:szCs w:val="24"/>
          <w:color w:val="auto"/>
          <w:vertAlign w:val="superscript"/>
        </w:rPr>
      </w:pPr>
      <w:r>
        <w:rPr>
          <w:rFonts w:ascii="Arial" w:cs="Arial" w:eastAsia="Arial" w:hAnsi="Arial"/>
          <w:sz w:val="15"/>
          <w:szCs w:val="15"/>
          <w:color w:val="auto"/>
        </w:rPr>
        <w:t>approximately $0.3 million in New Jersey state loss carry-forwards expiring in 2039;</w:t>
      </w:r>
    </w:p>
    <w:p>
      <w:pPr>
        <w:spacing w:after="0" w:line="9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64"/>
        </w:numPr>
        <w:rPr>
          <w:rFonts w:ascii="Arial" w:cs="Arial" w:eastAsia="Arial" w:hAnsi="Arial"/>
          <w:sz w:val="24"/>
          <w:szCs w:val="24"/>
          <w:color w:val="auto"/>
          <w:vertAlign w:val="superscript"/>
        </w:rPr>
      </w:pPr>
      <w:r>
        <w:rPr>
          <w:rFonts w:ascii="Arial" w:cs="Arial" w:eastAsia="Arial" w:hAnsi="Arial"/>
          <w:sz w:val="15"/>
          <w:szCs w:val="15"/>
          <w:color w:val="auto"/>
        </w:rPr>
        <w:t>approximately $44.1 million in New York state loss carry-forwards substantially expiring in 2034;</w:t>
      </w:r>
    </w:p>
    <w:p>
      <w:pPr>
        <w:spacing w:after="0" w:line="202" w:lineRule="exact"/>
        <w:rPr>
          <w:rFonts w:ascii="Arial" w:cs="Arial" w:eastAsia="Arial" w:hAnsi="Arial"/>
          <w:sz w:val="24"/>
          <w:szCs w:val="24"/>
          <w:color w:val="auto"/>
          <w:vertAlign w:val="superscript"/>
        </w:rPr>
      </w:pPr>
    </w:p>
    <w:p>
      <w:pPr>
        <w:ind w:left="4880" w:hanging="156"/>
        <w:spacing w:after="0"/>
        <w:tabs>
          <w:tab w:leader="none" w:pos="48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94" w:name="page95"/>
    <w:bookmarkEnd w:id="94"/>
    <w:p>
      <w:pPr>
        <w:ind w:left="640" w:hanging="320"/>
        <w:spacing w:after="0"/>
        <w:tabs>
          <w:tab w:leader="none" w:pos="640" w:val="left"/>
        </w:tabs>
        <w:numPr>
          <w:ilvl w:val="0"/>
          <w:numId w:val="165"/>
        </w:numPr>
        <w:rPr>
          <w:rFonts w:ascii="Arial" w:cs="Arial" w:eastAsia="Arial" w:hAnsi="Arial"/>
          <w:sz w:val="29"/>
          <w:szCs w:val="29"/>
          <w:color w:val="auto"/>
          <w:vertAlign w:val="superscript"/>
        </w:rPr>
      </w:pPr>
      <w:r>
        <w:rPr>
          <w:rFonts w:ascii="Arial" w:cs="Arial" w:eastAsia="Arial" w:hAnsi="Arial"/>
          <w:sz w:val="18"/>
          <w:szCs w:val="18"/>
          <w:color w:val="auto"/>
        </w:rPr>
        <w:t>approximately $44.0 million in New York city loss carry-forwards substantially expiring in 2034; and,</w:t>
      </w:r>
    </w:p>
    <w:p>
      <w:pPr>
        <w:spacing w:after="0" w:line="9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65"/>
        </w:numPr>
        <w:rPr>
          <w:rFonts w:ascii="Arial" w:cs="Arial" w:eastAsia="Arial" w:hAnsi="Arial"/>
          <w:sz w:val="24"/>
          <w:szCs w:val="24"/>
          <w:color w:val="auto"/>
          <w:vertAlign w:val="superscript"/>
        </w:rPr>
      </w:pPr>
      <w:r>
        <w:rPr>
          <w:rFonts w:ascii="Arial" w:cs="Arial" w:eastAsia="Arial" w:hAnsi="Arial"/>
          <w:sz w:val="15"/>
          <w:szCs w:val="15"/>
          <w:color w:val="auto"/>
        </w:rPr>
        <w:t>approximately $8.8 million in available New Zealand loss carry-forwards with no expiration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expect no substantial limitations on the future use of U.S. or foreign loss carry-forwards.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is different from amounts computed by applying U.S. statutory rates to consolidated losses before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reason for these differences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w:t>
            </w:r>
          </w:p>
        </w:tc>
      </w:tr>
      <w:tr>
        <w:trPr>
          <w:trHeight w:val="230"/>
        </w:trPr>
        <w:tc>
          <w:tcPr>
            <w:tcW w:w="5860" w:type="dxa"/>
            <w:vAlign w:val="bottom"/>
          </w:tcPr>
          <w:p>
            <w:pPr>
              <w:spacing w:after="0"/>
              <w:rPr>
                <w:sz w:val="20"/>
                <w:szCs w:val="20"/>
                <w:color w:val="auto"/>
              </w:rPr>
            </w:pPr>
            <w:r>
              <w:rPr>
                <w:rFonts w:ascii="Arial" w:cs="Arial" w:eastAsia="Arial" w:hAnsi="Arial"/>
                <w:sz w:val="18"/>
                <w:szCs w:val="18"/>
                <w:i w:val="1"/>
                <w:iCs w:val="1"/>
                <w:color w:val="auto"/>
              </w:rPr>
              <w:t>Increase (decrease) in tax expense resulting from:</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tax rate differential</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and local tax provision</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5860" w:type="dxa"/>
            <w:vAlign w:val="bottom"/>
          </w:tcPr>
          <w:p>
            <w:pPr>
              <w:ind w:left="100"/>
              <w:spacing w:after="0"/>
              <w:rPr>
                <w:sz w:val="20"/>
                <w:szCs w:val="20"/>
                <w:color w:val="auto"/>
              </w:rPr>
            </w:pPr>
            <w:r>
              <w:rPr>
                <w:rFonts w:ascii="Arial" w:cs="Arial" w:eastAsia="Arial" w:hAnsi="Arial"/>
                <w:sz w:val="18"/>
                <w:szCs w:val="18"/>
                <w:color w:val="auto"/>
              </w:rPr>
              <w:t>Prior year adjustment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Unrecognized tax benefits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r>
      <w:tr>
        <w:trPr>
          <w:trHeight w:val="229"/>
        </w:trPr>
        <w:tc>
          <w:tcPr>
            <w:tcW w:w="5860" w:type="dxa"/>
            <w:vAlign w:val="bottom"/>
          </w:tcPr>
          <w:p>
            <w:pPr>
              <w:ind w:left="100"/>
              <w:spacing w:after="0"/>
              <w:rPr>
                <w:sz w:val="20"/>
                <w:szCs w:val="20"/>
                <w:color w:val="auto"/>
              </w:rPr>
            </w:pPr>
            <w:r>
              <w:rPr>
                <w:rFonts w:ascii="Arial" w:cs="Arial" w:eastAsia="Arial" w:hAnsi="Arial"/>
                <w:sz w:val="18"/>
                <w:szCs w:val="18"/>
                <w:color w:val="auto"/>
              </w:rPr>
              <w:t>Advance to Overseas Subsidiary</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(7,620)</w:t>
            </w: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Impact of Tax Act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w:t>
            </w: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Non-taxable insurance proceeds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(1,871)</w:t>
            </w: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GILTI</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100"/>
              <w:spacing w:after="0"/>
              <w:rPr>
                <w:sz w:val="20"/>
                <w:szCs w:val="20"/>
                <w:color w:val="auto"/>
              </w:rPr>
            </w:pPr>
            <w:r>
              <w:rPr>
                <w:rFonts w:ascii="Arial" w:cs="Arial" w:eastAsia="Arial" w:hAnsi="Arial"/>
                <w:sz w:val="18"/>
                <w:szCs w:val="18"/>
                <w:color w:val="auto"/>
              </w:rPr>
              <w:t>Foreign Tax Credit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3,293</w:t>
            </w:r>
          </w:p>
        </w:tc>
      </w:tr>
    </w:tbl>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December 22, 2017, the U.S. Tax Cuts and Jobs Act of 2017 (the “Tax Act”) was signed into law. The Tax Act significantly changed the U.S. corporate income tax law by lowering the statutory corporate tax rate from 35% to 21%, imposed a one-time mandatory repatriation tax on deferred earnings of foreign subsidiaries, and changed how foreign earnings are subject to U.S. tax.</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the result of the Tax Act and under the guidance of the U.S. Securities and Exchange Commission Staff Accounting Bulletin No. 118, we recorded a provisional tax expense of approximately $13.0 million for the impact of the Tax Act in the fourth quarter of 2017. During the fourth quarter of 2018, upon finalizing the analysis of the impact from the Tax Act, we recorded a tax benefit of $2.3 million as an adjustment to the provisional estimate, for a net tax impact of $10.7 million. The $2.3 million is comprised of an adjustment of $1.2 million to the impact of the one-time mandatory repatriation tax on previously undistributed earnings of our foreign subsidiaries and $1.1 million from the re-measurement of federal net deferred tax liabilities resulting from the reduction in the U.S. statutory corporate tax rate.</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undistributed earnings of the Company's Australian subsidiaries are considered to be indefinitely reinvested cumulative to December 31, 2017. Accordingly, no provision for state income taxes has been provided on those undistributed earnings. Due to the 2017 enactment of the Tax Act, future repatriations of foreign earnings will generally not be subject to U.S. federal taxation but may incur minimal state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the activity related to unrecognized tax benefits, excluding interest and penalties,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 gross beginning balance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Gross increase (decrease) - prior year tax positions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(7,905)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(decrease) - current year tax positions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7"/>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 gross ending balance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3,123</w:t>
            </w: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2019 and 2018, if recognized, $4.1 million and $4.7 million respectively, of the unrecognized tax benefits would impact the Company’s effective tax rate.</w:t>
      </w:r>
    </w:p>
    <w:p>
      <w:pPr>
        <w:spacing w:after="0" w:line="170"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During the year ended December 31, 2018, we recorded an increase to tax interest of $430,000, resulting in a total $9.5 million in interest. During the year ended December 31, 2019, we recorded an increase to tax interest of $0.7 million, resulting in a total $10.2 million in interest.</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33" w:right="979" w:bottom="1440" w:gutter="0" w:footer="0" w:header="0"/>
        </w:sectPr>
      </w:pPr>
    </w:p>
    <w:bookmarkStart w:id="95" w:name="page96"/>
    <w:bookmarkEnd w:id="95"/>
    <w:p>
      <w:pPr>
        <w:ind w:right="20"/>
        <w:spacing w:after="0" w:line="308" w:lineRule="auto"/>
        <w:rPr>
          <w:sz w:val="20"/>
          <w:szCs w:val="20"/>
          <w:color w:val="auto"/>
        </w:rPr>
      </w:pPr>
      <w:r>
        <w:rPr>
          <w:rFonts w:ascii="Arial" w:cs="Arial" w:eastAsia="Arial" w:hAnsi="Arial"/>
          <w:sz w:val="17"/>
          <w:szCs w:val="17"/>
          <w:color w:val="auto"/>
        </w:rPr>
        <w:t>positions will increase within a range of $500,000 to $1.5 million. The reasons for such change include but are not limited to tax positions expected to be taken during 2019, revaluation of current uncertain tax positions, and expiring statutes of limitations.</w:t>
      </w:r>
    </w:p>
    <w:p>
      <w:pPr>
        <w:spacing w:after="0" w:line="14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Generally, changes to our federal and most state income tax returns for the calendar year 2015 and earlier are barred by statutes of limitations. The Internal Revenue Service (“IRS”) examined the tax return of Craig Corporation (“CRG”) for its tax year ended June 30, 1997. CRG was a stand-alone entity in the year of audit but is now a wholly owned subsidiary of the Company. In Tax Court, CRG and the IRS agreed to compromise the claims made by the IRS against CRG, and the court order was entered on January 6, 2011.</w:t>
      </w:r>
    </w:p>
    <w:p>
      <w:pPr>
        <w:spacing w:after="0" w:line="15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December 31, 2019, federal income tax returns for 2016 and after are open for examination, with the 2015 return being currently under examination. California worldwide unitary income tax returns for 2015 and after are open for examination. Income tax returns filed in Puerto Rico for calendar year 2015 and after are open for examination. Australia income tax returns for calendar years 2015 and after are open for examination. A review of Australian returns for 2014 and 2015 has been completed with final terms concluded during</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2019. Generally, New Zealand returns for calendar years 2014 and after remain open for examination. An examination of New Zealand income tax returns for calendar year 2009 and after has been completed during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BORROWINGS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borrowings at December 31, 2019 and 2018, net of deferred financing costs and incorporating the impact of interest rate swaps on our effective interest rates, are summarized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20"/>
                <w:szCs w:val="2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Stated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Interest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8"/>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6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Facility</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Net</w:t>
            </w:r>
            <w:r>
              <w:rPr>
                <w:rFonts w:ascii="Arial" w:cs="Arial" w:eastAsia="Arial" w:hAnsi="Arial"/>
                <w:sz w:val="7"/>
                <w:szCs w:val="7"/>
                <w:b w:val="1"/>
                <w:bCs w:val="1"/>
                <w:color w:val="auto"/>
              </w:rPr>
              <w:t>(1)</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rPr>
                <w:sz w:val="20"/>
                <w:szCs w:val="20"/>
                <w:color w:val="auto"/>
              </w:rPr>
            </w:pPr>
            <w:r>
              <w:rPr>
                <w:rFonts w:ascii="Arial" w:cs="Arial" w:eastAsia="Arial" w:hAnsi="Arial"/>
                <w:sz w:val="14"/>
                <w:szCs w:val="14"/>
                <w:color w:val="auto"/>
              </w:rPr>
              <w:t>Denominated in USD</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Trust Preferred Securities (USA)</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7"/>
              </w:rPr>
              <w:t>April 30, 2027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5.94%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5.94%</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00"/>
              <w:spacing w:after="0"/>
              <w:rPr>
                <w:sz w:val="20"/>
                <w:szCs w:val="20"/>
                <w:color w:val="auto"/>
              </w:rPr>
            </w:pPr>
            <w:r>
              <w:rPr>
                <w:rFonts w:ascii="Arial" w:cs="Arial" w:eastAsia="Arial" w:hAnsi="Arial"/>
                <w:sz w:val="14"/>
                <w:szCs w:val="14"/>
                <w:color w:val="auto"/>
              </w:rPr>
              <w:t>Bank of America Credit Facility (USA)</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March 6, 2023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33,445</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4.80%</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4.80%</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Bank of America Line of Credit (USA)</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March 6, 2023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4.80%</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00"/>
              <w:spacing w:after="0"/>
              <w:rPr>
                <w:sz w:val="20"/>
                <w:szCs w:val="20"/>
                <w:color w:val="auto"/>
              </w:rPr>
            </w:pPr>
            <w:r>
              <w:rPr>
                <w:rFonts w:ascii="Arial" w:cs="Arial" w:eastAsia="Arial" w:hAnsi="Arial"/>
                <w:sz w:val="14"/>
                <w:szCs w:val="14"/>
                <w:color w:val="auto"/>
              </w:rPr>
              <w:t>Cinemas 1, 2, 3 Term Loan (USA)</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April 1, 2022</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18,658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18,658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18,532</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3.25%</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3.25%</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Minetta &amp; Orpheum Theatres Loan (USA)</w:t>
            </w:r>
            <w:r>
              <w:rPr>
                <w:rFonts w:ascii="Arial" w:cs="Arial" w:eastAsia="Arial" w:hAnsi="Arial"/>
                <w:sz w:val="7"/>
                <w:szCs w:val="7"/>
                <w:color w:val="auto"/>
              </w:rPr>
              <w:t>(2)</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November 1, 2023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5.15%</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00"/>
              <w:spacing w:after="0"/>
              <w:rPr>
                <w:sz w:val="20"/>
                <w:szCs w:val="20"/>
                <w:color w:val="auto"/>
              </w:rPr>
            </w:pPr>
            <w:r>
              <w:rPr>
                <w:rFonts w:ascii="Arial" w:cs="Arial" w:eastAsia="Arial" w:hAnsi="Arial"/>
                <w:sz w:val="14"/>
                <w:szCs w:val="14"/>
                <w:color w:val="auto"/>
              </w:rPr>
              <w:t>U.S. Corporate Office Term Loan (USA)</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January 1, 2027</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9,260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9,260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9,153</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4.64% / 4.44%</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4.64%</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Union Square Construction Financing (USA)</w:t>
            </w:r>
          </w:p>
        </w:tc>
        <w:tc>
          <w:tcPr>
            <w:tcW w:w="15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December 29, 2020</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36,048</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36,035</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6.02%</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6.02%</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00"/>
              <w:spacing w:after="0"/>
              <w:rPr>
                <w:sz w:val="20"/>
                <w:szCs w:val="20"/>
                <w:color w:val="auto"/>
              </w:rPr>
            </w:pPr>
            <w:r>
              <w:rPr>
                <w:rFonts w:ascii="Arial" w:cs="Arial" w:eastAsia="Arial" w:hAnsi="Arial"/>
                <w:sz w:val="14"/>
                <w:szCs w:val="14"/>
                <w:color w:val="auto"/>
              </w:rPr>
              <w:t>Purchase Money Promissory Note</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September 18, 2024</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3,363</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5.00%</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Denominated in foreign currency ("FC")</w:t>
            </w:r>
            <w:r>
              <w:rPr>
                <w:rFonts w:ascii="Arial" w:cs="Arial" w:eastAsia="Arial" w:hAnsi="Arial"/>
                <w:sz w:val="7"/>
                <w:szCs w:val="7"/>
                <w:color w:val="auto"/>
              </w:rPr>
              <w:t>(3)</w:t>
            </w:r>
          </w:p>
        </w:tc>
        <w:tc>
          <w:tcPr>
            <w:tcW w:w="1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100"/>
              <w:spacing w:after="0"/>
              <w:rPr>
                <w:sz w:val="20"/>
                <w:szCs w:val="20"/>
                <w:color w:val="auto"/>
              </w:rPr>
            </w:pPr>
            <w:r>
              <w:rPr>
                <w:rFonts w:ascii="Arial" w:cs="Arial" w:eastAsia="Arial" w:hAnsi="Arial"/>
                <w:sz w:val="14"/>
                <w:szCs w:val="14"/>
                <w:color w:val="auto"/>
              </w:rPr>
              <w:t>NAB Corporate Term Loan (AU)</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December 31, 2023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84,360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65,731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65,541</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Westpac Bank Corporate (NZ)</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December 31, 2023</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21,584</w:t>
            </w: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6,745</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3.05%</w:t>
            </w:r>
          </w:p>
        </w:tc>
        <w:tc>
          <w:tcPr>
            <w:tcW w:w="0" w:type="dxa"/>
            <w:vAlign w:val="bottom"/>
          </w:tcPr>
          <w:p>
            <w:pPr>
              <w:spacing w:after="0"/>
              <w:rPr>
                <w:sz w:val="1"/>
                <w:szCs w:val="1"/>
                <w:color w:val="auto"/>
              </w:rPr>
            </w:pPr>
          </w:p>
        </w:tc>
      </w:tr>
      <w:tr>
        <w:trPr>
          <w:trHeight w:val="176"/>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283,138</w:t>
            </w:r>
          </w:p>
        </w:tc>
        <w:tc>
          <w:tcPr>
            <w:tcW w:w="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209,218</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207,012</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hanging="320"/>
        <w:spacing w:after="0"/>
        <w:tabs>
          <w:tab w:leader="none" w:pos="6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Net of deferred financing costs amounting to $2.2 million.</w:t>
      </w:r>
    </w:p>
    <w:p>
      <w:pPr>
        <w:ind w:left="640" w:hanging="320"/>
        <w:spacing w:after="0" w:line="221" w:lineRule="auto"/>
        <w:tabs>
          <w:tab w:leader="none" w:pos="6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interest rate derivative associated with the Minetta &amp; Orpheum loan provides for an effective fixed rate of 5.15%.</w:t>
      </w:r>
    </w:p>
    <w:p>
      <w:pPr>
        <w:ind w:left="640" w:right="700" w:hanging="320"/>
        <w:spacing w:after="0" w:line="237" w:lineRule="auto"/>
        <w:tabs>
          <w:tab w:leader="none" w:pos="6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contractual facilities and outstanding balances of the FC-denominated borrowings were translated into U.S. dollars based on exchange rates as of December 31,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As of December 31, 2018</w:t>
            </w: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20"/>
                <w:szCs w:val="2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Stated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Interest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8"/>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6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Facility</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Net</w:t>
            </w:r>
            <w:r>
              <w:rPr>
                <w:rFonts w:ascii="Arial" w:cs="Arial" w:eastAsia="Arial" w:hAnsi="Arial"/>
                <w:sz w:val="7"/>
                <w:szCs w:val="7"/>
                <w:b w:val="1"/>
                <w:bCs w:val="1"/>
                <w:color w:val="auto"/>
              </w:rPr>
              <w:t>(1)</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89"/>
        </w:trPr>
        <w:tc>
          <w:tcPr>
            <w:tcW w:w="3160" w:type="dxa"/>
            <w:vAlign w:val="bottom"/>
            <w:gridSpan w:val="2"/>
          </w:tcPr>
          <w:p>
            <w:pPr>
              <w:spacing w:after="0"/>
              <w:rPr>
                <w:sz w:val="20"/>
                <w:szCs w:val="20"/>
                <w:color w:val="auto"/>
              </w:rPr>
            </w:pPr>
            <w:r>
              <w:rPr>
                <w:rFonts w:ascii="Arial" w:cs="Arial" w:eastAsia="Arial" w:hAnsi="Arial"/>
                <w:sz w:val="14"/>
                <w:szCs w:val="14"/>
                <w:color w:val="auto"/>
              </w:rPr>
              <w:t>Denominated in USD</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Trust Preferred Securities (USA)</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7"/>
              </w:rPr>
              <w:t>April 30, 2027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6.52%</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6.52%</w:t>
            </w:r>
          </w:p>
        </w:tc>
        <w:tc>
          <w:tcPr>
            <w:tcW w:w="0" w:type="dxa"/>
            <w:vAlign w:val="bottom"/>
          </w:tcPr>
          <w:p>
            <w:pPr>
              <w:spacing w:after="0"/>
              <w:rPr>
                <w:sz w:val="1"/>
                <w:szCs w:val="1"/>
                <w:color w:val="auto"/>
              </w:rPr>
            </w:pPr>
          </w:p>
        </w:tc>
      </w:tr>
      <w:tr>
        <w:trPr>
          <w:trHeight w:val="203"/>
        </w:trPr>
        <w:tc>
          <w:tcPr>
            <w:tcW w:w="3160" w:type="dxa"/>
            <w:vAlign w:val="bottom"/>
            <w:gridSpan w:val="2"/>
          </w:tcPr>
          <w:p>
            <w:pPr>
              <w:ind w:left="220"/>
              <w:spacing w:after="0"/>
              <w:rPr>
                <w:sz w:val="20"/>
                <w:szCs w:val="20"/>
                <w:color w:val="auto"/>
              </w:rPr>
            </w:pPr>
            <w:r>
              <w:rPr>
                <w:rFonts w:ascii="Arial" w:cs="Arial" w:eastAsia="Arial" w:hAnsi="Arial"/>
                <w:sz w:val="14"/>
                <w:szCs w:val="14"/>
                <w:color w:val="auto"/>
              </w:rPr>
              <w:t>Bank of America Credit Facility (USA)</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May 1, 2020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25,000</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5.02%</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5.02%</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Bank of America Line of Credit (USA)</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2"/>
              </w:rPr>
              <w:t>October 31, 2019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5.48%</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5.48%</w:t>
            </w:r>
          </w:p>
        </w:tc>
        <w:tc>
          <w:tcPr>
            <w:tcW w:w="0" w:type="dxa"/>
            <w:vAlign w:val="bottom"/>
          </w:tcPr>
          <w:p>
            <w:pPr>
              <w:spacing w:after="0"/>
              <w:rPr>
                <w:sz w:val="1"/>
                <w:szCs w:val="1"/>
                <w:color w:val="auto"/>
              </w:rPr>
            </w:pPr>
          </w:p>
        </w:tc>
      </w:tr>
      <w:tr>
        <w:trPr>
          <w:trHeight w:val="203"/>
        </w:trPr>
        <w:tc>
          <w:tcPr>
            <w:tcW w:w="3160" w:type="dxa"/>
            <w:vAlign w:val="bottom"/>
            <w:gridSpan w:val="2"/>
          </w:tcPr>
          <w:p>
            <w:pPr>
              <w:ind w:left="220"/>
              <w:spacing w:after="0"/>
              <w:rPr>
                <w:sz w:val="20"/>
                <w:szCs w:val="20"/>
                <w:color w:val="auto"/>
              </w:rPr>
            </w:pPr>
            <w:r>
              <w:rPr>
                <w:rFonts w:ascii="Arial" w:cs="Arial" w:eastAsia="Arial" w:hAnsi="Arial"/>
                <w:sz w:val="14"/>
                <w:szCs w:val="14"/>
                <w:color w:val="auto"/>
              </w:rPr>
              <w:t>Banc of America digital projector loan (USA)</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December 28, 2019</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2,604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2,604</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5.00%</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Cinema 1, 2, 3 Term Loan (USA)</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0"/>
              </w:rPr>
              <w:t>September 1, 2019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18,838</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3.25%</w:t>
            </w:r>
          </w:p>
        </w:tc>
        <w:tc>
          <w:tcPr>
            <w:tcW w:w="0" w:type="dxa"/>
            <w:vAlign w:val="bottom"/>
          </w:tcPr>
          <w:p>
            <w:pPr>
              <w:spacing w:after="0"/>
              <w:rPr>
                <w:sz w:val="1"/>
                <w:szCs w:val="1"/>
                <w:color w:val="auto"/>
              </w:rPr>
            </w:pPr>
          </w:p>
        </w:tc>
      </w:tr>
      <w:tr>
        <w:trPr>
          <w:trHeight w:val="203"/>
        </w:trPr>
        <w:tc>
          <w:tcPr>
            <w:tcW w:w="3160" w:type="dxa"/>
            <w:vAlign w:val="bottom"/>
            <w:gridSpan w:val="2"/>
          </w:tcPr>
          <w:p>
            <w:pPr>
              <w:ind w:left="220"/>
              <w:spacing w:after="0"/>
              <w:rPr>
                <w:sz w:val="20"/>
                <w:szCs w:val="20"/>
                <w:color w:val="auto"/>
              </w:rPr>
            </w:pPr>
            <w:r>
              <w:rPr>
                <w:rFonts w:ascii="Arial" w:cs="Arial" w:eastAsia="Arial" w:hAnsi="Arial"/>
                <w:sz w:val="14"/>
                <w:szCs w:val="14"/>
                <w:color w:val="auto"/>
              </w:rPr>
              <w:t>Minetta &amp; Orpheum Theatres Loan (USA)</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November 1, 2023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7,857</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4.88%</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4.88%</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Corporate Office Term Loan (USA)</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January 1, 2027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9,373</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4.64% / 4.44%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4.61%</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20"/>
              <w:spacing w:after="0"/>
              <w:rPr>
                <w:sz w:val="20"/>
                <w:szCs w:val="20"/>
                <w:color w:val="auto"/>
              </w:rPr>
            </w:pPr>
            <w:r>
              <w:rPr>
                <w:rFonts w:ascii="Arial" w:cs="Arial" w:eastAsia="Arial" w:hAnsi="Arial"/>
                <w:sz w:val="14"/>
                <w:szCs w:val="14"/>
                <w:color w:val="auto"/>
              </w:rPr>
              <w:t>Union Square Construction Financing (USA)</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December 29, 2019</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57,500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27,182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25,280</w:t>
            </w:r>
          </w:p>
        </w:tc>
        <w:tc>
          <w:tcPr>
            <w:tcW w:w="8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3"/>
              </w:rPr>
              <w:t>6.76% / 12.51%</w:t>
            </w:r>
          </w:p>
        </w:tc>
        <w:tc>
          <w:tcPr>
            <w:tcW w:w="8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5"/>
              </w:rPr>
              <w:t>8.35%</w:t>
            </w:r>
          </w:p>
        </w:tc>
        <w:tc>
          <w:tcPr>
            <w:tcW w:w="0" w:type="dxa"/>
            <w:vAlign w:val="bottom"/>
          </w:tcPr>
          <w:p>
            <w:pPr>
              <w:spacing w:after="0"/>
              <w:rPr>
                <w:sz w:val="1"/>
                <w:szCs w:val="1"/>
                <w:color w:val="auto"/>
              </w:rPr>
            </w:pPr>
          </w:p>
        </w:tc>
      </w:tr>
      <w:tr>
        <w:trPr>
          <w:trHeight w:val="27"/>
        </w:trPr>
        <w:tc>
          <w:tcPr>
            <w:tcW w:w="3160" w:type="dxa"/>
            <w:vAlign w:val="bottom"/>
            <w:gridSpan w:val="2"/>
            <w:vMerge w:val="continue"/>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Denominated in foreign currency ("FC")</w:t>
            </w:r>
            <w:r>
              <w:rPr>
                <w:rFonts w:ascii="Arial" w:cs="Arial" w:eastAsia="Arial" w:hAnsi="Arial"/>
                <w:sz w:val="7"/>
                <w:szCs w:val="7"/>
                <w:color w:val="auto"/>
              </w:rPr>
              <w:t>(2)</w:t>
            </w:r>
          </w:p>
        </w:tc>
        <w:tc>
          <w:tcPr>
            <w:tcW w:w="1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220"/>
              <w:spacing w:after="0"/>
              <w:rPr>
                <w:sz w:val="20"/>
                <w:szCs w:val="20"/>
                <w:color w:val="auto"/>
              </w:rPr>
            </w:pPr>
            <w:r>
              <w:rPr>
                <w:rFonts w:ascii="Arial" w:cs="Arial" w:eastAsia="Arial" w:hAnsi="Arial"/>
                <w:sz w:val="14"/>
                <w:szCs w:val="14"/>
                <w:color w:val="auto"/>
              </w:rPr>
              <w:t>NAB Corporate Loan Facility (AU)</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December 31, 2023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46,856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37,696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37,660</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3.05%</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3.05%</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Westpac Corporate Credit Facility (NZ)</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December 31, 2023</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21,475</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10,067</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3.80%</w:t>
            </w:r>
          </w:p>
        </w:tc>
        <w:tc>
          <w:tcPr>
            <w:tcW w:w="0" w:type="dxa"/>
            <w:vAlign w:val="bottom"/>
          </w:tcPr>
          <w:p>
            <w:pPr>
              <w:spacing w:after="0"/>
              <w:rPr>
                <w:sz w:val="1"/>
                <w:szCs w:val="1"/>
                <w:color w:val="auto"/>
              </w:rPr>
            </w:pPr>
          </w:p>
        </w:tc>
      </w:tr>
      <w:tr>
        <w:trPr>
          <w:trHeight w:val="176"/>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252,929</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167,043</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162,740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hanging="320"/>
        <w:spacing w:after="0"/>
        <w:tabs>
          <w:tab w:leader="none" w:pos="6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Net of deferred financing costs amounting to $4.3 million.</w:t>
      </w:r>
    </w:p>
    <w:p>
      <w:pPr>
        <w:ind w:left="640" w:right="740" w:hanging="320"/>
        <w:spacing w:after="0" w:line="237" w:lineRule="auto"/>
        <w:tabs>
          <w:tab w:leader="none" w:pos="6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contractual facilities and outstanding balances of the FC-denominated borrowings were translated into U.S. dollar based on exchange rates as of December 31, 2018.</w:t>
      </w:r>
    </w:p>
    <w:p>
      <w:pPr>
        <w:spacing w:after="0" w:line="187" w:lineRule="exact"/>
        <w:rPr>
          <w:rFonts w:ascii="Arial" w:cs="Arial" w:eastAsia="Arial" w:hAnsi="Arial"/>
          <w:sz w:val="14"/>
          <w:szCs w:val="14"/>
          <w:color w:val="auto"/>
        </w:rPr>
      </w:pPr>
    </w:p>
    <w:p>
      <w:pPr>
        <w:ind w:left="4880" w:hanging="156"/>
        <w:spacing w:after="0"/>
        <w:tabs>
          <w:tab w:leader="none" w:pos="48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Our loan arrangements are presented, net of the deferred financing costs, on the face of our consolidated balance sheet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183"/>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Balance Sheet Caption</w:t>
            </w:r>
          </w:p>
        </w:tc>
        <w:tc>
          <w:tcPr>
            <w:tcW w:w="280" w:type="dxa"/>
            <w:vAlign w:val="bottom"/>
          </w:tcPr>
          <w:p>
            <w:pPr>
              <w:spacing w:after="0"/>
              <w:rPr>
                <w:sz w:val="15"/>
                <w:szCs w:val="15"/>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Debt - current portion</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36,736</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30,393</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Debt - long-term portion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140,602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106,286</w:t>
            </w:r>
          </w:p>
        </w:tc>
      </w:tr>
      <w:tr>
        <w:trPr>
          <w:trHeight w:val="22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current portion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Subordinated debt - long-term portion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29,030</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w:t>
            </w:r>
          </w:p>
        </w:tc>
      </w:tr>
      <w:tr>
        <w:trPr>
          <w:trHeight w:val="217"/>
        </w:trPr>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borrowings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207,012</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162,740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denominated in USD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of America Credit Facility</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3, 2016, we amended our $55.0 million credit facility with Bank of America to permit real property acquisition loans. This amendment reduces the applicable consolidated leverage ratio covenant by 0.25% and modifies the term of the facility based on the earlier of the eighteen months from the date of such borrowing or the maturity date of the credit agreement. Such modification was not considered substantial in accordance with U.S. GAAP. On March 5, 2019, this Credit Facility was extended for six (6) months to May 1, 2020. On August 8, 2019, this Credit Facility was extended by an additional four months to September 1, 2020. On March 6, 2020, we completed the refinancing of this $55.0 million facility, wherein the maturity date was extended to March 6, 2023. The refinanced facility carries an interest rate of 2.5% - 3.0%, depending on certain financial ratios plus a variable rate based on the loan defined “Eurodollar” interest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of America Line of Credit</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October 2016, the term of this $5.0 million line of credit was extended to October 31, 2019. Such modification was not considered to be substantial under U.S. GAAP. On August 8, 2019, this Line of Credit was extended an additional ten months to September 1, 2020. On March 6, 2020, we completed the refinancing of this Line of Credit, wherein the maturity was extended to March 6,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Minetta and Orpheum Theatres Loan</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October 12, 2018, we refinanced our $7.5 million loan with Santander Bank, which is secured by our Minetta and Orpheum Theaters, with a loan for a five year term of $8.0 million. Such modification was not considered to be substantial under U.S. GAAP.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Banc of America Digital Projector Loan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February 5, 2018, we purchased our U.S. digital cinema projectors, which had previously been held on operating leases, using a</w:t>
      </w:r>
    </w:p>
    <w:p>
      <w:pPr>
        <w:spacing w:after="0" w:line="3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$4.6 million loan from Banc of America. We made further U.S. digital cinema projector purchases, of projectors similarly held on other operating leases, in March and April 2018, increasing this loan to $4.9 million. This loan carried an interest rate of 5% and was paid in full on December 28,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 Union Square Construction Financing</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29, 2016, we closed our new construction finance facilities totaling $57.5 million to fund the non-equity portion of the anticipated construction costs of the redevelopment of our property at 44 Union Square in New York City. The combined facilities consist of $50.0 million in aggregate loans (comprised of three loan tranches) from Bank of the Ozarks (“BOTO”), and a $7.5 million mezzanine loan from Tammany Mezz Investor, LLC, an affiliate of Fisher Brothers. As of December 31, 2016, BOTO advanced $8.0 million to repay the existing $8.0 million loan with East West Bank. On August 8, 2019, we repaid in full the $7.5 million mezzanine loan from Tammany Mezz Investor, LLC. On January 24, 2020, we exercised the first of our two extension options on the BOTO loan, taking the maturity to December 29,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Presented in the table below is the breakdown of the 44 Union Square construction financing as of December 31,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w w:val="92"/>
              </w:rPr>
              <w:t>Facility Limits and Advances</w:t>
            </w: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Financing Component</w:t>
            </w: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Lender</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9"/>
                <w:szCs w:val="1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Advanced</w:t>
            </w:r>
          </w:p>
        </w:tc>
        <w:tc>
          <w:tcPr>
            <w:tcW w:w="10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Remaining</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 Rate (1)</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Date(2)</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700" w:type="dxa"/>
            <w:vAlign w:val="bottom"/>
            <w:gridSpan w:val="4"/>
            <w:vMerge w:val="continue"/>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Limit</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-to-Date</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Facility</w:t>
            </w:r>
          </w:p>
        </w:tc>
        <w:tc>
          <w:tcPr>
            <w:tcW w:w="216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0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Senior loan</w:t>
            </w:r>
          </w:p>
        </w:tc>
        <w:tc>
          <w:tcPr>
            <w:tcW w:w="8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Bank of the Ozarks</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8,000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8,000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Greater of (i) 4.75% and</w:t>
            </w: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December 29, 2020</w:t>
            </w: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(ii) Adjusted LIBOR + 4.25%</w:t>
            </w: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Building loan</w:t>
            </w:r>
          </w:p>
        </w:tc>
        <w:tc>
          <w:tcPr>
            <w:tcW w:w="1700" w:type="dxa"/>
            <w:vAlign w:val="bottom"/>
            <w:gridSpan w:val="4"/>
          </w:tcPr>
          <w:p>
            <w:pPr>
              <w:ind w:left="80"/>
              <w:spacing w:after="0" w:line="130" w:lineRule="exact"/>
              <w:rPr>
                <w:sz w:val="20"/>
                <w:szCs w:val="20"/>
                <w:color w:val="auto"/>
              </w:rPr>
            </w:pPr>
            <w:r>
              <w:rPr>
                <w:rFonts w:ascii="Arial" w:cs="Arial" w:eastAsia="Arial" w:hAnsi="Arial"/>
                <w:sz w:val="14"/>
                <w:szCs w:val="14"/>
                <w:color w:val="auto"/>
              </w:rPr>
              <w:t>Bank of the Ozarks</w:t>
            </w: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31,130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26,236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4,894</w:t>
            </w:r>
          </w:p>
        </w:tc>
        <w:tc>
          <w:tcPr>
            <w:tcW w:w="80" w:type="dxa"/>
            <w:vAlign w:val="bottom"/>
          </w:tcPr>
          <w:p>
            <w:pPr>
              <w:spacing w:after="0"/>
              <w:rPr>
                <w:sz w:val="11"/>
                <w:szCs w:val="11"/>
                <w:color w:val="auto"/>
              </w:rPr>
            </w:pPr>
          </w:p>
        </w:tc>
        <w:tc>
          <w:tcPr>
            <w:tcW w:w="216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Greater of (i) 4.75% and</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2"/>
              </w:rPr>
              <w:t>December 29, 2020</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(ii) Adjusted LIBOR + 4.25%</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Project loan</w:t>
            </w:r>
          </w:p>
        </w:tc>
        <w:tc>
          <w:tcPr>
            <w:tcW w:w="1700" w:type="dxa"/>
            <w:vAlign w:val="bottom"/>
            <w:gridSpan w:val="4"/>
            <w:shd w:val="clear" w:color="auto" w:fill="CCEEFF"/>
          </w:tcPr>
          <w:p>
            <w:pPr>
              <w:ind w:left="80"/>
              <w:spacing w:after="0" w:line="130" w:lineRule="exact"/>
              <w:rPr>
                <w:sz w:val="20"/>
                <w:szCs w:val="20"/>
                <w:color w:val="auto"/>
              </w:rPr>
            </w:pPr>
            <w:r>
              <w:rPr>
                <w:rFonts w:ascii="Arial" w:cs="Arial" w:eastAsia="Arial" w:hAnsi="Arial"/>
                <w:sz w:val="14"/>
                <w:szCs w:val="14"/>
                <w:color w:val="auto"/>
              </w:rPr>
              <w:t>Bank of the Ozarks</w:t>
            </w: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10,870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9,058</w:t>
            </w:r>
          </w:p>
        </w:tc>
        <w:tc>
          <w:tcPr>
            <w:tcW w:w="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3"/>
              </w:rPr>
              <w:t>Greater of (i) 4.75% and</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December 29, 2020</w:t>
            </w: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(ii) Adjusted LIBOR + 4.25%</w:t>
            </w: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800" w:type="dxa"/>
            <w:vAlign w:val="bottom"/>
          </w:tcPr>
          <w:p>
            <w:pPr>
              <w:spacing w:after="0"/>
              <w:rPr>
                <w:sz w:val="20"/>
                <w:szCs w:val="20"/>
                <w:color w:val="auto"/>
              </w:rPr>
            </w:pPr>
            <w:r>
              <w:rPr>
                <w:rFonts w:ascii="Arial" w:cs="Arial" w:eastAsia="Arial" w:hAnsi="Arial"/>
                <w:sz w:val="14"/>
                <w:szCs w:val="14"/>
                <w:b w:val="1"/>
                <w:bCs w:val="1"/>
                <w:color w:val="auto"/>
              </w:rPr>
              <w:t>Total 44 Union Square</w:t>
            </w:r>
          </w:p>
        </w:tc>
        <w:tc>
          <w:tcPr>
            <w:tcW w:w="17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50,000</w:t>
            </w:r>
          </w:p>
        </w:tc>
        <w:tc>
          <w:tcPr>
            <w:tcW w:w="80" w:type="dxa"/>
            <w:vAlign w:val="bottom"/>
          </w:tcPr>
          <w:p>
            <w:pPr>
              <w:spacing w:after="0"/>
              <w:rPr>
                <w:sz w:val="20"/>
                <w:szCs w:val="2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36,048</w:t>
            </w:r>
          </w:p>
        </w:tc>
        <w:tc>
          <w:tcPr>
            <w:tcW w:w="80" w:type="dxa"/>
            <w:vAlign w:val="bottom"/>
          </w:tcPr>
          <w:p>
            <w:pPr>
              <w:spacing w:after="0"/>
              <w:rPr>
                <w:sz w:val="20"/>
                <w:szCs w:val="2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13,952</w:t>
            </w: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800" w:type="dxa"/>
            <w:vAlign w:val="bottom"/>
          </w:tcPr>
          <w:p>
            <w:pPr>
              <w:spacing w:after="0" w:line="158" w:lineRule="exact"/>
              <w:rPr>
                <w:sz w:val="20"/>
                <w:szCs w:val="20"/>
                <w:color w:val="auto"/>
              </w:rPr>
            </w:pPr>
            <w:r>
              <w:rPr>
                <w:rFonts w:ascii="Arial" w:cs="Arial" w:eastAsia="Arial" w:hAnsi="Arial"/>
                <w:sz w:val="14"/>
                <w:szCs w:val="14"/>
                <w:b w:val="1"/>
                <w:bCs w:val="1"/>
                <w:color w:val="auto"/>
              </w:rPr>
              <w:t>Financing</w:t>
            </w:r>
          </w:p>
        </w:tc>
        <w:tc>
          <w:tcPr>
            <w:tcW w:w="1700" w:type="dxa"/>
            <w:vAlign w:val="bottom"/>
            <w:gridSpan w:val="4"/>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Not to exceed the New York State maximum lawful borrowing rate, which typically is 16%.</w:t>
      </w:r>
    </w:p>
    <w:p>
      <w:pPr>
        <w:ind w:left="640" w:hanging="320"/>
        <w:spacing w:after="0"/>
        <w:tabs>
          <w:tab w:leader="none" w:pos="64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Allowable for up to two (2) extension request options, one (1) year for each extension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Corporate Office Term Loan</w:t>
      </w:r>
    </w:p>
    <w:p>
      <w:pPr>
        <w:spacing w:after="0" w:line="22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On December 13, 2016, we obtained a ten-year $8.4 million mortgage loan on our new Los Angeles Corporate Headquarters at a fixed annual interest rate of 4.64%. This loan provided for a second loan upon completion of certain improvements. On June 26, 2017, we obtained a further $1.5 million under this provision at a fixed annual interest rate of 4.44%.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Cinemas 1,2,3 Term Loan and Line of Credit</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On August 31, 2016, Sutton Hill Properties LLC (“SHP”), a 75% subsidiary of RDI, refinanced its $15.0 million Santander Bank term loan with a new lender, Valley National Bank. This new $20.0 million loan is collateralized by our Cinema 1,2,3 property and bears an interest rate of 3.25% per annum, with principal installments and accruing interest paid monthly. The loan had an option to extend the maturity date for a period of 12 months to March 1, 2021. On March 13, 2020, we refinanced this loan as described in Note 23 – </w:t>
      </w:r>
      <w:r>
        <w:rPr>
          <w:rFonts w:ascii="Arial" w:cs="Arial" w:eastAsia="Arial" w:hAnsi="Arial"/>
          <w:sz w:val="18"/>
          <w:szCs w:val="18"/>
          <w:i w:val="1"/>
          <w:iCs w:val="1"/>
          <w:color w:val="auto"/>
        </w:rPr>
        <w:t>Subsequent Events</w:t>
      </w:r>
      <w:r>
        <w:rPr>
          <w:rFonts w:ascii="Arial" w:cs="Arial" w:eastAsia="Arial" w:hAnsi="Arial"/>
          <w:sz w:val="18"/>
          <w:szCs w:val="18"/>
          <w:color w:val="auto"/>
        </w:rPr>
        <w:t>, with a new term loan of $25.0 million, an interest rate of 4.25%, and maturity date of April 1, 2022 with two six-month options to extend.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Money Promissory Note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September 18, 2019, we purchased 407,000 Company shares in a privately negotiated transaction under our Share Repurchase Program for $5.5 million. Of this amount, $3.5 million was paid by the issuance of a Purchase Money Promissory Note, which bears an interest rate of 5.0% per annum, payable in equal quarterly payments of principal plus accrued interest. The Purchase Money Promissory Note matures on September 18,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Securities (“TPS”)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February 5, 2007, we issued $51.5 million in 20-year fully subordinated notes to a trust over which we have significant influence,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sheets. Effective May 1, 2012, the interest rate on our Trust Preferred Securities changed from a fixed rate of</w:t>
      </w:r>
    </w:p>
    <w:p>
      <w:pPr>
        <w:spacing w:after="0" w:line="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9.22%, which was in effect for five years, to a variable rate of three month LIBOR plus 4.00%, which will reset each quarter through the end of the loan unless we exercise our right to re-fix the rate at the current market rate at that time.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 The covenant waiver expired January 1, 2018, after which a further covenant waiver was secured on October 11, 2018 for the remaining term of the loan, in consideration of payments totaling $1.6 million, consisting of an initial payment of $1.1 million paid on October 31, 2018, and a further contractual obligation to pay $270,000 in October 2021 and $225,000 in October 2025.</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2009, we took advantage of the then current market illiquidity for securities such as our TPS to repurchase</w:t>
      </w:r>
    </w:p>
    <w:p>
      <w:pPr>
        <w:spacing w:after="0" w:line="3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$22.9 million in face value of those securities through an exchange of $11.5 million worth of marketable securities purchased during the period for the express purpose of executing this exchange transaction with the third party holder of these TPS. During the twelve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98" w:name="page99"/>
    <w:bookmarkEnd w:id="98"/>
    <w:p>
      <w:pPr>
        <w:ind w:right="40"/>
        <w:spacing w:after="0" w:line="259" w:lineRule="auto"/>
        <w:rPr>
          <w:sz w:val="20"/>
          <w:szCs w:val="20"/>
          <w:color w:val="auto"/>
        </w:rPr>
      </w:pPr>
      <w:r>
        <w:rPr>
          <w:rFonts w:ascii="Arial" w:cs="Arial" w:eastAsia="Arial" w:hAnsi="Arial"/>
          <w:sz w:val="18"/>
          <w:szCs w:val="18"/>
          <w:color w:val="auto"/>
        </w:rPr>
        <w:t>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187"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During the three years ended December 31, 2019, we paid $1.4 million in 2017, $1.6 million in 2018 and $1.8 million in 2019 in preferred dividends to unrelated investors that are included in interest expense. At December 31, 2019 and 2018, we had preferred dividends payable of $272,000 and $299,000, respectively. Interest payments for this loan are required every three months.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denominated in foreign currencies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NAB Corporate Loan Facility</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15, 2019, we amended our Revolving Corporate Markets Loan Facility with National Australia Bank (“NAB”) from a facility comprised of (i) a AU$66.5 million loan facility with an interest rate of 0.95% above the Bank Bill Swap Bid Rate (“BBSY) and a maturity date of June 30, 2019 and (ii) a bank guarantee of AU$5.0 million at a rate of 1.90% per annum into a (i) AU$120.0 million Corporate Loan facility at rates of 0.85%-1.3% above BBSY depending on certain ratios with a due date of December 31, 2023, of which AU$80.0 million is revolving and AU$40.0 million is core and (ii) a Bank Guarantee Facility of AU$5.0 million at a rate of 1.85% per annum. Such modifications of this particular term loan were not considered to be substantial under U.S.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Zealand Westpac Bank Corporate Credit Facility</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December 20, 2018, we restructured our Westpac Corporate Credit Facilities. The maturity of the 1</w:t>
      </w:r>
      <w:r>
        <w:rPr>
          <w:rFonts w:ascii="Arial" w:cs="Arial" w:eastAsia="Arial" w:hAnsi="Arial"/>
          <w:sz w:val="8"/>
          <w:szCs w:val="8"/>
          <w:color w:val="auto"/>
        </w:rPr>
        <w:t>st</w:t>
      </w:r>
      <w:r>
        <w:rPr>
          <w:rFonts w:ascii="Arial" w:cs="Arial" w:eastAsia="Arial" w:hAnsi="Arial"/>
          <w:sz w:val="17"/>
          <w:szCs w:val="17"/>
          <w:color w:val="auto"/>
        </w:rPr>
        <w:t xml:space="preserve"> tranche (general/non-construction credit line) was extended to December 31, 2023, with the available facility being reduced from NZ$35.0 million to NZ$32.0 million. The facility bears an interest rate of 1.75% above the Bank Bill Bid Rate on the drawn down balance and a 1.1% line of credit charge on the entire facility. The 2</w:t>
      </w:r>
      <w:r>
        <w:rPr>
          <w:rFonts w:ascii="Arial" w:cs="Arial" w:eastAsia="Arial" w:hAnsi="Arial"/>
          <w:sz w:val="8"/>
          <w:szCs w:val="8"/>
          <w:color w:val="auto"/>
        </w:rPr>
        <w:t>nd</w:t>
      </w:r>
      <w:r>
        <w:rPr>
          <w:rFonts w:ascii="Arial" w:cs="Arial" w:eastAsia="Arial" w:hAnsi="Arial"/>
          <w:sz w:val="17"/>
          <w:szCs w:val="17"/>
          <w:color w:val="auto"/>
        </w:rPr>
        <w:t xml:space="preserve"> tranche (construction line) with a facility of NZ$18.0 million was removed.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aggregate amount of future principal debt payments is estimated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Future</w:t>
            </w:r>
          </w:p>
        </w:tc>
      </w:tr>
      <w:tr>
        <w:trPr>
          <w:trHeight w:val="148"/>
        </w:trPr>
        <w:tc>
          <w:tcPr>
            <w:tcW w:w="8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Principal</w:t>
            </w:r>
          </w:p>
        </w:tc>
      </w:tr>
      <w:tr>
        <w:trPr>
          <w:trHeight w:val="178"/>
        </w:trPr>
        <w:tc>
          <w:tcPr>
            <w:tcW w:w="87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5"/>
                <w:szCs w:val="15"/>
                <w:color w:val="auto"/>
              </w:rPr>
            </w:pPr>
          </w:p>
        </w:tc>
        <w:tc>
          <w:tcPr>
            <w:tcW w:w="110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Debt Payments</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115,005</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16"/>
        </w:trPr>
        <w:tc>
          <w:tcPr>
            <w:tcW w:w="8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35,822</w:t>
            </w:r>
          </w:p>
        </w:tc>
      </w:tr>
      <w:tr>
        <w:trPr>
          <w:trHeight w:val="216"/>
        </w:trPr>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principal debt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209,218</w:t>
            </w:r>
          </w:p>
        </w:tc>
      </w:tr>
    </w:tbl>
    <w:p>
      <w:pPr>
        <w:spacing w:after="0" w:line="20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estimated amount of future principal payments in U.S. dollars is subject to change because the payments in U.S. dollars on the debt denominated in foreign currencies, which represent a significant portion of our total outstanding debt balance, will fluctuate based on the applicable foreign currency exchange rates.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auto"/>
        </w:rPr>
        <w:t>NOTE 11 – PENSION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including pension are summarized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183"/>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5"/>
                <w:szCs w:val="15"/>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Liability for demolition and remediation costs</w:t>
            </w:r>
            <w:r>
              <w:rPr>
                <w:rFonts w:ascii="Arial" w:cs="Arial" w:eastAsia="Arial" w:hAnsi="Arial"/>
                <w:sz w:val="8"/>
                <w:szCs w:val="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Lease liability</w:t>
            </w:r>
            <w:r>
              <w:rPr>
                <w:rFonts w:ascii="Arial" w:cs="Arial" w:eastAsia="Arial" w:hAnsi="Arial"/>
                <w:sz w:val="8"/>
                <w:szCs w:val="8"/>
                <w:color w:val="auto"/>
              </w:rPr>
              <w:t>(2)</w:t>
            </w:r>
          </w:p>
        </w:tc>
        <w:tc>
          <w:tcPr>
            <w:tcW w:w="28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5,900</w:t>
            </w: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pension</w:t>
            </w:r>
            <w:r>
              <w:rPr>
                <w:rFonts w:ascii="Arial" w:cs="Arial" w:eastAsia="Arial" w:hAnsi="Arial"/>
                <w:sz w:val="8"/>
                <w:szCs w:val="8"/>
                <w:color w:val="auto"/>
              </w:rPr>
              <w:t>(3)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Security deposit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3,653</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9,305</w:t>
            </w:r>
          </w:p>
        </w:tc>
      </w:tr>
      <w:tr>
        <w:trPr>
          <w:trHeight w:val="203"/>
        </w:trPr>
        <w:tc>
          <w:tcPr>
            <w:tcW w:w="73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Straight-line rent liability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Accrued pension</w:t>
            </w:r>
            <w:r>
              <w:rPr>
                <w:rFonts w:ascii="Arial" w:cs="Arial" w:eastAsia="Arial" w:hAnsi="Arial"/>
                <w:sz w:val="8"/>
                <w:szCs w:val="8"/>
                <w:color w:val="auto"/>
              </w:rPr>
              <w:t>(3)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4,670</w:t>
            </w: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make-good provision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Environmental reserve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83"/>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liability</w:t>
            </w:r>
            <w:r>
              <w:rPr>
                <w:rFonts w:ascii="Arial" w:cs="Arial" w:eastAsia="Arial" w:hAnsi="Arial"/>
                <w:sz w:val="8"/>
                <w:szCs w:val="8"/>
                <w:color w:val="auto"/>
              </w:rPr>
              <w:t>(2)</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Deferred Revenue - Real Estate</w:t>
            </w:r>
          </w:p>
        </w:tc>
        <w:tc>
          <w:tcPr>
            <w:tcW w:w="28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Acquired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Finance lease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17"/>
        </w:trPr>
        <w:tc>
          <w:tcPr>
            <w:tcW w:w="736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non-current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18,854</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28,931</w:t>
            </w:r>
          </w:p>
        </w:tc>
      </w:tr>
    </w:tbl>
    <w:p>
      <w:pPr>
        <w:spacing w:after="0" w:line="197" w:lineRule="exact"/>
        <w:rPr>
          <w:sz w:val="20"/>
          <w:szCs w:val="20"/>
          <w:color w:val="auto"/>
        </w:rPr>
      </w:pPr>
    </w:p>
    <w:p>
      <w:pPr>
        <w:ind w:left="640" w:right="400" w:hanging="320"/>
        <w:spacing w:after="0" w:line="230" w:lineRule="auto"/>
        <w:tabs>
          <w:tab w:leader="none" w:pos="6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 xml:space="preserve">Refer to </w:t>
      </w:r>
      <w:r>
        <w:rPr>
          <w:rFonts w:ascii="Arial" w:cs="Arial" w:eastAsia="Arial" w:hAnsi="Arial"/>
          <w:sz w:val="14"/>
          <w:szCs w:val="14"/>
          <w:i w:val="1"/>
          <w:iCs w:val="1"/>
          <w:color w:val="auto"/>
        </w:rPr>
        <w:t>Note 21 – Insurance Recoveries on Impairment and Related Losses due to Earthquake</w:t>
      </w:r>
      <w:r>
        <w:rPr>
          <w:rFonts w:ascii="Arial" w:cs="Arial" w:eastAsia="Arial" w:hAnsi="Arial"/>
          <w:sz w:val="14"/>
          <w:szCs w:val="14"/>
          <w:color w:val="auto"/>
        </w:rPr>
        <w:t xml:space="preserve"> for details on the estimation of the demolition costs for our Courtenay Central parking structure.</w:t>
      </w:r>
    </w:p>
    <w:p>
      <w:pPr>
        <w:ind w:left="640" w:hanging="320"/>
        <w:spacing w:after="0" w:line="221" w:lineRule="auto"/>
        <w:tabs>
          <w:tab w:leader="none" w:pos="6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Represents the lease liability of the option associated with the ground lease purchase of the Village East Cinema. See below for more information.</w:t>
      </w:r>
    </w:p>
    <w:p>
      <w:pPr>
        <w:ind w:left="640" w:hanging="320"/>
        <w:spacing w:after="0"/>
        <w:tabs>
          <w:tab w:leader="none" w:pos="6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Represents the pension liability associated with the Supplemental Executive Retirement Plan explained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Liability - Village East Purchase Option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Our Village East lease includes a call option pursuant to which we may purchase the cinema ground lease for $5.9 million at the end of the lease term in June 2020. Additionally, our lease has a put option pursuant to which SHC may require our Company to purchase all or a portion of SHC’s interest in the existing cinema lease and the cinema ground lease at any time between July 1, 2013 and December 4, 2019. Because our late Chairman, Chief Executive Officer, and controlling shareholder, Mr. James J. Cotter, Sr. was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$0.0 million presented under other liabilities which accreted up to the $5.9 million liability through July 1, 2013 (see Note 2 – </w:t>
      </w:r>
      <w:r>
        <w:rPr>
          <w:rFonts w:ascii="Arial" w:cs="Arial" w:eastAsia="Arial" w:hAnsi="Arial"/>
          <w:sz w:val="17"/>
          <w:szCs w:val="17"/>
          <w:i w:val="1"/>
          <w:iCs w:val="1"/>
          <w:color w:val="auto"/>
        </w:rPr>
        <w:t>Related Parties</w:t>
      </w:r>
      <w:r>
        <w:rPr>
          <w:rFonts w:ascii="Arial" w:cs="Arial" w:eastAsia="Arial" w:hAnsi="Arial"/>
          <w:sz w:val="17"/>
          <w:szCs w:val="17"/>
          <w:color w:val="auto"/>
        </w:rPr>
        <w:t>). On August 28, 2019, we exercised our option to acquire the ground lessee’s interest in the 13-year ground lease underlying and the real property assets constituting our Village East Cinema in Manhattan. The purchase price under the option is $5.9 million, being the lease liability of $5.9 million presented under other liabilities. It is anticipated that the transaction will close on or about May 31, 2021.</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March 12, 2020, we amended the original agreement to (i) extend the term of the lease to January 31, 2022 and extend the put option to December 4, 2021 and (ii) at SHC’s request, in connection with our deferral of the closing date for our acquisition of SHC’s interest in the Village East Cinema, the Company reinstated and extended until December 4, 2021 SHC’s right to put that interest to us. That put right had previously expired on December 4, 2019. We are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Liability - Supplemental Executive Retirement Plan</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August 29, 2014, the Supplemental Executive Retirement Plan (“SERP”) that was effective since March 1, 2007, was ended and replaced with a new pension annuity. As a result of the termination of the SERP program, the accrued pension liability of $7.6 million was reversed and replaced with a new pension annuity liability of $7.5 million. The valuation of the liability is based on the present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37" w:right="979" w:bottom="1440" w:gutter="0" w:footer="0" w:header="0"/>
        </w:sectPr>
      </w:pPr>
    </w:p>
    <w:bookmarkStart w:id="100" w:name="page101"/>
    <w:bookmarkEnd w:id="100"/>
    <w:p>
      <w:pPr>
        <w:jc w:val="both"/>
        <w:ind w:right="120"/>
        <w:spacing w:after="0" w:line="301" w:lineRule="auto"/>
        <w:rPr>
          <w:sz w:val="20"/>
          <w:szCs w:val="20"/>
          <w:color w:val="auto"/>
        </w:rPr>
      </w:pPr>
      <w:r>
        <w:rPr>
          <w:rFonts w:ascii="Arial" w:cs="Arial" w:eastAsia="Arial" w:hAnsi="Arial"/>
          <w:sz w:val="16"/>
          <w:szCs w:val="16"/>
          <w:color w:val="auto"/>
        </w:rPr>
        <w:t>value of $10.2 million discounted at 4.25% over a 15-year term, resulting in a monthly payment of $57,000 payable to the estate of Mr. James J. Cotter, Sr. The discounted value of $2.7 million (which is the difference between the estimated payout of $10.2 million and the present value of $7.5 million) will be amortized and expensed based on the 15-year term. In addition, the accumulated actuarial loss of $3.1 million recorded, as part of other comprehensive income, will also be amortized based on the 15-year term.</w:t>
      </w:r>
    </w:p>
    <w:p>
      <w:pPr>
        <w:spacing w:after="0" w:line="15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February 2018, we made a payment of $2.4 million relating to the annuity representing payments for the 42 months outstanding at the time. Monthly ongoing payments of $57,000 are now being made.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above, included in our other current and non-current liabilities are accrued pension costs of $5.2 million and</w:t>
      </w:r>
    </w:p>
    <w:p>
      <w:pPr>
        <w:spacing w:after="0" w:line="35"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$5.4 million as of December 31, 2019 and 2018, respectively. The benefits of our pension plans are fully vested and therefore no service costs were recognized 2019 and 2018. Our pension plans are unfunded.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SERP pension benefit obligation and the funded status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183"/>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5"/>
                <w:szCs w:val="15"/>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obligation at January 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Payments made</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29"/>
        </w:trPr>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Benefit obligation at December 31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5,354</w:t>
            </w:r>
          </w:p>
        </w:tc>
      </w:tr>
      <w:tr>
        <w:trPr>
          <w:trHeight w:val="210"/>
        </w:trPr>
        <w:tc>
          <w:tcPr>
            <w:tcW w:w="73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Funded status at December 31</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(5,153)</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(5,354)</w:t>
            </w: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Amounts recognized in the balance sheet consists of:</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6"/>
        </w:trPr>
        <w:tc>
          <w:tcPr>
            <w:tcW w:w="7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8"/>
                <w:szCs w:val="18"/>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 - Non current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w:t>
            </w:r>
          </w:p>
        </w:tc>
      </w:tr>
      <w:tr>
        <w:trPr>
          <w:trHeight w:val="217"/>
        </w:trPr>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pension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5,153</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5,354</w:t>
            </w:r>
          </w:p>
        </w:tc>
      </w:tr>
      <w:tr>
        <w:trPr>
          <w:trHeight w:val="432"/>
        </w:trPr>
        <w:tc>
          <w:tcPr>
            <w:tcW w:w="9120" w:type="dxa"/>
            <w:vAlign w:val="bottom"/>
            <w:gridSpan w:val="6"/>
          </w:tcPr>
          <w:p>
            <w:pPr>
              <w:spacing w:after="0"/>
              <w:rPr>
                <w:sz w:val="20"/>
                <w:szCs w:val="20"/>
                <w:color w:val="auto"/>
              </w:rPr>
            </w:pPr>
            <w:r>
              <w:rPr>
                <w:rFonts w:ascii="Arial" w:cs="Arial" w:eastAsia="Arial" w:hAnsi="Arial"/>
                <w:sz w:val="18"/>
                <w:szCs w:val="18"/>
                <w:color w:val="auto"/>
                <w:w w:val="90"/>
              </w:rPr>
              <w:t>The components of the net periodic benefit cost and other amounts recognized in other comprehensive income are as follows:</w:t>
            </w:r>
          </w:p>
        </w:tc>
        <w:tc>
          <w:tcPr>
            <w:tcW w:w="820" w:type="dxa"/>
            <w:vAlign w:val="bottom"/>
          </w:tcPr>
          <w:p>
            <w:pPr>
              <w:spacing w:after="0"/>
              <w:rPr>
                <w:sz w:val="24"/>
                <w:szCs w:val="24"/>
                <w:color w:val="auto"/>
              </w:rPr>
            </w:pPr>
          </w:p>
        </w:tc>
      </w:tr>
      <w:tr>
        <w:trPr>
          <w:trHeight w:val="452"/>
        </w:trPr>
        <w:tc>
          <w:tcPr>
            <w:tcW w:w="7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183"/>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5"/>
                <w:szCs w:val="15"/>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periodic benefit cost</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gain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7"/>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recognized in other comprehensive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7"/>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recognized in other comprehensive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36"/>
        </w:trPr>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recognized in net periodic benefit cost and other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r>
      <w:tr>
        <w:trPr>
          <w:trHeight w:val="419"/>
        </w:trPr>
        <w:tc>
          <w:tcPr>
            <w:tcW w:w="7360" w:type="dxa"/>
            <w:vAlign w:val="bottom"/>
            <w:gridSpan w:val="2"/>
          </w:tcPr>
          <w:p>
            <w:pPr>
              <w:spacing w:after="0"/>
              <w:rPr>
                <w:sz w:val="20"/>
                <w:szCs w:val="20"/>
                <w:color w:val="auto"/>
              </w:rPr>
            </w:pPr>
            <w:r>
              <w:rPr>
                <w:rFonts w:ascii="Arial" w:cs="Arial" w:eastAsia="Arial" w:hAnsi="Arial"/>
                <w:sz w:val="18"/>
                <w:szCs w:val="18"/>
                <w:color w:val="auto"/>
                <w:w w:val="98"/>
              </w:rPr>
              <w:t>Items not yet recognized as a component of net periodic pension cost consist of the following: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3"/>
        </w:trPr>
        <w:tc>
          <w:tcPr>
            <w:tcW w:w="7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183"/>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5"/>
                <w:szCs w:val="15"/>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Unamortized actuarial loss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2,287</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2,438</w:t>
            </w:r>
          </w:p>
        </w:tc>
      </w:tr>
    </w:tbl>
    <w:p>
      <w:pPr>
        <w:spacing w:after="0" w:line="202"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estimated unamortized actuarial loss for the defined benefit pension plan that will be amortized from accumulated other comprehensive income into net periodic benefit cost over the next fiscal year will be $207,000 (gross of any tax effects).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The following table presents estimated future benefit payments for the next five years and thereafter as of December 31,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Estimated</w:t>
            </w:r>
          </w:p>
        </w:tc>
      </w:tr>
      <w:tr>
        <w:trPr>
          <w:trHeight w:val="149"/>
        </w:trPr>
        <w:tc>
          <w:tcPr>
            <w:tcW w:w="8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Future</w:t>
            </w:r>
          </w:p>
        </w:tc>
      </w:tr>
      <w:tr>
        <w:trPr>
          <w:trHeight w:val="148"/>
        </w:trPr>
        <w:tc>
          <w:tcPr>
            <w:tcW w:w="8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8"/>
              </w:rPr>
              <w:t>Pension</w:t>
            </w:r>
          </w:p>
        </w:tc>
      </w:tr>
      <w:tr>
        <w:trPr>
          <w:trHeight w:val="178"/>
        </w:trPr>
        <w:tc>
          <w:tcPr>
            <w:tcW w:w="87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Payments</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8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pension payments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Make-Good Provision</w:t>
      </w:r>
    </w:p>
    <w:p>
      <w:pPr>
        <w:spacing w:after="0" w:line="22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carrying amounts of the lease make-good provision is presented in the following table: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of and for</w:t>
            </w:r>
          </w:p>
        </w:tc>
        <w:tc>
          <w:tcPr>
            <w:tcW w:w="12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As of and for</w:t>
            </w:r>
          </w:p>
        </w:tc>
      </w:tr>
      <w:tr>
        <w:trPr>
          <w:trHeight w:val="148"/>
        </w:trPr>
        <w:tc>
          <w:tcPr>
            <w:tcW w:w="7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120" w:type="dxa"/>
            <w:vAlign w:val="bottom"/>
          </w:tcPr>
          <w:p>
            <w:pPr>
              <w:spacing w:after="0"/>
              <w:rPr>
                <w:sz w:val="12"/>
                <w:szCs w:val="12"/>
                <w:color w:val="auto"/>
              </w:rPr>
            </w:pPr>
          </w:p>
        </w:tc>
        <w:tc>
          <w:tcPr>
            <w:tcW w:w="11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the year ended</w:t>
            </w:r>
          </w:p>
        </w:tc>
      </w:tr>
      <w:tr>
        <w:trPr>
          <w:trHeight w:val="148"/>
        </w:trPr>
        <w:tc>
          <w:tcPr>
            <w:tcW w:w="7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8"/>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5"/>
                <w:szCs w:val="15"/>
                <w:color w:val="auto"/>
              </w:rPr>
            </w:pPr>
          </w:p>
        </w:tc>
        <w:tc>
          <w:tcPr>
            <w:tcW w:w="108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2018</w:t>
            </w:r>
          </w:p>
        </w:tc>
      </w:tr>
      <w:tr>
        <w:trPr>
          <w:trHeight w:val="216"/>
        </w:trPr>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 make-good provision, at January 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Liabilities incurred during the year</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settled during the year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Accretion expense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changes in foreign currency</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17"/>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Lease make-good provision, at December 31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COMMITMENTS AND CONTINGENCIES</w:t>
      </w:r>
    </w:p>
    <w:p>
      <w:pPr>
        <w:spacing w:after="0" w:line="229" w:lineRule="exact"/>
        <w:rPr>
          <w:sz w:val="20"/>
          <w:szCs w:val="20"/>
          <w:color w:val="auto"/>
        </w:rPr>
      </w:pPr>
    </w:p>
    <w:p>
      <w:pPr>
        <w:jc w:val="both"/>
        <w:ind w:right="620"/>
        <w:spacing w:after="0" w:line="311" w:lineRule="auto"/>
        <w:rPr>
          <w:sz w:val="20"/>
          <w:szCs w:val="20"/>
          <w:color w:val="auto"/>
        </w:rPr>
      </w:pPr>
      <w:r>
        <w:rPr>
          <w:rFonts w:ascii="Arial" w:cs="Arial" w:eastAsia="Arial" w:hAnsi="Arial"/>
          <w:sz w:val="16"/>
          <w:szCs w:val="16"/>
          <w:color w:val="auto"/>
        </w:rPr>
        <w:t>Insofar as our Company is aware, there are no claims, arbitration proceedings, or litigation proceedings that constitute potentially material contingent liabilities of our Company. Discussed below are certain matters which, however, have been significant to our Company and/or which may, depending upon the outcome of certain appeals, be significant to our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known commitments and contingencies as of December 31, 2019:</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4"/>
                <w:szCs w:val="14"/>
                <w:b w:val="1"/>
                <w:bCs w:val="1"/>
                <w:color w:val="auto"/>
              </w:rPr>
              <w:t>Categories</w:t>
            </w:r>
          </w:p>
        </w:tc>
        <w:tc>
          <w:tcPr>
            <w:tcW w:w="45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Nature; Company Policy on Recognition and/or Disclosure</w:t>
            </w:r>
            <w:r>
              <w:rPr>
                <w:rFonts w:ascii="Arial" w:cs="Arial" w:eastAsia="Arial" w:hAnsi="Arial"/>
                <w:sz w:val="7"/>
                <w:szCs w:val="7"/>
                <w:color w:val="auto"/>
              </w:rPr>
              <w:t>(1)</w:t>
            </w:r>
          </w:p>
        </w:tc>
        <w:tc>
          <w:tcPr>
            <w:tcW w:w="24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Discussion Reference</w:t>
            </w:r>
          </w:p>
        </w:tc>
      </w:tr>
      <w:tr>
        <w:trPr>
          <w:trHeight w:val="20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COMMITMENTS</w:t>
            </w:r>
          </w:p>
        </w:tc>
        <w:tc>
          <w:tcPr>
            <w:tcW w:w="45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CONTINGENCIES</w:t>
            </w:r>
          </w:p>
        </w:tc>
        <w:tc>
          <w:tcPr>
            <w:tcW w:w="45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193"/>
        </w:trPr>
        <w:tc>
          <w:tcPr>
            <w:tcW w:w="2940" w:type="dxa"/>
            <w:vAlign w:val="bottom"/>
          </w:tcPr>
          <w:p>
            <w:pPr>
              <w:ind w:left="280"/>
              <w:spacing w:after="0"/>
              <w:rPr>
                <w:sz w:val="20"/>
                <w:szCs w:val="20"/>
                <w:color w:val="auto"/>
              </w:rPr>
            </w:pPr>
            <w:r>
              <w:rPr>
                <w:rFonts w:ascii="Arial" w:cs="Arial" w:eastAsia="Arial" w:hAnsi="Arial"/>
                <w:sz w:val="16"/>
                <w:szCs w:val="16"/>
                <w:color w:val="auto"/>
              </w:rPr>
              <w:t>Insurance gain contingencies and</w:t>
            </w:r>
          </w:p>
        </w:tc>
        <w:tc>
          <w:tcPr>
            <w:tcW w:w="4540" w:type="dxa"/>
            <w:vAlign w:val="bottom"/>
          </w:tcPr>
          <w:p>
            <w:pPr>
              <w:ind w:left="180"/>
              <w:spacing w:after="0"/>
              <w:rPr>
                <w:sz w:val="20"/>
                <w:szCs w:val="20"/>
                <w:color w:val="auto"/>
              </w:rPr>
            </w:pPr>
            <w:r>
              <w:rPr>
                <w:rFonts w:ascii="Arial" w:cs="Arial" w:eastAsia="Arial" w:hAnsi="Arial"/>
                <w:sz w:val="16"/>
                <w:szCs w:val="16"/>
                <w:color w:val="auto"/>
                <w:w w:val="94"/>
              </w:rPr>
              <w:t>Gain contingencies relating to an insurance claim are recognized</w:t>
            </w:r>
          </w:p>
        </w:tc>
        <w:tc>
          <w:tcPr>
            <w:tcW w:w="2460" w:type="dxa"/>
            <w:vAlign w:val="bottom"/>
          </w:tcPr>
          <w:p>
            <w:pPr>
              <w:ind w:left="180"/>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21 – Insurance</w:t>
            </w:r>
          </w:p>
        </w:tc>
      </w:tr>
      <w:tr>
        <w:trPr>
          <w:trHeight w:val="202"/>
        </w:trPr>
        <w:tc>
          <w:tcPr>
            <w:tcW w:w="2940" w:type="dxa"/>
            <w:vAlign w:val="bottom"/>
          </w:tcPr>
          <w:p>
            <w:pPr>
              <w:ind w:left="280"/>
              <w:spacing w:after="0"/>
              <w:rPr>
                <w:sz w:val="20"/>
                <w:szCs w:val="20"/>
                <w:color w:val="auto"/>
              </w:rPr>
            </w:pPr>
            <w:r>
              <w:rPr>
                <w:rFonts w:ascii="Arial" w:cs="Arial" w:eastAsia="Arial" w:hAnsi="Arial"/>
                <w:sz w:val="16"/>
                <w:szCs w:val="16"/>
                <w:color w:val="auto"/>
              </w:rPr>
              <w:t>derivative loss contingencies on</w:t>
            </w:r>
          </w:p>
        </w:tc>
        <w:tc>
          <w:tcPr>
            <w:tcW w:w="4540" w:type="dxa"/>
            <w:vAlign w:val="bottom"/>
          </w:tcPr>
          <w:p>
            <w:pPr>
              <w:ind w:left="180"/>
              <w:spacing w:after="0"/>
              <w:rPr>
                <w:sz w:val="20"/>
                <w:szCs w:val="20"/>
                <w:color w:val="auto"/>
              </w:rPr>
            </w:pPr>
            <w:r>
              <w:rPr>
                <w:rFonts w:ascii="Arial" w:cs="Arial" w:eastAsia="Arial" w:hAnsi="Arial"/>
                <w:sz w:val="16"/>
                <w:szCs w:val="16"/>
                <w:color w:val="auto"/>
              </w:rPr>
              <w:t>once collectability is probable; related loss contingencies is</w:t>
            </w:r>
          </w:p>
        </w:tc>
        <w:tc>
          <w:tcPr>
            <w:tcW w:w="2460" w:type="dxa"/>
            <w:vAlign w:val="bottom"/>
          </w:tcPr>
          <w:p>
            <w:pPr>
              <w:ind w:left="180"/>
              <w:spacing w:after="0"/>
              <w:rPr>
                <w:sz w:val="20"/>
                <w:szCs w:val="20"/>
                <w:color w:val="auto"/>
              </w:rPr>
            </w:pPr>
            <w:r>
              <w:rPr>
                <w:rFonts w:ascii="Arial" w:cs="Arial" w:eastAsia="Arial" w:hAnsi="Arial"/>
                <w:sz w:val="16"/>
                <w:szCs w:val="16"/>
                <w:i w:val="1"/>
                <w:iCs w:val="1"/>
                <w:color w:val="auto"/>
              </w:rPr>
              <w:t>Recoveries on Impairment and</w:t>
            </w:r>
          </w:p>
        </w:tc>
      </w:tr>
      <w:tr>
        <w:trPr>
          <w:trHeight w:val="203"/>
        </w:trPr>
        <w:tc>
          <w:tcPr>
            <w:tcW w:w="2940" w:type="dxa"/>
            <w:vAlign w:val="bottom"/>
          </w:tcPr>
          <w:p>
            <w:pPr>
              <w:ind w:left="280"/>
              <w:spacing w:after="0"/>
              <w:rPr>
                <w:sz w:val="20"/>
                <w:szCs w:val="20"/>
                <w:color w:val="auto"/>
              </w:rPr>
            </w:pPr>
            <w:r>
              <w:rPr>
                <w:rFonts w:ascii="Arial" w:cs="Arial" w:eastAsia="Arial" w:hAnsi="Arial"/>
                <w:sz w:val="16"/>
                <w:szCs w:val="16"/>
                <w:color w:val="auto"/>
              </w:rPr>
              <w:t>demolition costs relating to recent</w:t>
            </w:r>
          </w:p>
        </w:tc>
        <w:tc>
          <w:tcPr>
            <w:tcW w:w="4540" w:type="dxa"/>
            <w:vAlign w:val="bottom"/>
          </w:tcPr>
          <w:p>
            <w:pPr>
              <w:ind w:left="180"/>
              <w:spacing w:after="0"/>
              <w:rPr>
                <w:sz w:val="20"/>
                <w:szCs w:val="20"/>
                <w:color w:val="auto"/>
              </w:rPr>
            </w:pPr>
            <w:r>
              <w:rPr>
                <w:rFonts w:ascii="Arial" w:cs="Arial" w:eastAsia="Arial" w:hAnsi="Arial"/>
                <w:sz w:val="16"/>
                <w:szCs w:val="16"/>
                <w:color w:val="auto"/>
                <w:w w:val="95"/>
              </w:rPr>
              <w:t>recognized when there are probable likelihood of incurrence and</w:t>
            </w:r>
          </w:p>
        </w:tc>
        <w:tc>
          <w:tcPr>
            <w:tcW w:w="2460" w:type="dxa"/>
            <w:vAlign w:val="bottom"/>
          </w:tcPr>
          <w:p>
            <w:pPr>
              <w:ind w:left="180"/>
              <w:spacing w:after="0"/>
              <w:rPr>
                <w:sz w:val="20"/>
                <w:szCs w:val="20"/>
                <w:color w:val="auto"/>
              </w:rPr>
            </w:pPr>
            <w:r>
              <w:rPr>
                <w:rFonts w:ascii="Arial" w:cs="Arial" w:eastAsia="Arial" w:hAnsi="Arial"/>
                <w:sz w:val="16"/>
                <w:szCs w:val="16"/>
                <w:i w:val="1"/>
                <w:iCs w:val="1"/>
                <w:color w:val="auto"/>
                <w:w w:val="95"/>
              </w:rPr>
              <w:t>Related Losses Recoverable due</w:t>
            </w:r>
          </w:p>
        </w:tc>
      </w:tr>
      <w:tr>
        <w:trPr>
          <w:trHeight w:val="209"/>
        </w:trPr>
        <w:tc>
          <w:tcPr>
            <w:tcW w:w="2940" w:type="dxa"/>
            <w:vAlign w:val="bottom"/>
          </w:tcPr>
          <w:p>
            <w:pPr>
              <w:ind w:left="280"/>
              <w:spacing w:after="0"/>
              <w:rPr>
                <w:sz w:val="20"/>
                <w:szCs w:val="20"/>
                <w:color w:val="auto"/>
              </w:rPr>
            </w:pPr>
            <w:r>
              <w:rPr>
                <w:rFonts w:ascii="Arial" w:cs="Arial" w:eastAsia="Arial" w:hAnsi="Arial"/>
                <w:sz w:val="16"/>
                <w:szCs w:val="16"/>
                <w:color w:val="auto"/>
              </w:rPr>
              <w:t>earthquake incident</w:t>
            </w:r>
          </w:p>
        </w:tc>
        <w:tc>
          <w:tcPr>
            <w:tcW w:w="4540" w:type="dxa"/>
            <w:vAlign w:val="bottom"/>
          </w:tcPr>
          <w:p>
            <w:pPr>
              <w:ind w:left="180"/>
              <w:spacing w:after="0"/>
              <w:rPr>
                <w:sz w:val="20"/>
                <w:szCs w:val="20"/>
                <w:color w:val="auto"/>
              </w:rPr>
            </w:pPr>
            <w:r>
              <w:rPr>
                <w:rFonts w:ascii="Arial" w:cs="Arial" w:eastAsia="Arial" w:hAnsi="Arial"/>
                <w:sz w:val="16"/>
                <w:szCs w:val="16"/>
                <w:color w:val="auto"/>
              </w:rPr>
              <w:t>amount is reasonably estimable.</w:t>
            </w:r>
          </w:p>
        </w:tc>
        <w:tc>
          <w:tcPr>
            <w:tcW w:w="2460" w:type="dxa"/>
            <w:vAlign w:val="bottom"/>
          </w:tcPr>
          <w:p>
            <w:pPr>
              <w:ind w:left="180"/>
              <w:spacing w:after="0"/>
              <w:rPr>
                <w:sz w:val="20"/>
                <w:szCs w:val="20"/>
                <w:color w:val="auto"/>
              </w:rPr>
            </w:pPr>
            <w:r>
              <w:rPr>
                <w:rFonts w:ascii="Arial" w:cs="Arial" w:eastAsia="Arial" w:hAnsi="Arial"/>
                <w:sz w:val="16"/>
                <w:szCs w:val="16"/>
                <w:i w:val="1"/>
                <w:iCs w:val="1"/>
                <w:color w:val="auto"/>
              </w:rPr>
              <w:t>to Earthquake</w:t>
            </w:r>
            <w:r>
              <w:rPr>
                <w:rFonts w:ascii="Arial" w:cs="Arial" w:eastAsia="Arial" w:hAnsi="Arial"/>
                <w:sz w:val="16"/>
                <w:szCs w:val="16"/>
                <w:color w:val="auto"/>
              </w:rPr>
              <w:t>.</w:t>
            </w:r>
          </w:p>
        </w:tc>
      </w:tr>
      <w:tr>
        <w:trPr>
          <w:trHeight w:val="196"/>
        </w:trPr>
        <w:tc>
          <w:tcPr>
            <w:tcW w:w="2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Litigation involving James</w:t>
            </w:r>
          </w:p>
        </w:tc>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Similar policies for gain and loss contingencies as noted above.</w:t>
            </w: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Refer below for further</w:t>
            </w:r>
          </w:p>
        </w:tc>
      </w:tr>
      <w:tr>
        <w:trPr>
          <w:trHeight w:val="226"/>
        </w:trPr>
        <w:tc>
          <w:tcPr>
            <w:tcW w:w="2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 Cotter Jr.</w:t>
            </w:r>
          </w:p>
        </w:tc>
        <w:tc>
          <w:tcPr>
            <w:tcW w:w="4540" w:type="dxa"/>
            <w:vAlign w:val="bottom"/>
            <w:shd w:val="clear" w:color="auto" w:fill="CCEEFF"/>
          </w:tcPr>
          <w:p>
            <w:pPr>
              <w:spacing w:after="0"/>
              <w:rPr>
                <w:sz w:val="19"/>
                <w:szCs w:val="19"/>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discussion.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3093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ind w:left="640" w:right="40" w:hanging="320"/>
        <w:spacing w:after="0" w:line="245" w:lineRule="auto"/>
        <w:tabs>
          <w:tab w:leader="none" w:pos="64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 xml:space="preserve">Consistent with our accounting policy for loss and gain contingencies discussed in </w:t>
      </w:r>
      <w:r>
        <w:rPr>
          <w:rFonts w:ascii="Arial" w:cs="Arial" w:eastAsia="Arial" w:hAnsi="Arial"/>
          <w:sz w:val="14"/>
          <w:szCs w:val="14"/>
          <w:i w:val="1"/>
          <w:iCs w:val="1"/>
          <w:color w:val="auto"/>
        </w:rPr>
        <w:t>Note 2 – Summary of Significant Accounting Policies</w:t>
      </w:r>
      <w:r>
        <w:rPr>
          <w:rFonts w:ascii="Arial" w:cs="Arial" w:eastAsia="Arial" w:hAnsi="Arial"/>
          <w:sz w:val="14"/>
          <w:szCs w:val="14"/>
          <w:color w:val="auto"/>
        </w:rPr>
        <w:t xml:space="preserve"> and further discussed in more details below.</w:t>
      </w:r>
    </w:p>
    <w:p>
      <w:pPr>
        <w:spacing w:after="0" w:line="399" w:lineRule="exact"/>
        <w:rPr>
          <w:rFonts w:ascii="Arial" w:cs="Arial" w:eastAsia="Arial" w:hAnsi="Arial"/>
          <w:sz w:val="14"/>
          <w:szCs w:val="14"/>
          <w:color w:val="auto"/>
        </w:rPr>
      </w:pPr>
    </w:p>
    <w:p>
      <w:pPr>
        <w:ind w:left="4820" w:hanging="141"/>
        <w:spacing w:after="0"/>
        <w:tabs>
          <w:tab w:leader="none" w:pos="48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Litigation Matters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currently involved in certain legal proceedings and, as required, have accrued estimates of probable and estimable losses for the resolution of these claims, including legal costs.</w:t>
      </w:r>
    </w:p>
    <w:p>
      <w:pPr>
        <w:spacing w:after="0" w:line="49" w:lineRule="exact"/>
        <w:rPr>
          <w:sz w:val="20"/>
          <w:szCs w:val="20"/>
          <w:color w:val="auto"/>
        </w:rPr>
      </w:pPr>
    </w:p>
    <w:p>
      <w:pPr>
        <w:ind w:left="640" w:right="100" w:hanging="320"/>
        <w:spacing w:after="0" w:line="237" w:lineRule="auto"/>
        <w:tabs>
          <w:tab w:leader="none" w:pos="640" w:val="left"/>
        </w:tabs>
        <w:numPr>
          <w:ilvl w:val="0"/>
          <w:numId w:val="171"/>
        </w:numPr>
        <w:rPr>
          <w:rFonts w:ascii="Arial" w:cs="Arial" w:eastAsia="Arial" w:hAnsi="Arial"/>
          <w:sz w:val="28"/>
          <w:szCs w:val="28"/>
          <w:color w:val="auto"/>
          <w:vertAlign w:val="superscript"/>
        </w:rPr>
      </w:pPr>
      <w:r>
        <w:rPr>
          <w:rFonts w:ascii="Arial" w:cs="Arial" w:eastAsia="Arial" w:hAnsi="Arial"/>
          <w:sz w:val="17"/>
          <w:szCs w:val="17"/>
          <w:color w:val="auto"/>
        </w:rPr>
        <w:t xml:space="preserve">Where we are the </w:t>
      </w:r>
      <w:r>
        <w:rPr>
          <w:rFonts w:ascii="Arial" w:cs="Arial" w:eastAsia="Arial" w:hAnsi="Arial"/>
          <w:sz w:val="17"/>
          <w:szCs w:val="17"/>
          <w:i w:val="1"/>
          <w:iCs w:val="1"/>
          <w:u w:val="single" w:color="auto"/>
          <w:color w:val="auto"/>
        </w:rPr>
        <w:t>plaintiffs</w:t>
      </w:r>
      <w:r>
        <w:rPr>
          <w:rFonts w:ascii="Arial" w:cs="Arial" w:eastAsia="Arial" w:hAnsi="Arial"/>
          <w:sz w:val="17"/>
          <w:szCs w:val="17"/>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84" w:lineRule="exact"/>
        <w:rPr>
          <w:rFonts w:ascii="Arial" w:cs="Arial" w:eastAsia="Arial" w:hAnsi="Arial"/>
          <w:sz w:val="28"/>
          <w:szCs w:val="28"/>
          <w:color w:val="auto"/>
          <w:vertAlign w:val="superscript"/>
        </w:rPr>
      </w:pPr>
    </w:p>
    <w:p>
      <w:pPr>
        <w:ind w:left="640" w:right="20" w:hanging="320"/>
        <w:spacing w:after="0" w:line="245" w:lineRule="auto"/>
        <w:tabs>
          <w:tab w:leader="none" w:pos="640" w:val="left"/>
        </w:tabs>
        <w:numPr>
          <w:ilvl w:val="0"/>
          <w:numId w:val="171"/>
        </w:numPr>
        <w:rPr>
          <w:rFonts w:ascii="Arial" w:cs="Arial" w:eastAsia="Arial" w:hAnsi="Arial"/>
          <w:sz w:val="28"/>
          <w:szCs w:val="28"/>
          <w:color w:val="auto"/>
          <w:vertAlign w:val="superscript"/>
        </w:rPr>
      </w:pPr>
      <w:r>
        <w:rPr>
          <w:rFonts w:ascii="Arial" w:cs="Arial" w:eastAsia="Arial" w:hAnsi="Arial"/>
          <w:sz w:val="17"/>
          <w:szCs w:val="17"/>
          <w:color w:val="auto"/>
        </w:rPr>
        <w:t xml:space="preserve">Where we are the </w:t>
      </w:r>
      <w:r>
        <w:rPr>
          <w:rFonts w:ascii="Arial" w:cs="Arial" w:eastAsia="Arial" w:hAnsi="Arial"/>
          <w:sz w:val="17"/>
          <w:szCs w:val="17"/>
          <w:i w:val="1"/>
          <w:iCs w:val="1"/>
          <w:u w:val="single" w:color="auto"/>
          <w:color w:val="auto"/>
        </w:rPr>
        <w:t>defendants</w:t>
      </w:r>
      <w:r>
        <w:rPr>
          <w:rFonts w:ascii="Arial" w:cs="Arial" w:eastAsia="Arial" w:hAnsi="Arial"/>
          <w:sz w:val="17"/>
          <w:szCs w:val="17"/>
          <w:color w:val="auto"/>
        </w:rPr>
        <w:t xml:space="preserve">, we accrue for probable damages that insurance may not cover as they become known and can be reasonably estimated, as permitted under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w:t>
      </w:r>
    </w:p>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All of these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Environmental and Asbestos Claims on Reading Legacy Operations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Cotter Jr. Related Litigation Matters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provides a list of legal matters and current status relating to the termination of James J. Cotter, Jr.’s (“Cotter, Jr.”) as our Company’s president and chief executive officer, to Cotter, Jr.’s subsequent derivative action brought against the Company and our directors alleging, among other things, that such termination violated the fiduciary duties of such directors, and to Cotter, Jr.’s efforts to cause a change of control of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337" w:right="10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5"/>
        </w:trPr>
        <w:tc>
          <w:tcPr>
            <w:tcW w:w="274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Plaintiff</w:t>
            </w: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Filed with</w:t>
            </w:r>
          </w:p>
        </w:tc>
        <w:tc>
          <w:tcPr>
            <w:tcW w:w="450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4"/>
                <w:szCs w:val="14"/>
                <w:b w:val="1"/>
                <w:bCs w:val="1"/>
                <w:color w:val="auto"/>
              </w:rPr>
              <w:t>Current Status</w:t>
            </w:r>
          </w:p>
        </w:tc>
      </w:tr>
      <w:tr>
        <w:trPr>
          <w:trHeight w:val="186"/>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Cotter, Jr. Derivative Litigation</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Cotter, Jr.</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Nevada District</w:t>
            </w: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Summary judgment has been entered against Cotter, Jr., and in</w:t>
            </w:r>
          </w:p>
        </w:tc>
      </w:tr>
      <w:tr>
        <w:trPr>
          <w:trHeight w:val="203"/>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against all Director: </w:t>
            </w:r>
            <w:r>
              <w:rPr>
                <w:rFonts w:ascii="Arial" w:cs="Arial" w:eastAsia="Arial" w:hAnsi="Arial"/>
                <w:sz w:val="16"/>
                <w:szCs w:val="16"/>
                <w:i w:val="1"/>
                <w:iCs w:val="1"/>
                <w:color w:val="auto"/>
              </w:rPr>
              <w:t>James J.</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Court</w:t>
            </w: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favor of all defendants and a $1.55 million cost judgment has</w:t>
            </w:r>
          </w:p>
        </w:tc>
      </w:tr>
      <w:tr>
        <w:trPr>
          <w:trHeight w:val="203"/>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Cotter, Jr., individually and</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been entered against Cotter, Jr., and in favor of our</w:t>
            </w:r>
          </w:p>
        </w:tc>
      </w:tr>
      <w:tr>
        <w:trPr>
          <w:trHeight w:val="203"/>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derivatively on behalf of Reading</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Company.  Cotter, Jr. has appealed both judgements. Our</w:t>
            </w:r>
          </w:p>
        </w:tc>
      </w:tr>
      <w:tr>
        <w:trPr>
          <w:trHeight w:val="203"/>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International, Inc. vs. Margaret</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application for $5.9 million in attorneys’ fees was denied, and</w:t>
            </w:r>
          </w:p>
        </w:tc>
      </w:tr>
      <w:tr>
        <w:trPr>
          <w:trHeight w:val="203"/>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 xml:space="preserve">Cotter, et al.” </w:t>
            </w:r>
            <w:r>
              <w:rPr>
                <w:rFonts w:ascii="Arial" w:cs="Arial" w:eastAsia="Arial" w:hAnsi="Arial"/>
                <w:sz w:val="16"/>
                <w:szCs w:val="16"/>
                <w:color w:val="auto"/>
              </w:rPr>
              <w:t>Case No,: A-15-</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we have appealed that determination. The issues on appeal are</w:t>
            </w:r>
          </w:p>
        </w:tc>
      </w:tr>
      <w:tr>
        <w:trPr>
          <w:trHeight w:val="206"/>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719860-V</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currently being briefed. No date for oral argument has been</w:t>
            </w:r>
          </w:p>
        </w:tc>
      </w:tr>
      <w:tr>
        <w:trPr>
          <w:trHeight w:val="212"/>
        </w:trPr>
        <w:tc>
          <w:tcPr>
            <w:tcW w:w="2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set. It is unlikely that any hearing will be held this year. Under</w:t>
            </w:r>
          </w:p>
        </w:tc>
      </w:tr>
      <w:tr>
        <w:trPr>
          <w:trHeight w:val="203"/>
        </w:trPr>
        <w:tc>
          <w:tcPr>
            <w:tcW w:w="2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applicable law, we have an obligation to defend our directors</w:t>
            </w:r>
          </w:p>
        </w:tc>
      </w:tr>
      <w:tr>
        <w:trPr>
          <w:trHeight w:val="203"/>
        </w:trPr>
        <w:tc>
          <w:tcPr>
            <w:tcW w:w="2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against Cotter, Jr’s claims. Our Director’s and Officer’s Liability</w:t>
            </w:r>
          </w:p>
        </w:tc>
      </w:tr>
      <w:tr>
        <w:trPr>
          <w:trHeight w:val="203"/>
        </w:trPr>
        <w:tc>
          <w:tcPr>
            <w:tcW w:w="2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Insurance has been exhausted. During 2019, legal fees in the</w:t>
            </w:r>
          </w:p>
        </w:tc>
      </w:tr>
      <w:tr>
        <w:trPr>
          <w:trHeight w:val="206"/>
        </w:trPr>
        <w:tc>
          <w:tcPr>
            <w:tcW w:w="2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 of approximately $925,000 were incurred by our</w:t>
            </w:r>
          </w:p>
        </w:tc>
      </w:tr>
      <w:tr>
        <w:trPr>
          <w:trHeight w:val="222"/>
        </w:trPr>
        <w:tc>
          <w:tcPr>
            <w:tcW w:w="2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Company defending these claims.</w:t>
            </w:r>
          </w:p>
        </w:tc>
      </w:tr>
      <w:tr>
        <w:trPr>
          <w:trHeight w:val="193"/>
        </w:trPr>
        <w:tc>
          <w:tcPr>
            <w:tcW w:w="2740" w:type="dxa"/>
            <w:vAlign w:val="bottom"/>
          </w:tcPr>
          <w:p>
            <w:pPr>
              <w:ind w:left="280"/>
              <w:spacing w:after="0"/>
              <w:rPr>
                <w:sz w:val="20"/>
                <w:szCs w:val="20"/>
                <w:color w:val="auto"/>
              </w:rPr>
            </w:pPr>
            <w:r>
              <w:rPr>
                <w:rFonts w:ascii="Arial" w:cs="Arial" w:eastAsia="Arial" w:hAnsi="Arial"/>
                <w:sz w:val="16"/>
                <w:szCs w:val="16"/>
                <w:color w:val="auto"/>
              </w:rPr>
              <w:t>Cotter Trust Litigation:</w:t>
            </w:r>
          </w:p>
        </w:tc>
        <w:tc>
          <w:tcPr>
            <w:tcW w:w="1100" w:type="dxa"/>
            <w:vAlign w:val="bottom"/>
          </w:tcPr>
          <w:p>
            <w:pPr>
              <w:jc w:val="center"/>
              <w:spacing w:after="0"/>
              <w:rPr>
                <w:sz w:val="20"/>
                <w:szCs w:val="20"/>
                <w:color w:val="auto"/>
              </w:rPr>
            </w:pPr>
            <w:r>
              <w:rPr>
                <w:rFonts w:ascii="Arial" w:cs="Arial" w:eastAsia="Arial" w:hAnsi="Arial"/>
                <w:sz w:val="16"/>
                <w:szCs w:val="16"/>
                <w:color w:val="auto"/>
                <w:w w:val="95"/>
              </w:rPr>
              <w:t>Ellen Cotter</w:t>
            </w:r>
          </w:p>
        </w:tc>
        <w:tc>
          <w:tcPr>
            <w:tcW w:w="1600" w:type="dxa"/>
            <w:vAlign w:val="bottom"/>
          </w:tcPr>
          <w:p>
            <w:pPr>
              <w:jc w:val="center"/>
              <w:spacing w:after="0"/>
              <w:rPr>
                <w:sz w:val="20"/>
                <w:szCs w:val="20"/>
                <w:color w:val="auto"/>
              </w:rPr>
            </w:pPr>
            <w:r>
              <w:rPr>
                <w:rFonts w:ascii="Arial" w:cs="Arial" w:eastAsia="Arial" w:hAnsi="Arial"/>
                <w:sz w:val="16"/>
                <w:szCs w:val="16"/>
                <w:color w:val="auto"/>
                <w:w w:val="95"/>
              </w:rPr>
              <w:t>California Superior</w:t>
            </w:r>
          </w:p>
        </w:tc>
        <w:tc>
          <w:tcPr>
            <w:tcW w:w="4500" w:type="dxa"/>
            <w:vAlign w:val="bottom"/>
          </w:tcPr>
          <w:p>
            <w:pPr>
              <w:ind w:left="180"/>
              <w:spacing w:after="0"/>
              <w:rPr>
                <w:sz w:val="20"/>
                <w:szCs w:val="20"/>
                <w:color w:val="auto"/>
              </w:rPr>
            </w:pPr>
            <w:r>
              <w:rPr>
                <w:rFonts w:ascii="Arial" w:cs="Arial" w:eastAsia="Arial" w:hAnsi="Arial"/>
                <w:sz w:val="16"/>
                <w:szCs w:val="16"/>
                <w:color w:val="auto"/>
                <w:w w:val="96"/>
              </w:rPr>
              <w:t>The California Superior Court has ruled that Cotter, Jr., is not a</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rPr>
              <w:t>Determination of Status of Cotter,</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and</w:t>
            </w:r>
          </w:p>
        </w:tc>
        <w:tc>
          <w:tcPr>
            <w:tcW w:w="1600" w:type="dxa"/>
            <w:vAlign w:val="bottom"/>
          </w:tcPr>
          <w:p>
            <w:pPr>
              <w:jc w:val="center"/>
              <w:spacing w:after="0"/>
              <w:rPr>
                <w:sz w:val="20"/>
                <w:szCs w:val="20"/>
                <w:color w:val="auto"/>
              </w:rPr>
            </w:pPr>
            <w:r>
              <w:rPr>
                <w:rFonts w:ascii="Arial" w:cs="Arial" w:eastAsia="Arial" w:hAnsi="Arial"/>
                <w:sz w:val="16"/>
                <w:szCs w:val="16"/>
                <w:color w:val="auto"/>
                <w:w w:val="97"/>
              </w:rPr>
              <w:t>Court</w:t>
            </w:r>
          </w:p>
        </w:tc>
        <w:tc>
          <w:tcPr>
            <w:tcW w:w="4500" w:type="dxa"/>
            <w:vAlign w:val="bottom"/>
          </w:tcPr>
          <w:p>
            <w:pPr>
              <w:ind w:left="180"/>
              <w:spacing w:after="0"/>
              <w:rPr>
                <w:sz w:val="20"/>
                <w:szCs w:val="20"/>
                <w:color w:val="auto"/>
              </w:rPr>
            </w:pPr>
            <w:r>
              <w:rPr>
                <w:rFonts w:ascii="Arial" w:cs="Arial" w:eastAsia="Arial" w:hAnsi="Arial"/>
                <w:sz w:val="16"/>
                <w:szCs w:val="16"/>
                <w:color w:val="auto"/>
              </w:rPr>
              <w:t>trustee of either the James J. Cotter Living Trust (the “Cotter</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w w:val="93"/>
              </w:rPr>
              <w:t xml:space="preserve">Jr., as Trustee: </w:t>
            </w:r>
            <w:r>
              <w:rPr>
                <w:rFonts w:ascii="Arial" w:cs="Arial" w:eastAsia="Arial" w:hAnsi="Arial"/>
                <w:sz w:val="16"/>
                <w:szCs w:val="16"/>
                <w:i w:val="1"/>
                <w:iCs w:val="1"/>
                <w:color w:val="auto"/>
                <w:w w:val="93"/>
              </w:rPr>
              <w:t>In re James J. Cotter</w:t>
            </w: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Margaret</w:t>
            </w: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7"/>
              </w:rPr>
              <w:t>Living Trust”) or of the voting trust established under the Living</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i w:val="1"/>
                <w:iCs w:val="1"/>
                <w:color w:val="auto"/>
              </w:rPr>
              <w:t>Living Trust dated August 1, 2000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Cotter, as</w:t>
            </w: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8"/>
              </w:rPr>
              <w:t>Trust (the “Cotter Voting Trust”) to eventually hold the Class B</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rPr>
              <w:t>(Case No. BP159755)</w:t>
            </w:r>
          </w:p>
        </w:tc>
        <w:tc>
          <w:tcPr>
            <w:tcW w:w="1100" w:type="dxa"/>
            <w:vAlign w:val="bottom"/>
          </w:tcPr>
          <w:p>
            <w:pPr>
              <w:jc w:val="center"/>
              <w:spacing w:after="0"/>
              <w:rPr>
                <w:sz w:val="20"/>
                <w:szCs w:val="20"/>
                <w:color w:val="auto"/>
              </w:rPr>
            </w:pPr>
            <w:r>
              <w:rPr>
                <w:rFonts w:ascii="Arial" w:cs="Arial" w:eastAsia="Arial" w:hAnsi="Arial"/>
                <w:sz w:val="16"/>
                <w:szCs w:val="16"/>
                <w:color w:val="auto"/>
                <w:w w:val="86"/>
              </w:rPr>
              <w:t>Trustees</w:t>
            </w: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7"/>
              </w:rPr>
              <w:t>Voting Common Stock beneficially owned by Mr. Cotter, Sr., at</w:t>
            </w: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rPr>
              <w:t>the time of his passing. The California Superior Court further</w:t>
            </w:r>
          </w:p>
        </w:tc>
      </w:tr>
      <w:tr>
        <w:trPr>
          <w:trHeight w:val="203"/>
        </w:trPr>
        <w:tc>
          <w:tcPr>
            <w:tcW w:w="2740" w:type="dxa"/>
            <w:vAlign w:val="bottom"/>
          </w:tcPr>
          <w:p>
            <w:pPr>
              <w:ind w:left="240"/>
              <w:spacing w:after="0"/>
              <w:rPr>
                <w:sz w:val="20"/>
                <w:szCs w:val="20"/>
                <w:color w:val="auto"/>
              </w:rPr>
            </w:pPr>
            <w:r>
              <w:rPr>
                <w:rFonts w:ascii="Arial" w:cs="Arial" w:eastAsia="Arial" w:hAnsi="Arial"/>
                <w:sz w:val="16"/>
                <w:szCs w:val="16"/>
                <w:color w:val="auto"/>
              </w:rPr>
              <w:t>Our Company is not a party to the</w:t>
            </w: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8"/>
              </w:rPr>
              <w:t>determined that Ellen Cotter and Margaret Cotter are the sole</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rPr>
              <w:t>Trust Litigation. However, as the</w:t>
            </w: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9"/>
              </w:rPr>
              <w:t>trustees of the Cotter Living Trust and that Margaret Cotter is</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w w:val="97"/>
              </w:rPr>
              <w:t>Cotter Voting Trust is anticipated to</w:t>
            </w: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7"/>
              </w:rPr>
              <w:t>the sole trustee of the Cotter Voting Trust. Accordingly, Cotter,</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rPr>
              <w:t>at some currently undetermined</w:t>
            </w: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7"/>
              </w:rPr>
              <w:t>Jr., has neither dispositive power nor voting power over any of</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rPr>
              <w:t>future date, to hold a majority of</w:t>
            </w: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7"/>
              </w:rPr>
              <w:t>the Class B Voting Common Stock currently held by the Cotter</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rPr>
              <w:t>our Company’s voting control, we</w:t>
            </w: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9"/>
              </w:rPr>
              <w:t>Estate or the Cotter Living Trust, or which it is anticipated will</w:t>
            </w:r>
          </w:p>
        </w:tc>
      </w:tr>
      <w:tr>
        <w:trPr>
          <w:trHeight w:val="203"/>
        </w:trPr>
        <w:tc>
          <w:tcPr>
            <w:tcW w:w="2740" w:type="dxa"/>
            <w:vAlign w:val="bottom"/>
          </w:tcPr>
          <w:p>
            <w:pPr>
              <w:ind w:left="280"/>
              <w:spacing w:after="0"/>
              <w:rPr>
                <w:sz w:val="20"/>
                <w:szCs w:val="20"/>
                <w:color w:val="auto"/>
              </w:rPr>
            </w:pPr>
            <w:r>
              <w:rPr>
                <w:rFonts w:ascii="Arial" w:cs="Arial" w:eastAsia="Arial" w:hAnsi="Arial"/>
                <w:sz w:val="16"/>
                <w:szCs w:val="16"/>
                <w:color w:val="auto"/>
                <w:w w:val="99"/>
              </w:rPr>
              <w:t>include here certain information as</w:t>
            </w: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rPr>
              <w:t>be held by the Cotter Voting Trust. The time to appeal that</w:t>
            </w:r>
          </w:p>
        </w:tc>
      </w:tr>
      <w:tr>
        <w:trPr>
          <w:trHeight w:val="220"/>
        </w:trPr>
        <w:tc>
          <w:tcPr>
            <w:tcW w:w="2740" w:type="dxa"/>
            <w:vAlign w:val="bottom"/>
          </w:tcPr>
          <w:p>
            <w:pPr>
              <w:ind w:left="280"/>
              <w:spacing w:after="0"/>
              <w:rPr>
                <w:sz w:val="20"/>
                <w:szCs w:val="20"/>
                <w:color w:val="auto"/>
              </w:rPr>
            </w:pPr>
            <w:r>
              <w:rPr>
                <w:rFonts w:ascii="Arial" w:cs="Arial" w:eastAsia="Arial" w:hAnsi="Arial"/>
                <w:sz w:val="16"/>
                <w:szCs w:val="16"/>
                <w:color w:val="auto"/>
              </w:rPr>
              <w:t>to the status of that litigation.</w:t>
            </w:r>
          </w:p>
        </w:tc>
        <w:tc>
          <w:tcPr>
            <w:tcW w:w="1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rPr>
              <w:t>ruling has now lapsed.</w:t>
            </w:r>
          </w:p>
        </w:tc>
      </w:tr>
      <w:tr>
        <w:trPr>
          <w:trHeight w:val="401"/>
        </w:trPr>
        <w:tc>
          <w:tcPr>
            <w:tcW w:w="2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4"/>
              </w:rPr>
              <w:t>At December 31, 2019, the Cotter Estate held 427,808 shares of</w:t>
            </w:r>
          </w:p>
        </w:tc>
      </w:tr>
      <w:tr>
        <w:trPr>
          <w:trHeight w:val="202"/>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8"/>
              </w:rPr>
              <w:t>Class B Voting Stock, representing 25.5% of the voting power</w:t>
            </w: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8"/>
              </w:rPr>
              <w:t>of such class.  The Cotter Living Trust held 696,080 shares of</w:t>
            </w: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9"/>
              </w:rPr>
              <w:t>Class B Voting Stock at such date, representing 41.4% of the</w:t>
            </w: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7"/>
              </w:rPr>
              <w:t>voting power of such class. It is anticipated that, when funded,</w:t>
            </w: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rPr>
              <w:t>the Cotter Voting Trust will own 1,123,888 shares of Class B</w:t>
            </w:r>
          </w:p>
        </w:tc>
      </w:tr>
      <w:tr>
        <w:trPr>
          <w:trHeight w:val="203"/>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w w:val="99"/>
              </w:rPr>
              <w:t>Voting Stock, representing 66.9% of the voting power of such</w:t>
            </w:r>
          </w:p>
        </w:tc>
      </w:tr>
      <w:tr>
        <w:trPr>
          <w:trHeight w:val="206"/>
        </w:trPr>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rPr>
              <w:t>class (the “Cotter Voting Stock”).</w:t>
            </w: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551" w:right="9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3"/>
        </w:trPr>
        <w:tc>
          <w:tcPr>
            <w:tcW w:w="2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Cotter Trust Litigation: Motions re</w:t>
            </w:r>
          </w:p>
        </w:tc>
        <w:tc>
          <w:tcPr>
            <w:tcW w:w="1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Cotter,</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California Superior</w:t>
            </w: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 xml:space="preserve">In response to the </w:t>
            </w:r>
            <w:r>
              <w:rPr>
                <w:rFonts w:ascii="Arial" w:cs="Arial" w:eastAsia="Arial" w:hAnsi="Arial"/>
                <w:sz w:val="16"/>
                <w:szCs w:val="16"/>
                <w:i w:val="1"/>
                <w:iCs w:val="1"/>
                <w:color w:val="auto"/>
                <w:w w:val="96"/>
              </w:rPr>
              <w:t>ex parte</w:t>
            </w:r>
            <w:r>
              <w:rPr>
                <w:rFonts w:ascii="Arial" w:cs="Arial" w:eastAsia="Arial" w:hAnsi="Arial"/>
                <w:sz w:val="16"/>
                <w:szCs w:val="16"/>
                <w:color w:val="auto"/>
                <w:w w:val="96"/>
              </w:rPr>
              <w:t xml:space="preserve"> petition of Cotter, Jr. filed on March</w:t>
            </w:r>
          </w:p>
        </w:tc>
      </w:tr>
      <w:tr>
        <w:trPr>
          <w:trHeight w:val="203"/>
        </w:trPr>
        <w:tc>
          <w:tcPr>
            <w:tcW w:w="28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 xml:space="preserve">sale of: </w:t>
            </w:r>
            <w:r>
              <w:rPr>
                <w:rFonts w:ascii="Arial" w:cs="Arial" w:eastAsia="Arial" w:hAnsi="Arial"/>
                <w:sz w:val="16"/>
                <w:szCs w:val="16"/>
                <w:i w:val="1"/>
                <w:iCs w:val="1"/>
                <w:color w:val="auto"/>
                <w:w w:val="99"/>
              </w:rPr>
              <w:t>In re James J. Cotter Living</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Jr. and</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Court</w:t>
            </w: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 2016, the California Superior Court on March 23, 2018</w:t>
            </w:r>
          </w:p>
        </w:tc>
      </w:tr>
      <w:tr>
        <w:trPr>
          <w:trHeight w:val="203"/>
        </w:trPr>
        <w:tc>
          <w:tcPr>
            <w:tcW w:w="280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 xml:space="preserve">Trust dated August 1, 2000 </w:t>
            </w:r>
            <w:r>
              <w:rPr>
                <w:rFonts w:ascii="Arial" w:cs="Arial" w:eastAsia="Arial" w:hAnsi="Arial"/>
                <w:sz w:val="16"/>
                <w:szCs w:val="16"/>
                <w:color w:val="auto"/>
              </w:rPr>
              <w:t>(Case</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Guardian</w:t>
            </w: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directed that an unnamed temporary trustee </w:t>
            </w:r>
            <w:r>
              <w:rPr>
                <w:rFonts w:ascii="Arial" w:cs="Arial" w:eastAsia="Arial" w:hAnsi="Arial"/>
                <w:sz w:val="16"/>
                <w:szCs w:val="16"/>
                <w:i w:val="1"/>
                <w:iCs w:val="1"/>
                <w:color w:val="auto"/>
              </w:rPr>
              <w:t>ad litem</w:t>
            </w:r>
            <w:r>
              <w:rPr>
                <w:rFonts w:ascii="Arial" w:cs="Arial" w:eastAsia="Arial" w:hAnsi="Arial"/>
                <w:sz w:val="16"/>
                <w:szCs w:val="16"/>
                <w:color w:val="auto"/>
              </w:rPr>
              <w:t xml:space="preserve"> be</w:t>
            </w:r>
          </w:p>
        </w:tc>
      </w:tr>
      <w:tr>
        <w:trPr>
          <w:trHeight w:val="203"/>
        </w:trPr>
        <w:tc>
          <w:tcPr>
            <w:tcW w:w="2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 BP159755)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Ad Litem</w:t>
            </w: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appointed to solicit offers to purchase the Cotter Voting Stock.</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On appellate review, the California Court of Appeal reversed the</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California Superior Court, determine that Cotter, Jr. did not have</w:t>
            </w:r>
          </w:p>
        </w:tc>
      </w:tr>
      <w:tr>
        <w:trPr>
          <w:trHeight w:val="206"/>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standing to purse that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motion.</w:t>
            </w:r>
          </w:p>
        </w:tc>
      </w:tr>
      <w:tr>
        <w:trPr>
          <w:trHeight w:val="415"/>
        </w:trPr>
        <w:tc>
          <w:tcPr>
            <w:tcW w:w="2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However, issues as to the ongoing control of our Company are</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still uncertain. James J. Cotter, Jr., has a pending motion to</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remove Ellen Cotter and Margaret Cotter as trustees of the</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Cotter Trust (a motion for which no discovery schedule, briefing</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schedule or hearing date has been set). Also, James J. Cotter,</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Jr., continues to support a motion brought by the guardian ad</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litem (the “GAL”) appointed by the Superior Court to represent</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the interests of the beneficiaries of the Voting Trust to effect a</w:t>
            </w:r>
          </w:p>
        </w:tc>
      </w:tr>
      <w:tr>
        <w:trPr>
          <w:trHeight w:val="206"/>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 of the Voting Stock to be held by the Voting Trust.</w:t>
            </w:r>
          </w:p>
        </w:tc>
      </w:tr>
      <w:tr>
        <w:trPr>
          <w:trHeight w:val="415"/>
        </w:trPr>
        <w:tc>
          <w:tcPr>
            <w:tcW w:w="2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The GAL has motions pending (i) to divide the Voting Trust into</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separate trusts, one for the benefit of Margaret Cotter’s children</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and one for the benefit of James J. Cotter, Jr.’s children, (ii) in</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order to achieve diversification of the assets of these trusts, to</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sell the Class B stock eventually to be held by these trusts, and</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(iii) to immediately retain a valuation expert to advise him as to</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value of the Class B Voting Stock to be eventually held by the</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Voting Trust. A motion brought by Margaret Cotter and Ellen</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Cotter, as Co-Trustees of the Cotter Trust, to disqualify the GAL</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on the basis that he cannot simultaneously represent the interests</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of Margaret Cotter and James J. Cotter’s, Jr’s, children as the</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interests of those children differ, was denied by the Superior</w:t>
            </w:r>
          </w:p>
        </w:tc>
      </w:tr>
      <w:tr>
        <w:trPr>
          <w:trHeight w:val="202"/>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Court. Ellen Cotter and Margaret Cotter, as Co-Trustees of the</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Living Trust, have advised that they believe that it was the</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intention of their father that the Class B Voting Stock be held in</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 Voting Trust as long as possible and that they intend to</w:t>
            </w:r>
          </w:p>
        </w:tc>
      </w:tr>
      <w:tr>
        <w:trPr>
          <w:trHeight w:val="203"/>
        </w:trPr>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oppose any splitting of the Voting Trust and/or sale of the Class</w:t>
            </w:r>
          </w:p>
        </w:tc>
      </w:tr>
      <w:tr>
        <w:trPr>
          <w:trHeight w:val="212"/>
        </w:trPr>
        <w:tc>
          <w:tcPr>
            <w:tcW w:w="2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 Voting Stock eventually to be held by the Voting Trust.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Employment Litigation</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is currently involved in two California employment matters which include substantially overlapping wage and hour claims: Taylor Brown, individually, and on behalf of other members of the general public similarly situated vs. Reading Cinemas et al. Superior Court of the State of California for the County of Kern, Case No. BCV-19-1000390 (“Brown v. RC,” and the “Brown Class Action Complaint” respectively) and Peter M. Wagner, Jr., an individual, vs. Consolidated Entertainment, Inc. et al., Superior Court of the State of California for the County of San Diego, Case NO. 37-2019-00030695-CU-WT-CTL (“Wagner v. CEI,” and the “Wagner Individual Complaint” respectively). Brown v. RC was initially filed in December 2018, as an individual action and refiled as a putative class action in February 2019, but not served until June 24, 2019. These lawsuits seek damages, and attorneys’ fees, relating to alleged violations of California labor laws relating to meal periods, rest periods, reporting time pay, unpaid wages, timely pay upon termination and wage statements violations. Wagner v. CEI was filed as a discrimination and retaliation lawsuit in June 2019. The following month, in July 2019, a notice was served on us by separate counsel for Mr. Wagner under the California Private Attorney General Act of 2004 (Cal. Labor Code Section 2698, et seq) (the “Wagner PAGA Claim”) purportedly asserting in a representational capacity claims under the PAGA statute, overlapping, in substantial part, the allegations set forth in the Brown Class Action Complaint. On March 6, 2020, Mr. Wagner filed a putative class action against Reading International, Inc., Consolidated Entertainment, Inc., and Consolidated Entertainment, LLC, substantially overlapping the claims in the Brown Class Action Complaint. That complaint has not yet been served. Neither plaintiff has specified the amount of damages sought.</w:t>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is investigating and intends to vigorously defend the allegations of the Brown Class Action Complaint, the Wagner Individual Complaint and the Wagner PAGA Claim and denies that a PAGA representative action is appropriate. These matters are in their early stages, and the putative class action has not been certified. As these cases are in early stages, the Company is unable to predict the outcome of the litigation or the range of potential loss, if any; however, the Company believes that its potential liability with respect to such matters is not material to its overall financial position, results of operations and cash flows. Accordingly, the Company has not established a reserve for loss in connection with these matters.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55" w:right="9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auto"/>
        </w:rPr>
        <w:t>NOTE 13 –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non-controlling interests in our consolidated subsidiaries are comprised of the following:</w:t>
      </w:r>
    </w:p>
    <w:p>
      <w:pPr>
        <w:ind w:left="640" w:hanging="320"/>
        <w:spacing w:after="0"/>
        <w:tabs>
          <w:tab w:leader="none" w:pos="640" w:val="left"/>
        </w:tabs>
        <w:numPr>
          <w:ilvl w:val="0"/>
          <w:numId w:val="172"/>
        </w:numPr>
        <w:rPr>
          <w:rFonts w:ascii="Arial" w:cs="Arial" w:eastAsia="Arial" w:hAnsi="Arial"/>
          <w:sz w:val="29"/>
          <w:szCs w:val="29"/>
          <w:color w:val="auto"/>
          <w:vertAlign w:val="superscript"/>
        </w:rPr>
      </w:pPr>
      <w:r>
        <w:rPr>
          <w:rFonts w:ascii="Arial" w:cs="Arial" w:eastAsia="Arial" w:hAnsi="Arial"/>
          <w:sz w:val="18"/>
          <w:szCs w:val="18"/>
          <w:color w:val="auto"/>
        </w:rPr>
        <w:t>Australia Country Cinemas Pty Ltd. -- 25% non-controlling interest owned by Panorama Group International Pty.;</w:t>
      </w:r>
    </w:p>
    <w:p>
      <w:pPr>
        <w:spacing w:after="0" w:line="96" w:lineRule="exact"/>
        <w:rPr>
          <w:rFonts w:ascii="Arial" w:cs="Arial" w:eastAsia="Arial" w:hAnsi="Arial"/>
          <w:sz w:val="29"/>
          <w:szCs w:val="29"/>
          <w:color w:val="auto"/>
          <w:vertAlign w:val="superscript"/>
        </w:rPr>
      </w:pPr>
    </w:p>
    <w:p>
      <w:pPr>
        <w:ind w:left="640" w:right="220" w:hanging="320"/>
        <w:spacing w:after="0" w:line="191" w:lineRule="auto"/>
        <w:tabs>
          <w:tab w:leader="none" w:pos="640" w:val="left"/>
        </w:tabs>
        <w:numPr>
          <w:ilvl w:val="0"/>
          <w:numId w:val="172"/>
        </w:numPr>
        <w:rPr>
          <w:rFonts w:ascii="Arial" w:cs="Arial" w:eastAsia="Arial" w:hAnsi="Arial"/>
          <w:sz w:val="29"/>
          <w:szCs w:val="29"/>
          <w:color w:val="auto"/>
          <w:vertAlign w:val="superscript"/>
        </w:rPr>
      </w:pPr>
      <w:r>
        <w:rPr>
          <w:rFonts w:ascii="Arial" w:cs="Arial" w:eastAsia="Arial" w:hAnsi="Arial"/>
          <w:sz w:val="18"/>
          <w:szCs w:val="18"/>
          <w:color w:val="auto"/>
        </w:rPr>
        <w:t>Shadow View Land and Farming, LLC -- 50% non-controlling membership interest owned by either the estate of Mr. James J. Cotter, Sr. (the “Cotter Estate”) or the James J. Cotter Sr. Living Trust (the “Cotter Trust”); and,</w:t>
      </w:r>
    </w:p>
    <w:p>
      <w:pPr>
        <w:spacing w:after="0" w:line="80" w:lineRule="exact"/>
        <w:rPr>
          <w:rFonts w:ascii="Arial" w:cs="Arial" w:eastAsia="Arial" w:hAnsi="Arial"/>
          <w:sz w:val="29"/>
          <w:szCs w:val="29"/>
          <w:color w:val="auto"/>
          <w:vertAlign w:val="superscript"/>
        </w:rPr>
      </w:pPr>
    </w:p>
    <w:p>
      <w:pPr>
        <w:ind w:left="640" w:right="80" w:hanging="320"/>
        <w:spacing w:after="0" w:line="198" w:lineRule="auto"/>
        <w:tabs>
          <w:tab w:leader="none" w:pos="640" w:val="left"/>
        </w:tabs>
        <w:numPr>
          <w:ilvl w:val="0"/>
          <w:numId w:val="172"/>
        </w:numPr>
        <w:rPr>
          <w:rFonts w:ascii="Arial" w:cs="Arial" w:eastAsia="Arial" w:hAnsi="Arial"/>
          <w:sz w:val="29"/>
          <w:szCs w:val="29"/>
          <w:color w:val="auto"/>
          <w:vertAlign w:val="superscript"/>
        </w:rPr>
      </w:pPr>
      <w:r>
        <w:rPr>
          <w:rFonts w:ascii="Arial" w:cs="Arial" w:eastAsia="Arial" w:hAnsi="Arial"/>
          <w:sz w:val="18"/>
          <w:szCs w:val="18"/>
          <w:color w:val="auto"/>
        </w:rPr>
        <w:t>Sutton Hill Properties, LLC -- 25% non-controlling interest owned by Sutton Hill Capital, LLC (which in turn is 50% owned by the Cotter Estate and/or the Cotter Trust).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non-controlling interest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Australian Country Cinemas, Pty Ltd</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Shadow View Land and Farming, LLC</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Sutton Hill Properties, LLC</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Non-controlling interests in consolidated subsidiaries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4,267</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4,337</w:t>
            </w: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color w:val="auto"/>
                <w:w w:val="91"/>
              </w:rPr>
              <w:t>The components of income/(loss) attributable to non-controlling interests are as follows: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Australian Country Cinemas, Pty Ltd</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117</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34"/>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Shadow View Land and Farming, LLC</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93"/>
              </w:rPr>
              <w:t>(99)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Sutton Hill Properties, LLC</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(92)</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w w:val="92"/>
              </w:rPr>
              <w:t>Net income (loss) attributable to non-controlling interests in consolidated</w:t>
            </w: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60" w:type="dxa"/>
            <w:vAlign w:val="bottom"/>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w w:val="93"/>
              </w:rPr>
              <w:t>(74)</w:t>
            </w:r>
          </w:p>
        </w:tc>
        <w:tc>
          <w:tcPr>
            <w:tcW w:w="420" w:type="dxa"/>
            <w:vAlign w:val="bottom"/>
            <w:gridSpan w:val="2"/>
            <w:vMerge w:val="restart"/>
          </w:tcPr>
          <w:p>
            <w:pPr>
              <w:jc w:val="right"/>
              <w:ind w:right="134"/>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132</w:t>
            </w:r>
          </w:p>
        </w:tc>
        <w:tc>
          <w:tcPr>
            <w:tcW w:w="560" w:type="dxa"/>
            <w:vAlign w:val="bottom"/>
            <w:gridSpan w:val="2"/>
            <w:vMerge w:val="restart"/>
          </w:tcPr>
          <w:p>
            <w:pPr>
              <w:jc w:val="right"/>
              <w:ind w:right="269"/>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Arial" w:cs="Arial" w:eastAsia="Arial" w:hAnsi="Arial"/>
                <w:sz w:val="18"/>
                <w:szCs w:val="18"/>
                <w:b w:val="1"/>
                <w:bCs w:val="1"/>
                <w:color w:val="auto"/>
              </w:rPr>
              <w:t>subsidiaries</w:t>
            </w:r>
          </w:p>
        </w:tc>
        <w:tc>
          <w:tcPr>
            <w:tcW w:w="1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Shadow View Land and Farming, LLC</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Our Coachella Valley land is held in Shadow View Land and Farming, LLC, in which the Cotter Estate or the Cotter Trust now owns a 50% interest. We are the managing member of Shadow View Land and Farming, LLC. We consolidate the Cotter Estate’s and/or the Cotter Trust’s interest in the property and its expenses with that of our interest and show their interest as a non-controlling interest.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SHARE-BASED COMPENSATION AND SHARE REPURCHASE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Stock Incentive Plan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may grant stock options and other share-based payment awards of our Class A Stock to eligible employees, directors, and consultants under the 2010 Stock Incentive Plan (the “2010 Plan”), which originally allows for an aggregate total number of 1,250,000 shares of Class A Nonvoting Common Stock authorized for issuance under the 2010 Plan. As of September 30, 2017, there were 302,540 shares authorized for issuance under the 2010 Plan and available for future grants or awards.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Company’s 2017 Annual Stockholders’ Meeting held on November 7, 2017, the Company's stockholders, upon recommendation of the Board of Directors, approved an amendment to the Company's 2010 Plan to increase the number of shares of common stock issuable under such plan by an additional 947,460 shares. The effect of the increase is to restore the number of shares of Class A Common Stock available under the 2010 Stock Incentive Plan from the 302,540 shares available as of September 30, 2017, back up to its original reserve of 1,250,000 shares. There were no new grants during the 4</w:t>
      </w:r>
      <w:r>
        <w:rPr>
          <w:rFonts w:ascii="Arial" w:cs="Arial" w:eastAsia="Arial" w:hAnsi="Arial"/>
          <w:sz w:val="8"/>
          <w:szCs w:val="8"/>
          <w:color w:val="auto"/>
        </w:rPr>
        <w:t>th</w:t>
      </w:r>
      <w:r>
        <w:rPr>
          <w:rFonts w:ascii="Arial" w:cs="Arial" w:eastAsia="Arial" w:hAnsi="Arial"/>
          <w:sz w:val="18"/>
          <w:szCs w:val="18"/>
          <w:color w:val="auto"/>
        </w:rPr>
        <w:t xml:space="preserve"> quarter of 2017. During 2018 option grants of 126,840 were issued, restricted stock units of 97,600 issued and 6,410 grants were forfeited. During 2019, option grants of 219,408 were issued, restricted stock units of 59,258 were issued and 25,000 grants were forfeited. Accordingly, as of December 31, 2019, we had 778,304 shares remaining for future issuances.</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Since the adoption of the 2010 Plan, the Company has granted awards primarily in the form of stock options or stock grants. In the first quarter of 2016, the Company started to award restricted stock units (“RSUs”) to directors and certain members of management. Stock options are generally granted at exercise prices equal to the grant-date market prices and typically expire no later than five years from the grant date. In contrast to a stock option where the grantee buys the Company’s share at an exercise price determined on grant date, an RSU entitles the grantee to receive one share for every RSU based on a vesting plan. At the discretion of our Compensation and Stock Options Committee, the vesting period of stock options and RSUs ranges from zero to four years. At the time the options are exercised or RSUs vest, at the discretion of management, we will issue treasury shares or make a new issuance of shares to the option or RSU holder.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37" w:right="9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estimate the grant-date fair value of our stock options using the Black-Scholes option-valuation model, which takes into account assumptions such as the dividend yield, the risk-free interest rate, the expected stock price volatility, and the expected life of the options. We expense the estimated grant-date fair values of options over the vesting period on a straight-line basis. Based on our historical experience and the relative market price to strike price of the options, we have not hereto estimated any forfeitures of vested or unvested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in the option-valuation model for the years 2019, 2018 and 2017 were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4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 price</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2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3.50</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r>
    </w:tbl>
    <w:p>
      <w:pPr>
        <w:spacing w:after="0" w:line="1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recorded stock-based compensation expense of $458,000, $425,000, and $310,000 for 2019, 2018, and 2017, respectively. At December 31, 2019, the total unrecognized estimated compensation cost related to non-vested stock options was $1.1 million which is expected to be recognized over a weighted average vesting period of 1.84 years. Cash consideration received from option exercises during 2019, 2018, and 2017 totaled $906,000, $361,000 and $574,000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status of RDI’s outstanding stock options for the three years ended December 31,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1"/>
              </w:rPr>
              <w:t>Outstanding Stock Options</w:t>
            </w: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960" w:type="dxa"/>
            <w:vAlign w:val="bottom"/>
          </w:tcPr>
          <w:p>
            <w:pPr>
              <w:spacing w:after="0"/>
              <w:rPr>
                <w:sz w:val="10"/>
                <w:szCs w:val="10"/>
                <w:color w:val="auto"/>
              </w:rPr>
            </w:pPr>
          </w:p>
        </w:tc>
        <w:tc>
          <w:tcPr>
            <w:tcW w:w="200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1500" w:type="dxa"/>
            <w:vAlign w:val="bottom"/>
            <w:gridSpan w:val="3"/>
            <w:vMerge w:val="restart"/>
          </w:tcPr>
          <w:p>
            <w:pPr>
              <w:jc w:val="right"/>
              <w:ind w:right="27"/>
              <w:spacing w:after="0"/>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tcPr>
          <w:p>
            <w:pPr>
              <w:jc w:val="center"/>
              <w:ind w:right="119"/>
              <w:spacing w:after="0" w:line="126" w:lineRule="exact"/>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57"/>
              <w:spacing w:after="0" w:line="126"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4"/>
                <w:szCs w:val="14"/>
                <w:b w:val="1"/>
                <w:bCs w:val="1"/>
                <w:color w:val="auto"/>
                <w:w w:val="94"/>
              </w:rPr>
              <w:t>Options</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Exercise Price</w:t>
            </w: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Contractual Life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Class A</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8"/>
                <w:szCs w:val="18"/>
                <w:color w:val="auto"/>
              </w:rPr>
            </w:pPr>
          </w:p>
        </w:tc>
        <w:tc>
          <w:tcPr>
            <w:tcW w:w="1260" w:type="dxa"/>
            <w:vAlign w:val="bottom"/>
            <w:gridSpan w:val="4"/>
          </w:tcPr>
          <w:p>
            <w:pPr>
              <w:ind w:left="220"/>
              <w:spacing w:after="0"/>
              <w:rPr>
                <w:sz w:val="20"/>
                <w:szCs w:val="20"/>
                <w:color w:val="auto"/>
              </w:rPr>
            </w:pPr>
            <w:r>
              <w:rPr>
                <w:rFonts w:ascii="Arial" w:cs="Arial" w:eastAsia="Arial" w:hAnsi="Arial"/>
                <w:sz w:val="14"/>
                <w:szCs w:val="14"/>
                <w:b w:val="1"/>
                <w:bCs w:val="1"/>
                <w:color w:val="auto"/>
              </w:rPr>
              <w:t>Class B</w:t>
            </w:r>
          </w:p>
        </w:tc>
        <w:tc>
          <w:tcPr>
            <w:tcW w:w="142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Class A&amp;B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Class A&amp;B</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January 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535,077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3,615,191</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169,762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(177,750)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702,840</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524,589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3,054,325</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126,840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610,249</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(4,960)</w:t>
            </w:r>
          </w:p>
        </w:tc>
        <w:tc>
          <w:tcPr>
            <w:tcW w:w="1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586,469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1,530,528</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219,408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185,175</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status of RDI’s vested and unvested stock options as of December 31, 2019, 2018 and 2017:</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6"/>
          </w:tcPr>
          <w:p>
            <w:pPr>
              <w:jc w:val="right"/>
              <w:ind w:right="1097"/>
              <w:spacing w:after="0"/>
              <w:rPr>
                <w:sz w:val="20"/>
                <w:szCs w:val="20"/>
                <w:color w:val="auto"/>
              </w:rPr>
            </w:pPr>
            <w:r>
              <w:rPr>
                <w:rFonts w:ascii="Arial" w:cs="Arial" w:eastAsia="Arial" w:hAnsi="Arial"/>
                <w:sz w:val="14"/>
                <w:szCs w:val="14"/>
                <w:b w:val="1"/>
                <w:bCs w:val="1"/>
                <w:color w:val="auto"/>
                <w:w w:val="98"/>
              </w:rPr>
              <w:t>Vested and Unvested Stock Options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8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0"/>
              </w:rPr>
              <w:t>Weighted Average</w:t>
            </w:r>
          </w:p>
        </w:tc>
        <w:tc>
          <w:tcPr>
            <w:tcW w:w="16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57"/>
              <w:spacing w:after="0" w:line="126" w:lineRule="exact"/>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left="576"/>
              <w:spacing w:after="0"/>
              <w:rPr>
                <w:sz w:val="20"/>
                <w:szCs w:val="20"/>
                <w:color w:val="auto"/>
              </w:rPr>
            </w:pPr>
            <w:r>
              <w:rPr>
                <w:rFonts w:ascii="Arial" w:cs="Arial" w:eastAsia="Arial" w:hAnsi="Arial"/>
                <w:sz w:val="14"/>
                <w:szCs w:val="14"/>
                <w:b w:val="1"/>
                <w:bCs w:val="1"/>
                <w:color w:val="auto"/>
                <w:w w:val="90"/>
              </w:rPr>
              <w:t>Options</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Vested</w:t>
            </w: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Class A</w:t>
            </w:r>
          </w:p>
        </w:tc>
        <w:tc>
          <w:tcPr>
            <w:tcW w:w="660" w:type="dxa"/>
            <w:vAlign w:val="bottom"/>
          </w:tcPr>
          <w:p>
            <w:pPr>
              <w:jc w:val="right"/>
              <w:ind w:right="112"/>
              <w:spacing w:after="0"/>
              <w:rPr>
                <w:sz w:val="20"/>
                <w:szCs w:val="20"/>
                <w:color w:val="auto"/>
              </w:rPr>
            </w:pPr>
            <w:r>
              <w:rPr>
                <w:rFonts w:ascii="Arial" w:cs="Arial" w:eastAsia="Arial" w:hAnsi="Arial"/>
                <w:sz w:val="14"/>
                <w:szCs w:val="14"/>
                <w:b w:val="1"/>
                <w:bCs w:val="1"/>
                <w:color w:val="auto"/>
                <w:w w:val="85"/>
              </w:rPr>
              <w:t>Class B</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w:t>
            </w:r>
          </w:p>
        </w:tc>
        <w:tc>
          <w:tcPr>
            <w:tcW w:w="20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Class B</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Class A&amp;B</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Class A&amp;B</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gridSpan w:val="3"/>
            <w:vMerge w:val="continue"/>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December 31, 2018</w:t>
            </w:r>
          </w:p>
        </w:tc>
        <w:tc>
          <w:tcPr>
            <w:tcW w:w="840" w:type="dxa"/>
            <w:vAlign w:val="bottom"/>
          </w:tcPr>
          <w:p>
            <w:pPr>
              <w:jc w:val="right"/>
              <w:spacing w:after="0"/>
              <w:rPr>
                <w:sz w:val="20"/>
                <w:szCs w:val="20"/>
                <w:color w:val="auto"/>
              </w:rPr>
            </w:pPr>
            <w:r>
              <w:rPr>
                <w:rFonts w:ascii="Arial" w:cs="Arial" w:eastAsia="Arial" w:hAnsi="Arial"/>
                <w:sz w:val="18"/>
                <w:szCs w:val="18"/>
                <w:color w:val="auto"/>
              </w:rPr>
              <w:t>231,124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1,306,643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Unvested</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December 31, 2018</w:t>
            </w:r>
          </w:p>
        </w:tc>
        <w:tc>
          <w:tcPr>
            <w:tcW w:w="840" w:type="dxa"/>
            <w:vAlign w:val="bottom"/>
          </w:tcPr>
          <w:p>
            <w:pPr>
              <w:jc w:val="right"/>
              <w:spacing w:after="0"/>
              <w:rPr>
                <w:sz w:val="20"/>
                <w:szCs w:val="20"/>
                <w:color w:val="auto"/>
              </w:rPr>
            </w:pPr>
            <w:r>
              <w:rPr>
                <w:rFonts w:ascii="Arial" w:cs="Arial" w:eastAsia="Arial" w:hAnsi="Arial"/>
                <w:sz w:val="18"/>
                <w:szCs w:val="18"/>
                <w:color w:val="auto"/>
              </w:rPr>
              <w:t>355,345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106</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341" w:right="9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estimate the grant-date fair values of our RSUs using the Company’s stock price at grant-date and record such fair values as compensation expense over the vesting period on a straight-line basis. Prior to November 7, 2018, RSU awards to directors vested 100% in January of the following year in which such RSUs were granted. At the November 7, 2018 Board meeting, it was determined that it would be more appropriate for the vesting of RSUs to align with the director’s term of office. Accordingly, it was determined that, beginning with the November 7, 2018 Board Meeting, RSUs granted to directors would vest on the first to occur of (i) 5:00 pm, Los Angeles, CA time on the last business day prior to the one-year anniversary of the grant date, or (ii) the date on which the recipient’s term as a director shall end and the recipient, or as the case may be, the recipient’s successor is elected to the board of directors at the next occurring annual meeting or special meeting of stockholders called for such purpose (the “Vesting Date”). This means that, due to the fact that the Company moved up its annual meeting of stockholders from November to May in 2019 the Vesting Date of the RSUs granted to directors on November 7, 2018 was May 7, 2019. Since this created a shorter than normal vesting period for the RSUs issued on November 7, 2018, the award of RSUs to directors made immediately following the 2019 Annual Meeting of Stockholders was reduced to a value of $35,000, an amount equal to one half of 2018 annual grant.</w:t>
      </w:r>
    </w:p>
    <w:p>
      <w:pPr>
        <w:spacing w:after="0" w:line="1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years ended December 31, 2019 and December 31, 2018, we recognized compensation expense related to RSUs of $1.0 million and $1.0 million respectively. The total unrecognized compensation expense related to these unvested RSUs was $1.3 million as of December 31, 2019.</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Below is a table that shows the restricted stock units that have been issued and vested during the years ending December 31, 2019 along with the dollar value of these awards: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Number of RSUs</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 value of RSUs</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223"/>
        </w:trPr>
        <w:tc>
          <w:tcPr>
            <w:tcW w:w="17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Granted</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Vesting</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Forfeited</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Unvested</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Granted</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Vesting</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Forfeited</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Unvested</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95,629</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2017</w:t>
            </w:r>
          </w:p>
        </w:tc>
        <w:tc>
          <w:tcPr>
            <w:tcW w:w="860" w:type="dxa"/>
            <w:vAlign w:val="bottom"/>
          </w:tcPr>
          <w:p>
            <w:pPr>
              <w:jc w:val="right"/>
              <w:spacing w:after="0"/>
              <w:rPr>
                <w:sz w:val="20"/>
                <w:szCs w:val="20"/>
                <w:color w:val="auto"/>
              </w:rPr>
            </w:pPr>
            <w:r>
              <w:rPr>
                <w:rFonts w:ascii="Arial" w:cs="Arial" w:eastAsia="Arial" w:hAnsi="Arial"/>
                <w:sz w:val="18"/>
                <w:szCs w:val="18"/>
                <w:color w:val="auto"/>
              </w:rPr>
              <w:t>70,538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52,465</w:t>
            </w:r>
          </w:p>
        </w:tc>
        <w:tc>
          <w:tcPr>
            <w:tcW w:w="10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1,124,348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288,090</w:t>
            </w:r>
          </w:p>
        </w:tc>
      </w:tr>
      <w:tr>
        <w:trPr>
          <w:trHeight w:val="229"/>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1,581,512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1,021,776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544,731</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2019</w:t>
            </w:r>
          </w:p>
        </w:tc>
        <w:tc>
          <w:tcPr>
            <w:tcW w:w="860" w:type="dxa"/>
            <w:vAlign w:val="bottom"/>
          </w:tcPr>
          <w:p>
            <w:pPr>
              <w:jc w:val="right"/>
              <w:spacing w:after="0"/>
              <w:rPr>
                <w:sz w:val="20"/>
                <w:szCs w:val="20"/>
                <w:color w:val="auto"/>
              </w:rPr>
            </w:pPr>
            <w:r>
              <w:rPr>
                <w:rFonts w:ascii="Arial" w:cs="Arial" w:eastAsia="Arial" w:hAnsi="Arial"/>
                <w:sz w:val="18"/>
                <w:szCs w:val="18"/>
                <w:color w:val="auto"/>
              </w:rPr>
              <w:t>59,258</w:t>
            </w: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944,070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944,070</w:t>
            </w:r>
          </w:p>
        </w:tc>
      </w:tr>
      <w:tr>
        <w:trPr>
          <w:trHeight w:val="216"/>
        </w:trPr>
        <w:tc>
          <w:tcPr>
            <w:tcW w:w="1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4,460,709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2,566,938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1,872,520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Repurchase Plan</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March 14, 2019, the Board of Directors extended our Company’s stock repurchase program for two years, through March 2, 2021. The Board did not increase the authorized amount, which was initially fixed at $25.0 million. On March 10, 2020, the Board increased the authorized amount by $25.0 million and extended it to March 2, 2022. At the present time, the repurchase program authorization is $26.0 million.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each component of accumulated other comprehensive income attributable to RDI:</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Accrued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Gain (Losses)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Hedge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on Available-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for-Sale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Service</w:t>
            </w: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2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Items</w:t>
            </w:r>
            <w:r>
              <w:rPr>
                <w:rFonts w:ascii="Arial" w:cs="Arial" w:eastAsia="Arial" w:hAnsi="Arial"/>
                <w:sz w:val="7"/>
                <w:szCs w:val="7"/>
                <w:b w:val="1"/>
                <w:bCs w:val="1"/>
                <w:color w:val="auto"/>
                <w:w w:val="92"/>
              </w:rPr>
              <w:t>(1)</w:t>
            </w:r>
          </w:p>
        </w:tc>
        <w:tc>
          <w:tcPr>
            <w:tcW w:w="100" w:type="dxa"/>
            <w:vAlign w:val="bottom"/>
          </w:tcPr>
          <w:p>
            <w:pPr>
              <w:spacing w:after="0"/>
              <w:rPr>
                <w:sz w:val="15"/>
                <w:szCs w:val="15"/>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Investments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Costs</w:t>
            </w:r>
            <w:r>
              <w:rPr>
                <w:rFonts w:ascii="Arial" w:cs="Arial" w:eastAsia="Arial" w:hAnsi="Arial"/>
                <w:sz w:val="7"/>
                <w:szCs w:val="7"/>
                <w:b w:val="1"/>
                <w:bCs w:val="1"/>
                <w:color w:val="auto"/>
                <w:w w:val="88"/>
              </w:rPr>
              <w:t>(2)</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Reserve</w:t>
            </w:r>
            <w:r>
              <w:rPr>
                <w:rFonts w:ascii="Arial" w:cs="Arial" w:eastAsia="Arial" w:hAnsi="Arial"/>
                <w:sz w:val="7"/>
                <w:szCs w:val="7"/>
                <w:b w:val="1"/>
                <w:bCs w:val="1"/>
                <w:color w:val="auto"/>
                <w:w w:val="88"/>
              </w:rPr>
              <w:t>(3)</w:t>
            </w: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Change related to derivatives</w:t>
            </w:r>
          </w:p>
        </w:tc>
        <w:tc>
          <w:tcPr>
            <w:tcW w:w="1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w w:val="99"/>
              </w:rPr>
              <w:t>Total change in hedge fair value recorded in 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2"/>
        </w:trPr>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8"/>
                <w:szCs w:val="18"/>
                <w:color w:val="auto"/>
              </w:rPr>
              <w:t>Net change related to derivatives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Net of income tax benefit of $5,000.</w:t>
      </w:r>
    </w:p>
    <w:p>
      <w:pPr>
        <w:ind w:left="640" w:hanging="320"/>
        <w:spacing w:after="0" w:line="221" w:lineRule="auto"/>
        <w:tabs>
          <w:tab w:leader="none" w:pos="6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Net of income tax expense of $56,000.</w:t>
      </w:r>
    </w:p>
    <w:p>
      <w:pPr>
        <w:ind w:left="640" w:hanging="320"/>
        <w:spacing w:after="0"/>
        <w:tabs>
          <w:tab w:leader="none" w:pos="6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Net of income tax benefit of $42,000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auto"/>
        </w:rPr>
        <w:t>NOTE 16 – FAIR VALUE MEASUREMENTS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spacing w:after="0" w:line="52" w:lineRule="exact"/>
        <w:rPr>
          <w:sz w:val="20"/>
          <w:szCs w:val="20"/>
          <w:color w:val="auto"/>
        </w:rPr>
      </w:pPr>
    </w:p>
    <w:p>
      <w:pPr>
        <w:ind w:left="640" w:right="100" w:hanging="320"/>
        <w:spacing w:after="0" w:line="221" w:lineRule="auto"/>
        <w:tabs>
          <w:tab w:leader="none" w:pos="640" w:val="left"/>
        </w:tabs>
        <w:numPr>
          <w:ilvl w:val="0"/>
          <w:numId w:val="174"/>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(unadjusted) prices in active markets that are accessible at the measurement date for identical, unrestricted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 This consist primarily of investments in marketable securities which are our investments associated with the ownership of marketable securities in U.S. and New Zealand. These investments are valued based on observable market quotes on the last trading date of the reporting period.</w:t>
      </w:r>
    </w:p>
    <w:p>
      <w:pPr>
        <w:spacing w:after="0" w:line="79" w:lineRule="exact"/>
        <w:rPr>
          <w:rFonts w:ascii="Arial" w:cs="Arial" w:eastAsia="Arial" w:hAnsi="Arial"/>
          <w:sz w:val="29"/>
          <w:szCs w:val="29"/>
          <w:color w:val="auto"/>
          <w:vertAlign w:val="superscript"/>
        </w:rPr>
      </w:pPr>
    </w:p>
    <w:p>
      <w:pPr>
        <w:ind w:left="640" w:right="20" w:hanging="320"/>
        <w:spacing w:after="0" w:line="243" w:lineRule="auto"/>
        <w:tabs>
          <w:tab w:leader="none" w:pos="640" w:val="left"/>
        </w:tabs>
        <w:numPr>
          <w:ilvl w:val="0"/>
          <w:numId w:val="174"/>
        </w:numPr>
        <w:rPr>
          <w:rFonts w:ascii="Arial" w:cs="Arial" w:eastAsia="Arial" w:hAnsi="Arial"/>
          <w:sz w:val="28"/>
          <w:szCs w:val="28"/>
          <w:color w:val="auto"/>
          <w:vertAlign w:val="superscript"/>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Quoted prices in active markets for similar assets and liabilities, or inputs that are observable, either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for substantially the full term of the asset 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2019 and 2018, we concluded that the credit valuation adjustments were not significant to the overall valuation of our derivatives.</w:t>
      </w:r>
    </w:p>
    <w:p>
      <w:pPr>
        <w:spacing w:after="0" w:line="74" w:lineRule="exact"/>
        <w:rPr>
          <w:rFonts w:ascii="Arial" w:cs="Arial" w:eastAsia="Arial" w:hAnsi="Arial"/>
          <w:sz w:val="28"/>
          <w:szCs w:val="28"/>
          <w:color w:val="auto"/>
          <w:vertAlign w:val="superscript"/>
        </w:rPr>
      </w:pPr>
    </w:p>
    <w:p>
      <w:pPr>
        <w:ind w:left="640" w:right="440" w:hanging="320"/>
        <w:spacing w:after="0" w:line="199" w:lineRule="auto"/>
        <w:tabs>
          <w:tab w:leader="none" w:pos="640" w:val="left"/>
        </w:tabs>
        <w:numPr>
          <w:ilvl w:val="0"/>
          <w:numId w:val="174"/>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may require significant judgment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fair value of the assets and liabilities. This category includes:</w:t>
      </w:r>
    </w:p>
    <w:p>
      <w:pPr>
        <w:spacing w:after="0" w:line="82" w:lineRule="exact"/>
        <w:rPr>
          <w:rFonts w:ascii="Arial" w:cs="Arial" w:eastAsia="Arial" w:hAnsi="Arial"/>
          <w:sz w:val="29"/>
          <w:szCs w:val="29"/>
          <w:color w:val="auto"/>
          <w:vertAlign w:val="superscript"/>
        </w:rPr>
      </w:pPr>
    </w:p>
    <w:p>
      <w:pPr>
        <w:ind w:left="960" w:right="20" w:hanging="316"/>
        <w:spacing w:after="0" w:line="273" w:lineRule="auto"/>
        <w:tabs>
          <w:tab w:leader="none" w:pos="960" w:val="left"/>
        </w:tabs>
        <w:numPr>
          <w:ilvl w:val="1"/>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includes secured and unsecured notes payable, trust preferred securities and other debt instruments. The borrowings</w:t>
      </w:r>
      <w:r>
        <w:rPr>
          <w:rFonts w:ascii="Arial" w:cs="Arial" w:eastAsia="Arial" w:hAnsi="Arial"/>
          <w:sz w:val="17"/>
          <w:szCs w:val="17"/>
          <w:i w:val="1"/>
          <w:iCs w:val="1"/>
          <w:color w:val="auto"/>
        </w:rPr>
        <w:t xml:space="preserve"> </w:t>
      </w:r>
      <w:r>
        <w:rPr>
          <w:rFonts w:ascii="Arial" w:cs="Arial" w:eastAsia="Arial" w:hAnsi="Arial"/>
          <w:sz w:val="17"/>
          <w:szCs w:val="17"/>
          <w:color w:val="auto"/>
        </w:rPr>
        <w:t>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56" w:lineRule="exact"/>
        <w:rPr>
          <w:rFonts w:ascii="Arial" w:cs="Arial" w:eastAsia="Arial" w:hAnsi="Arial"/>
          <w:sz w:val="17"/>
          <w:szCs w:val="17"/>
          <w:color w:val="auto"/>
        </w:rPr>
      </w:pPr>
    </w:p>
    <w:p>
      <w:pPr>
        <w:ind w:left="960" w:hanging="316"/>
        <w:spacing w:after="0"/>
        <w:tabs>
          <w:tab w:leader="none" w:pos="960"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Goodwill, Other Intangibles and Other Long-lived Assets </w:t>
      </w:r>
      <w:r>
        <w:rPr>
          <w:rFonts w:ascii="Arial" w:cs="Arial" w:eastAsia="Arial" w:hAnsi="Arial"/>
          <w:sz w:val="16"/>
          <w:szCs w:val="16"/>
          <w:color w:val="auto"/>
        </w:rPr>
        <w:t>- refer to the “</w:t>
      </w:r>
      <w:r>
        <w:rPr>
          <w:rFonts w:ascii="Arial" w:cs="Arial" w:eastAsia="Arial" w:hAnsi="Arial"/>
          <w:sz w:val="16"/>
          <w:szCs w:val="16"/>
          <w:i w:val="1"/>
          <w:iCs w:val="1"/>
          <w:color w:val="auto"/>
        </w:rPr>
        <w:t>Impairment of Long-Lived Assets” section in Note 2</w:t>
      </w:r>
    </w:p>
    <w:p>
      <w:pPr>
        <w:spacing w:after="0" w:line="46" w:lineRule="exact"/>
        <w:rPr>
          <w:rFonts w:ascii="Arial" w:cs="Arial" w:eastAsia="Arial" w:hAnsi="Arial"/>
          <w:sz w:val="16"/>
          <w:szCs w:val="16"/>
          <w:color w:val="auto"/>
        </w:rPr>
      </w:pPr>
    </w:p>
    <w:p>
      <w:pPr>
        <w:ind w:left="960" w:right="100"/>
        <w:spacing w:after="0" w:line="302" w:lineRule="auto"/>
        <w:rPr>
          <w:rFonts w:ascii="Arial" w:cs="Arial" w:eastAsia="Arial" w:hAnsi="Arial"/>
          <w:sz w:val="16"/>
          <w:szCs w:val="16"/>
          <w:color w:val="auto"/>
        </w:rPr>
      </w:pPr>
      <w:r>
        <w:rPr>
          <w:rFonts w:ascii="Arial" w:cs="Arial" w:eastAsia="Arial" w:hAnsi="Arial"/>
          <w:sz w:val="16"/>
          <w:szCs w:val="16"/>
          <w:i w:val="1"/>
          <w:iCs w:val="1"/>
          <w:color w:val="auto"/>
        </w:rPr>
        <w:t xml:space="preserve">– Summary of Significant Accounting Policies </w:t>
      </w:r>
      <w:r>
        <w:rPr>
          <w:rFonts w:ascii="Arial" w:cs="Arial" w:eastAsia="Arial" w:hAnsi="Arial"/>
          <w:sz w:val="16"/>
          <w:szCs w:val="16"/>
          <w:color w:val="auto"/>
        </w:rPr>
        <w:t>for a description of valuation methodology used for 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goodwill, intangible assets and long-lived assets. Given this category represents several lines in our Consolidated Balance Sheet and since the recorded values agree to fair values, we did not include this in the subsequent tables presented.</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Also, our Level 1 financial instruments include cash and cash equivalents, receivables, and accounts payable and accrued liabilities. The carrying values of these financial instruments approximate the fair values due to their short maturities. There have been no changes in the methodologies used at December 31, 2019 and 2018. Additionally, there were no transfers of assets and liabilities between Levels 1, 2, or 3 during the three years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2019 and 2018, we do not have material financial assets carried and measured at fair value on a recurring basis. As of December 31, 2019 and 2018 we had derivative financial liabilities carried and measured at fair value on a recurring basis of $342,000 and $186,000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Nonrecurring Fair Value Measurements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tables provide information about financial assets and liabilities not carried at fair value on a nonrecurring basis in our 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jc w:val="right"/>
              <w:ind w:right="428"/>
              <w:spacing w:after="0"/>
              <w:rPr>
                <w:sz w:val="20"/>
                <w:szCs w:val="20"/>
                <w:color w:val="auto"/>
              </w:rPr>
            </w:pPr>
            <w:r>
              <w:rPr>
                <w:rFonts w:ascii="Arial" w:cs="Arial" w:eastAsia="Arial" w:hAnsi="Arial"/>
                <w:sz w:val="14"/>
                <w:szCs w:val="14"/>
                <w:b w:val="1"/>
                <w:bCs w:val="1"/>
                <w:color w:val="auto"/>
              </w:rPr>
              <w:t>Fair Value Measurements at December 31, 2019</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8"/>
                <w:szCs w:val="18"/>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7"/>
                <w:szCs w:val="7"/>
                <w:b w:val="1"/>
                <w:bCs w:val="1"/>
                <w:color w:val="auto"/>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Financial liabilities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Notes payable</w:t>
            </w: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Debt - current and long-term portion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181,305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185,295</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185,295</w:t>
            </w:r>
          </w:p>
        </w:tc>
        <w:tc>
          <w:tcPr>
            <w:tcW w:w="0" w:type="dxa"/>
            <w:vAlign w:val="bottom"/>
          </w:tcPr>
          <w:p>
            <w:pPr>
              <w:spacing w:after="0"/>
              <w:rPr>
                <w:sz w:val="1"/>
                <w:szCs w:val="1"/>
                <w:color w:val="auto"/>
              </w:rPr>
            </w:pPr>
          </w:p>
        </w:tc>
      </w:tr>
      <w:tr>
        <w:trPr>
          <w:trHeight w:val="130"/>
        </w:trPr>
        <w:tc>
          <w:tcPr>
            <w:tcW w:w="2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rPr>
              <w:t>Subordinated debt - current and long-term</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rPr>
              <w:t>portion</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ind w:left="58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18,753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18,753</w:t>
            </w:r>
          </w:p>
        </w:tc>
        <w:tc>
          <w:tcPr>
            <w:tcW w:w="0" w:type="dxa"/>
            <w:vAlign w:val="bottom"/>
          </w:tcPr>
          <w:p>
            <w:pPr>
              <w:spacing w:after="0"/>
              <w:rPr>
                <w:sz w:val="1"/>
                <w:szCs w:val="1"/>
                <w:color w:val="auto"/>
              </w:rPr>
            </w:pPr>
          </w:p>
        </w:tc>
      </w:tr>
      <w:tr>
        <w:trPr>
          <w:trHeight w:val="20"/>
        </w:trPr>
        <w:tc>
          <w:tcPr>
            <w:tcW w:w="22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60" w:type="dxa"/>
            <w:vAlign w:val="bottom"/>
            <w:gridSpan w:val="2"/>
            <w:vMerge w:val="continue"/>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209,218</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204,048</w:t>
            </w:r>
          </w:p>
        </w:tc>
        <w:tc>
          <w:tcPr>
            <w:tcW w:w="1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204,048</w:t>
            </w:r>
          </w:p>
        </w:tc>
        <w:tc>
          <w:tcPr>
            <w:tcW w:w="0" w:type="dxa"/>
            <w:vAlign w:val="bottom"/>
          </w:tcPr>
          <w:p>
            <w:pPr>
              <w:spacing w:after="0"/>
              <w:rPr>
                <w:sz w:val="1"/>
                <w:szCs w:val="1"/>
                <w:color w:val="auto"/>
              </w:rPr>
            </w:pPr>
          </w:p>
        </w:tc>
      </w:tr>
      <w:tr>
        <w:trPr>
          <w:trHeight w:val="27"/>
        </w:trPr>
        <w:tc>
          <w:tcPr>
            <w:tcW w:w="2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vMerge w:val="continue"/>
            <w:shd w:val="clear" w:color="auto" w:fill="CCEEFF"/>
          </w:tcPr>
          <w:p>
            <w:pPr>
              <w:spacing w:after="0"/>
              <w:rPr>
                <w:sz w:val="2"/>
                <w:szCs w:val="2"/>
                <w:color w:val="auto"/>
              </w:rPr>
            </w:pPr>
          </w:p>
        </w:tc>
        <w:tc>
          <w:tcPr>
            <w:tcW w:w="780" w:type="dxa"/>
            <w:vAlign w:val="bottom"/>
            <w:vMerge w:val="continue"/>
            <w:shd w:val="clear" w:color="auto" w:fill="CCEEFF"/>
          </w:tcPr>
          <w:p>
            <w:pPr>
              <w:spacing w:after="0"/>
              <w:rPr>
                <w:sz w:val="2"/>
                <w:szCs w:val="2"/>
                <w:color w:val="auto"/>
              </w:rPr>
            </w:pPr>
          </w:p>
        </w:tc>
        <w:tc>
          <w:tcPr>
            <w:tcW w:w="300" w:type="dxa"/>
            <w:vAlign w:val="bottom"/>
            <w:gridSpan w:val="2"/>
            <w:vMerge w:val="continue"/>
            <w:shd w:val="clear" w:color="auto" w:fill="CCEEFF"/>
          </w:tcPr>
          <w:p>
            <w:pPr>
              <w:spacing w:after="0"/>
              <w:rPr>
                <w:sz w:val="2"/>
                <w:szCs w:val="2"/>
                <w:color w:val="auto"/>
              </w:rPr>
            </w:pPr>
          </w:p>
        </w:tc>
        <w:tc>
          <w:tcPr>
            <w:tcW w:w="860" w:type="dxa"/>
            <w:vAlign w:val="bottom"/>
            <w:gridSpan w:val="2"/>
            <w:vMerge w:val="continue"/>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800" w:type="dxa"/>
            <w:vAlign w:val="bottom"/>
            <w:gridSpan w:val="2"/>
            <w:vMerge w:val="continue"/>
            <w:shd w:val="clear" w:color="auto" w:fill="CCEEFF"/>
          </w:tcPr>
          <w:p>
            <w:pPr>
              <w:spacing w:after="0"/>
              <w:rPr>
                <w:sz w:val="2"/>
                <w:szCs w:val="2"/>
                <w:color w:val="auto"/>
              </w:rPr>
            </w:pPr>
          </w:p>
        </w:tc>
        <w:tc>
          <w:tcPr>
            <w:tcW w:w="220" w:type="dxa"/>
            <w:vAlign w:val="bottom"/>
            <w:gridSpan w:val="2"/>
            <w:vMerge w:val="continue"/>
            <w:shd w:val="clear" w:color="auto" w:fill="CCEEFF"/>
          </w:tcPr>
          <w:p>
            <w:pPr>
              <w:spacing w:after="0"/>
              <w:rPr>
                <w:sz w:val="2"/>
                <w:szCs w:val="2"/>
                <w:color w:val="auto"/>
              </w:rPr>
            </w:pPr>
          </w:p>
        </w:tc>
        <w:tc>
          <w:tcPr>
            <w:tcW w:w="720" w:type="dxa"/>
            <w:vAlign w:val="bottom"/>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vMerge w:val="continue"/>
            <w:shd w:val="clear" w:color="auto" w:fill="CCEEFF"/>
          </w:tcPr>
          <w:p>
            <w:pPr>
              <w:spacing w:after="0"/>
              <w:rPr>
                <w:sz w:val="2"/>
                <w:szCs w:val="2"/>
                <w:color w:val="auto"/>
              </w:rPr>
            </w:pPr>
          </w:p>
        </w:tc>
        <w:tc>
          <w:tcPr>
            <w:tcW w:w="70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553" w:right="9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8"/>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jc w:val="right"/>
              <w:ind w:right="428"/>
              <w:spacing w:after="0"/>
              <w:rPr>
                <w:sz w:val="20"/>
                <w:szCs w:val="20"/>
                <w:color w:val="auto"/>
              </w:rPr>
            </w:pPr>
            <w:r>
              <w:rPr>
                <w:rFonts w:ascii="Arial" w:cs="Arial" w:eastAsia="Arial" w:hAnsi="Arial"/>
                <w:sz w:val="14"/>
                <w:szCs w:val="14"/>
                <w:b w:val="1"/>
                <w:bCs w:val="1"/>
                <w:color w:val="auto"/>
              </w:rPr>
              <w:t>Fair Value Measurements at December 31, 2018</w:t>
            </w:r>
          </w:p>
        </w:tc>
        <w:tc>
          <w:tcPr>
            <w:tcW w:w="0" w:type="dxa"/>
            <w:vAlign w:val="bottom"/>
          </w:tcPr>
          <w:p>
            <w:pPr>
              <w:spacing w:after="0"/>
              <w:rPr>
                <w:sz w:val="1"/>
                <w:szCs w:val="1"/>
                <w:color w:val="auto"/>
              </w:rPr>
            </w:pPr>
          </w:p>
        </w:tc>
      </w:tr>
      <w:tr>
        <w:trPr>
          <w:trHeight w:val="209"/>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8"/>
                <w:szCs w:val="18"/>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7"/>
                <w:szCs w:val="7"/>
                <w:b w:val="1"/>
                <w:bCs w:val="1"/>
                <w:color w:val="auto"/>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Financial liabilities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Notes payable</w:t>
            </w:r>
          </w:p>
        </w:tc>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Debt - current and long-term portion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139,130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143,564</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143,564</w:t>
            </w:r>
          </w:p>
        </w:tc>
        <w:tc>
          <w:tcPr>
            <w:tcW w:w="0" w:type="dxa"/>
            <w:vAlign w:val="bottom"/>
          </w:tcPr>
          <w:p>
            <w:pPr>
              <w:spacing w:after="0"/>
              <w:rPr>
                <w:sz w:val="1"/>
                <w:szCs w:val="1"/>
                <w:color w:val="auto"/>
              </w:rPr>
            </w:pPr>
          </w:p>
        </w:tc>
      </w:tr>
      <w:tr>
        <w:trPr>
          <w:trHeight w:val="182"/>
        </w:trPr>
        <w:tc>
          <w:tcPr>
            <w:tcW w:w="2260" w:type="dxa"/>
            <w:vAlign w:val="bottom"/>
            <w:gridSpan w:val="2"/>
          </w:tcPr>
          <w:p>
            <w:pPr>
              <w:ind w:left="60"/>
              <w:spacing w:after="0"/>
              <w:rPr>
                <w:sz w:val="20"/>
                <w:szCs w:val="20"/>
                <w:color w:val="auto"/>
              </w:rPr>
            </w:pPr>
            <w:r>
              <w:rPr>
                <w:rFonts w:ascii="Arial" w:cs="Arial" w:eastAsia="Arial" w:hAnsi="Arial"/>
                <w:sz w:val="14"/>
                <w:szCs w:val="14"/>
                <w:color w:val="auto"/>
              </w:rPr>
              <w:t>Subordinated debt</w:t>
            </w:r>
          </w:p>
        </w:tc>
        <w:tc>
          <w:tcPr>
            <w:tcW w:w="2740" w:type="dxa"/>
            <w:vAlign w:val="bottom"/>
            <w:gridSpan w:val="2"/>
          </w:tcPr>
          <w:p>
            <w:pPr>
              <w:spacing w:after="0"/>
              <w:rPr>
                <w:sz w:val="20"/>
                <w:szCs w:val="20"/>
                <w:color w:val="auto"/>
              </w:rPr>
            </w:pPr>
            <w:r>
              <w:rPr>
                <w:rFonts w:ascii="Arial" w:cs="Arial" w:eastAsia="Arial" w:hAnsi="Arial"/>
                <w:sz w:val="14"/>
                <w:szCs w:val="14"/>
                <w:color w:val="auto"/>
              </w:rPr>
              <w:t>Subordinated debt</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27,913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ind w:left="580"/>
              <w:spacing w:after="0"/>
              <w:rPr>
                <w:sz w:val="20"/>
                <w:szCs w:val="20"/>
                <w:color w:val="auto"/>
              </w:rPr>
            </w:pPr>
            <w:r>
              <w:rPr>
                <w:rFonts w:ascii="Arial" w:cs="Arial" w:eastAsia="Arial" w:hAnsi="Arial"/>
                <w:sz w:val="14"/>
                <w:szCs w:val="14"/>
                <w:color w:val="auto"/>
                <w:w w:val="85"/>
              </w:rPr>
              <w:t>—</w:t>
            </w:r>
          </w:p>
        </w:tc>
        <w:tc>
          <w:tcPr>
            <w:tcW w:w="14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18,895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18,895</w:t>
            </w:r>
          </w:p>
        </w:tc>
        <w:tc>
          <w:tcPr>
            <w:tcW w:w="0" w:type="dxa"/>
            <w:vAlign w:val="bottom"/>
          </w:tcPr>
          <w:p>
            <w:pPr>
              <w:spacing w:after="0"/>
              <w:rPr>
                <w:sz w:val="1"/>
                <w:szCs w:val="1"/>
                <w:color w:val="auto"/>
              </w:rPr>
            </w:pPr>
          </w:p>
        </w:tc>
      </w:tr>
      <w:tr>
        <w:trPr>
          <w:trHeight w:val="34"/>
        </w:trPr>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2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60" w:type="dxa"/>
            <w:vAlign w:val="bottom"/>
            <w:gridSpan w:val="2"/>
            <w:vMerge w:val="continue"/>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167,043</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162,459</w:t>
            </w:r>
          </w:p>
        </w:tc>
        <w:tc>
          <w:tcPr>
            <w:tcW w:w="1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162,459</w:t>
            </w:r>
          </w:p>
        </w:tc>
        <w:tc>
          <w:tcPr>
            <w:tcW w:w="0" w:type="dxa"/>
            <w:vAlign w:val="bottom"/>
          </w:tcPr>
          <w:p>
            <w:pPr>
              <w:spacing w:after="0"/>
              <w:rPr>
                <w:sz w:val="1"/>
                <w:szCs w:val="1"/>
                <w:color w:val="auto"/>
              </w:rPr>
            </w:pPr>
          </w:p>
        </w:tc>
      </w:tr>
      <w:tr>
        <w:trPr>
          <w:trHeight w:val="27"/>
        </w:trPr>
        <w:tc>
          <w:tcPr>
            <w:tcW w:w="2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vMerge w:val="continue"/>
            <w:shd w:val="clear" w:color="auto" w:fill="CCEEFF"/>
          </w:tcPr>
          <w:p>
            <w:pPr>
              <w:spacing w:after="0"/>
              <w:rPr>
                <w:sz w:val="2"/>
                <w:szCs w:val="2"/>
                <w:color w:val="auto"/>
              </w:rPr>
            </w:pPr>
          </w:p>
        </w:tc>
        <w:tc>
          <w:tcPr>
            <w:tcW w:w="780" w:type="dxa"/>
            <w:vAlign w:val="bottom"/>
            <w:vMerge w:val="continue"/>
            <w:shd w:val="clear" w:color="auto" w:fill="CCEEFF"/>
          </w:tcPr>
          <w:p>
            <w:pPr>
              <w:spacing w:after="0"/>
              <w:rPr>
                <w:sz w:val="2"/>
                <w:szCs w:val="2"/>
                <w:color w:val="auto"/>
              </w:rPr>
            </w:pPr>
          </w:p>
        </w:tc>
        <w:tc>
          <w:tcPr>
            <w:tcW w:w="300" w:type="dxa"/>
            <w:vAlign w:val="bottom"/>
            <w:gridSpan w:val="2"/>
            <w:vMerge w:val="continue"/>
            <w:shd w:val="clear" w:color="auto" w:fill="CCEEFF"/>
          </w:tcPr>
          <w:p>
            <w:pPr>
              <w:spacing w:after="0"/>
              <w:rPr>
                <w:sz w:val="2"/>
                <w:szCs w:val="2"/>
                <w:color w:val="auto"/>
              </w:rPr>
            </w:pPr>
          </w:p>
        </w:tc>
        <w:tc>
          <w:tcPr>
            <w:tcW w:w="860" w:type="dxa"/>
            <w:vAlign w:val="bottom"/>
            <w:gridSpan w:val="2"/>
            <w:vMerge w:val="continue"/>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800" w:type="dxa"/>
            <w:vAlign w:val="bottom"/>
            <w:gridSpan w:val="2"/>
            <w:vMerge w:val="continue"/>
            <w:shd w:val="clear" w:color="auto" w:fill="CCEEFF"/>
          </w:tcPr>
          <w:p>
            <w:pPr>
              <w:spacing w:after="0"/>
              <w:rPr>
                <w:sz w:val="2"/>
                <w:szCs w:val="2"/>
                <w:color w:val="auto"/>
              </w:rPr>
            </w:pPr>
          </w:p>
        </w:tc>
        <w:tc>
          <w:tcPr>
            <w:tcW w:w="220" w:type="dxa"/>
            <w:vAlign w:val="bottom"/>
            <w:gridSpan w:val="2"/>
            <w:vMerge w:val="continue"/>
            <w:shd w:val="clear" w:color="auto" w:fill="CCEEFF"/>
          </w:tcPr>
          <w:p>
            <w:pPr>
              <w:spacing w:after="0"/>
              <w:rPr>
                <w:sz w:val="2"/>
                <w:szCs w:val="2"/>
                <w:color w:val="auto"/>
              </w:rPr>
            </w:pPr>
          </w:p>
        </w:tc>
        <w:tc>
          <w:tcPr>
            <w:tcW w:w="720" w:type="dxa"/>
            <w:vAlign w:val="bottom"/>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vMerge w:val="continue"/>
            <w:shd w:val="clear" w:color="auto" w:fill="CCEEFF"/>
          </w:tcPr>
          <w:p>
            <w:pPr>
              <w:spacing w:after="0"/>
              <w:rPr>
                <w:sz w:val="2"/>
                <w:szCs w:val="2"/>
                <w:color w:val="auto"/>
              </w:rPr>
            </w:pPr>
          </w:p>
        </w:tc>
        <w:tc>
          <w:tcPr>
            <w:tcW w:w="70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These balances are presented gross of deferred financing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 HEDGE ACCOUNTING</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2019 and 2018, the Company held interest rate derivatives in the total notional amount of $8.0 million and $8.0,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derivatives are recorded on the balance sheet at fair value and are included in the following line items: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4"/>
          </w:tcPr>
          <w:p>
            <w:pPr>
              <w:jc w:val="right"/>
              <w:ind w:right="2080"/>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22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Fair value</w:t>
            </w:r>
          </w:p>
        </w:tc>
        <w:tc>
          <w:tcPr>
            <w:tcW w:w="12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tcPr>
          <w:p>
            <w:pPr>
              <w:jc w:val="right"/>
              <w:ind w:right="1110"/>
              <w:spacing w:after="0"/>
              <w:rPr>
                <w:sz w:val="20"/>
                <w:szCs w:val="20"/>
                <w:color w:val="auto"/>
              </w:rPr>
            </w:pPr>
            <w:r>
              <w:rPr>
                <w:rFonts w:ascii="Arial" w:cs="Arial" w:eastAsia="Arial" w:hAnsi="Arial"/>
                <w:sz w:val="14"/>
                <w:szCs w:val="14"/>
                <w:b w:val="1"/>
                <w:bCs w:val="1"/>
                <w:color w:val="auto"/>
                <w:w w:val="88"/>
              </w:rPr>
              <w:t>Balance sheet location</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contracts</w:t>
            </w: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Derivative financial instruments - current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Derivative financial instruments - current</w:t>
            </w:r>
          </w:p>
        </w:tc>
        <w:tc>
          <w:tcPr>
            <w:tcW w:w="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08"/>
        </w:trPr>
        <w:tc>
          <w:tcPr>
            <w:tcW w:w="2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7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portion</w:t>
            </w: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2"/>
                <w:szCs w:val="12"/>
                <w:color w:val="auto"/>
              </w:rPr>
              <w:t>portion</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00" w:type="dxa"/>
            <w:vAlign w:val="bottom"/>
            <w:gridSpan w:val="2"/>
          </w:tcPr>
          <w:p>
            <w:pPr>
              <w:spacing w:after="0" w:line="130" w:lineRule="exact"/>
              <w:rPr>
                <w:sz w:val="20"/>
                <w:szCs w:val="20"/>
                <w:color w:val="auto"/>
              </w:rPr>
            </w:pPr>
            <w:r>
              <w:rPr>
                <w:rFonts w:ascii="Arial" w:cs="Arial" w:eastAsia="Arial" w:hAnsi="Arial"/>
                <w:sz w:val="14"/>
                <w:szCs w:val="14"/>
                <w:color w:val="auto"/>
              </w:rPr>
              <w:t>Derivative financial instruments - non-</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1"/>
                <w:szCs w:val="11"/>
                <w:color w:val="auto"/>
              </w:rPr>
            </w:pPr>
          </w:p>
        </w:tc>
        <w:tc>
          <w:tcPr>
            <w:tcW w:w="26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Derivative financial instruments - non-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color w:val="auto"/>
              </w:rPr>
              <w:t>current portion</w:t>
            </w: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current portion</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4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70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20" w:type="dxa"/>
            <w:vAlign w:val="bottom"/>
            <w:tcBorders>
              <w:bottom w:val="single" w:sz="8" w:color="auto"/>
            </w:tcBorders>
            <w:gridSpan w:val="2"/>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70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derivatives designated as hedging</w:t>
            </w:r>
          </w:p>
        </w:tc>
        <w:tc>
          <w:tcPr>
            <w:tcW w:w="2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342</w:t>
            </w:r>
          </w:p>
        </w:tc>
        <w:tc>
          <w:tcPr>
            <w:tcW w:w="12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78"/>
        </w:trPr>
        <w:tc>
          <w:tcPr>
            <w:tcW w:w="2700" w:type="dxa"/>
            <w:vAlign w:val="bottom"/>
            <w:tcBorders>
              <w:bottom w:val="single" w:sz="8" w:color="CCEEFF"/>
            </w:tcBorders>
            <w:gridSpan w:val="2"/>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instruments</w:t>
            </w:r>
          </w:p>
        </w:tc>
        <w:tc>
          <w:tcPr>
            <w:tcW w:w="2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00" w:type="dxa"/>
            <w:vAlign w:val="bottom"/>
            <w:tcBorders>
              <w:top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derivatives</w:t>
            </w:r>
          </w:p>
        </w:tc>
        <w:tc>
          <w:tcPr>
            <w:tcW w:w="25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342</w:t>
            </w:r>
          </w:p>
        </w:tc>
        <w:tc>
          <w:tcPr>
            <w:tcW w:w="120" w:type="dxa"/>
            <w:vAlign w:val="bottom"/>
            <w:tcBorders>
              <w:top w:val="single" w:sz="8" w:color="CCEEFF"/>
            </w:tcBorders>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no derivatives designated as hedging instruments which are in asset positions.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changes in fair value are recorded in Other Comprehensive Income and released into interest expense in the same period(s) in which the hedged transactions affect earnings. In 2019 and 2018, the derivative instruments affected Comprehensive Income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10"/>
            <w:vMerge w:val="restart"/>
          </w:tcPr>
          <w:p>
            <w:pPr>
              <w:ind w:left="300"/>
              <w:spacing w:after="0"/>
              <w:rPr>
                <w:sz w:val="20"/>
                <w:szCs w:val="20"/>
                <w:color w:val="auto"/>
              </w:rPr>
            </w:pPr>
            <w:r>
              <w:rPr>
                <w:rFonts w:ascii="Arial" w:cs="Arial" w:eastAsia="Arial" w:hAnsi="Arial"/>
                <w:sz w:val="14"/>
                <w:szCs w:val="14"/>
                <w:b w:val="1"/>
                <w:bCs w:val="1"/>
                <w:color w:val="auto"/>
                <w:w w:val="97"/>
              </w:rPr>
              <w:t>Location of Loss Recognized in Income on Derivatives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12"/>
          </w:tcPr>
          <w:p>
            <w:pPr>
              <w:ind w:left="220"/>
              <w:spacing w:after="0"/>
              <w:rPr>
                <w:sz w:val="20"/>
                <w:szCs w:val="20"/>
                <w:color w:val="auto"/>
              </w:rPr>
            </w:pPr>
            <w:r>
              <w:rPr>
                <w:rFonts w:ascii="Arial" w:cs="Arial" w:eastAsia="Arial" w:hAnsi="Arial"/>
                <w:sz w:val="14"/>
                <w:szCs w:val="14"/>
                <w:b w:val="1"/>
                <w:bCs w:val="1"/>
                <w:color w:val="auto"/>
              </w:rPr>
              <w:t>Amount of Loss Recognized in</w:t>
            </w:r>
          </w:p>
        </w:tc>
        <w:tc>
          <w:tcPr>
            <w:tcW w:w="0" w:type="dxa"/>
            <w:vAlign w:val="bottom"/>
          </w:tcPr>
          <w:p>
            <w:pPr>
              <w:spacing w:after="0"/>
              <w:rPr>
                <w:sz w:val="1"/>
                <w:szCs w:val="1"/>
                <w:color w:val="auto"/>
              </w:rPr>
            </w:pPr>
          </w:p>
        </w:tc>
      </w:tr>
      <w:tr>
        <w:trPr>
          <w:trHeight w:val="105"/>
        </w:trPr>
        <w:tc>
          <w:tcPr>
            <w:tcW w:w="1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80" w:type="dxa"/>
            <w:vAlign w:val="bottom"/>
            <w:gridSpan w:val="10"/>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w w:val="95"/>
              </w:rPr>
              <w:t>Income on Derivatives</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gridSpan w:val="9"/>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gridSpan w:val="2"/>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rate contracts</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Interest expense, net</w:t>
            </w: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68</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1"/>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88"/>
              </w:rPr>
              <w:t>Loss Recognized in</w:t>
            </w:r>
          </w:p>
        </w:tc>
        <w:tc>
          <w:tcPr>
            <w:tcW w:w="100" w:type="dxa"/>
            <w:vAlign w:val="bottom"/>
          </w:tcPr>
          <w:p>
            <w:pPr>
              <w:spacing w:after="0"/>
              <w:rPr>
                <w:sz w:val="24"/>
                <w:szCs w:val="24"/>
                <w:color w:val="auto"/>
              </w:rPr>
            </w:pPr>
          </w:p>
        </w:tc>
        <w:tc>
          <w:tcPr>
            <w:tcW w:w="3280" w:type="dxa"/>
            <w:vAlign w:val="bottom"/>
            <w:gridSpan w:val="8"/>
            <w:vMerge w:val="restart"/>
          </w:tcPr>
          <w:p>
            <w:pPr>
              <w:jc w:val="right"/>
              <w:ind w:right="28"/>
              <w:spacing w:after="0"/>
              <w:rPr>
                <w:sz w:val="20"/>
                <w:szCs w:val="20"/>
                <w:color w:val="auto"/>
              </w:rPr>
            </w:pPr>
            <w:r>
              <w:rPr>
                <w:rFonts w:ascii="Arial" w:cs="Arial" w:eastAsia="Arial" w:hAnsi="Arial"/>
                <w:sz w:val="14"/>
                <w:szCs w:val="14"/>
                <w:b w:val="1"/>
                <w:bCs w:val="1"/>
                <w:color w:val="auto"/>
                <w:w w:val="95"/>
              </w:rPr>
              <w:t>Loss Reclassified from OCI into Income (Effective</w:t>
            </w:r>
          </w:p>
        </w:tc>
        <w:tc>
          <w:tcPr>
            <w:tcW w:w="100" w:type="dxa"/>
            <w:vAlign w:val="bottom"/>
          </w:tcPr>
          <w:p>
            <w:pPr>
              <w:spacing w:after="0"/>
              <w:rPr>
                <w:sz w:val="24"/>
                <w:szCs w:val="24"/>
                <w:color w:val="auto"/>
              </w:rPr>
            </w:pPr>
          </w:p>
        </w:tc>
        <w:tc>
          <w:tcPr>
            <w:tcW w:w="3200" w:type="dxa"/>
            <w:vAlign w:val="bottom"/>
            <w:gridSpan w:val="14"/>
          </w:tcPr>
          <w:p>
            <w:pPr>
              <w:jc w:val="center"/>
              <w:ind w:right="20"/>
              <w:spacing w:after="0"/>
              <w:rPr>
                <w:sz w:val="20"/>
                <w:szCs w:val="20"/>
                <w:color w:val="auto"/>
              </w:rPr>
            </w:pPr>
            <w:r>
              <w:rPr>
                <w:rFonts w:ascii="Arial" w:cs="Arial" w:eastAsia="Arial" w:hAnsi="Arial"/>
                <w:sz w:val="14"/>
                <w:szCs w:val="14"/>
                <w:b w:val="1"/>
                <w:bCs w:val="1"/>
                <w:color w:val="auto"/>
                <w:w w:val="90"/>
              </w:rPr>
              <w:t>Loss Recognized in Income on Derivatives</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OCI on Derivatives</w:t>
            </w:r>
          </w:p>
        </w:tc>
        <w:tc>
          <w:tcPr>
            <w:tcW w:w="100" w:type="dxa"/>
            <w:vAlign w:val="bottom"/>
          </w:tcPr>
          <w:p>
            <w:pPr>
              <w:spacing w:after="0"/>
              <w:rPr>
                <w:sz w:val="12"/>
                <w:szCs w:val="12"/>
                <w:color w:val="auto"/>
              </w:rPr>
            </w:pPr>
          </w:p>
        </w:tc>
        <w:tc>
          <w:tcPr>
            <w:tcW w:w="328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14"/>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(Ineffective Portion and Amount Excluded from</w:t>
            </w:r>
          </w:p>
        </w:tc>
        <w:tc>
          <w:tcPr>
            <w:tcW w:w="0" w:type="dxa"/>
            <w:vAlign w:val="bottom"/>
          </w:tcPr>
          <w:p>
            <w:pPr>
              <w:spacing w:after="0"/>
              <w:rPr>
                <w:sz w:val="1"/>
                <w:szCs w:val="1"/>
                <w:color w:val="auto"/>
              </w:rPr>
            </w:pP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Portion)</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8"/>
              </w:rPr>
              <w:t>Effectiveness Testing)</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8"/>
                <w:szCs w:val="18"/>
                <w:color w:val="auto"/>
              </w:rPr>
            </w:pP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Line Item</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Line Item</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6"/>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18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Interest rate contracts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7"/>
              </w:rPr>
              <w:t>Interest expense, net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360" w:type="dxa"/>
            <w:vAlign w:val="bottom"/>
            <w:gridSpan w:val="4"/>
            <w:shd w:val="clear" w:color="auto" w:fill="CCEEFF"/>
          </w:tcPr>
          <w:p>
            <w:pPr>
              <w:jc w:val="right"/>
              <w:ind w:right="15"/>
              <w:spacing w:after="0"/>
              <w:rPr>
                <w:sz w:val="20"/>
                <w:szCs w:val="20"/>
                <w:color w:val="auto"/>
              </w:rPr>
            </w:pPr>
            <w:r>
              <w:rPr>
                <w:rFonts w:ascii="Arial" w:cs="Arial" w:eastAsia="Arial" w:hAnsi="Arial"/>
                <w:sz w:val="14"/>
                <w:szCs w:val="14"/>
                <w:color w:val="auto"/>
                <w:w w:val="96"/>
              </w:rPr>
              <w:t>Interest expense, net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w w:val="85"/>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2020, the Company expects to release $120,000 to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441" w:right="9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auto"/>
        </w:rPr>
        <w:t>NOTE 18 – LEASES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Lessee</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have operating leases for certain cinemas and corporate offices, and finance leases for certain equipment assets. Our leases have remaining lease terms of 1 to 20 years, with certain leases having options to extend to up to a further 20 years.</w:t>
      </w:r>
    </w:p>
    <w:p>
      <w:pPr>
        <w:spacing w:after="0" w:line="14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Contracts are analyzed in accordance with the criteria set out in ASC 842 to determine if there is a lease present. For contracts that contain an operating lease, we account for the lease component and the non-lease component together as a single component. For contracts that contain a finance lease we account for the lease component and the non-lease component separately in accordance with ASC 842.</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leases where we are the lessee, we recognize a right of use asset and lease liability at lease commencement, which is measured by discounting lease payments using an incremental borrowing rate applicable to the relevant country and lease term of the lease as the discount rate. Subsequent amortization of the right of use asset and accretion of the lease liability for an operating lease is recognized as a single lease cost, on a straight-line basis, over the term of the lease. Lease term includes option periods where we determine that we are reasonably certain to be exercising those options. A finance lease right-of-use asset is depreciated on a straight-line basis over the lesser of the useful life of the leased asset or the lease term. Interest on each finance lease liability is determined as the amount that results in a constant periodic discount rate on the remaining balance of the liability. Property taxes and other non-lease costs are accounted for on an accrual basis.</w:t>
      </w:r>
    </w:p>
    <w:p>
      <w:pPr>
        <w:spacing w:after="0" w:line="19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Lease payments for our cinema operating leases consist of fixed base rent, and for certain leases, variable lease payments consisting of contracted percentages of revenue, changes in the relevant CPI, and/or other contracted financial metrics.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r>
      <w:tr>
        <w:trPr>
          <w:trHeight w:val="196"/>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460" w:type="dxa"/>
            <w:vAlign w:val="bottom"/>
            <w:tcBorders>
              <w:bottom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b w:val="1"/>
                <w:bCs w:val="1"/>
                <w:color w:val="auto"/>
              </w:rPr>
              <w:t>Lease cost</w:t>
            </w:r>
          </w:p>
        </w:tc>
        <w:tc>
          <w:tcPr>
            <w:tcW w:w="1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780" w:type="dxa"/>
            <w:vAlign w:val="bottom"/>
          </w:tcPr>
          <w:p>
            <w:pPr>
              <w:ind w:left="100"/>
              <w:spacing w:after="0"/>
              <w:rPr>
                <w:sz w:val="20"/>
                <w:szCs w:val="20"/>
                <w:color w:val="auto"/>
              </w:rPr>
            </w:pPr>
            <w:r>
              <w:rPr>
                <w:rFonts w:ascii="Arial" w:cs="Arial" w:eastAsia="Arial" w:hAnsi="Arial"/>
                <w:sz w:val="18"/>
                <w:szCs w:val="18"/>
                <w:color w:val="auto"/>
              </w:rPr>
              <w:t>Finance lease cost:</w:t>
            </w:r>
          </w:p>
        </w:tc>
        <w:tc>
          <w:tcPr>
            <w:tcW w:w="1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37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14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cost</w:t>
            </w:r>
          </w:p>
        </w:tc>
        <w:tc>
          <w:tcPr>
            <w:tcW w:w="14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31,675</w:t>
            </w:r>
          </w:p>
        </w:tc>
        <w:tc>
          <w:tcPr>
            <w:tcW w:w="20" w:type="dxa"/>
            <w:vAlign w:val="bottom"/>
          </w:tcPr>
          <w:p>
            <w:pPr>
              <w:spacing w:after="0"/>
              <w:rPr>
                <w:sz w:val="19"/>
                <w:szCs w:val="19"/>
                <w:color w:val="auto"/>
              </w:rPr>
            </w:pPr>
          </w:p>
        </w:tc>
      </w:tr>
      <w:tr>
        <w:trPr>
          <w:trHeight w:val="230"/>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Variable lease cost</w:t>
            </w:r>
          </w:p>
        </w:tc>
        <w:tc>
          <w:tcPr>
            <w:tcW w:w="14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19"/>
                <w:szCs w:val="19"/>
                <w:color w:val="auto"/>
              </w:rPr>
            </w:pPr>
          </w:p>
        </w:tc>
      </w:tr>
      <w:tr>
        <w:trPr>
          <w:trHeight w:val="229"/>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cost</w:t>
            </w:r>
          </w:p>
        </w:tc>
        <w:tc>
          <w:tcPr>
            <w:tcW w:w="146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33,342</w:t>
            </w:r>
          </w:p>
        </w:tc>
        <w:tc>
          <w:tcPr>
            <w:tcW w:w="20" w:type="dxa"/>
            <w:vAlign w:val="bottom"/>
          </w:tcPr>
          <w:p>
            <w:pPr>
              <w:spacing w:after="0"/>
              <w:rPr>
                <w:sz w:val="19"/>
                <w:szCs w:val="19"/>
                <w:color w:val="auto"/>
              </w:rPr>
            </w:pPr>
          </w:p>
        </w:tc>
      </w:tr>
      <w:tr>
        <w:trPr>
          <w:trHeight w:val="635"/>
        </w:trPr>
        <w:tc>
          <w:tcPr>
            <w:tcW w:w="4780" w:type="dxa"/>
            <w:vAlign w:val="bottom"/>
          </w:tcPr>
          <w:p>
            <w:pPr>
              <w:ind w:left="46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0"/>
              <w:spacing w:after="0"/>
              <w:rPr>
                <w:sz w:val="20"/>
                <w:szCs w:val="20"/>
                <w:color w:val="auto"/>
              </w:rPr>
            </w:pPr>
            <w:r>
              <w:rPr>
                <w:rFonts w:ascii="Arial" w:cs="Arial" w:eastAsia="Arial" w:hAnsi="Arial"/>
                <w:sz w:val="18"/>
                <w:szCs w:val="18"/>
                <w:color w:val="auto"/>
              </w:rPr>
              <w:t>110 -</w:t>
            </w: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7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78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553" w:right="9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December 31,</w:t>
            </w:r>
          </w:p>
        </w:tc>
      </w:tr>
      <w:tr>
        <w:trPr>
          <w:trHeight w:val="223"/>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2019</w:t>
            </w:r>
          </w:p>
        </w:tc>
      </w:tr>
      <w:tr>
        <w:trPr>
          <w:trHeight w:val="215"/>
        </w:trPr>
        <w:tc>
          <w:tcPr>
            <w:tcW w:w="6240" w:type="dxa"/>
            <w:vAlign w:val="bottom"/>
          </w:tcPr>
          <w:p>
            <w:pPr>
              <w:spacing w:after="0"/>
              <w:rPr>
                <w:sz w:val="20"/>
                <w:szCs w:val="20"/>
                <w:color w:val="auto"/>
              </w:rPr>
            </w:pPr>
            <w:r>
              <w:rPr>
                <w:rFonts w:ascii="Arial" w:cs="Arial" w:eastAsia="Arial" w:hAnsi="Arial"/>
                <w:sz w:val="18"/>
                <w:szCs w:val="18"/>
                <w:b w:val="1"/>
                <w:bCs w:val="1"/>
                <w:color w:val="auto"/>
              </w:rPr>
              <w:t>Cash flows relating to lease cost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6240" w:type="dxa"/>
            <w:vAlign w:val="bottom"/>
          </w:tcPr>
          <w:p>
            <w:pPr>
              <w:ind w:left="10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6240" w:type="dxa"/>
            <w:vAlign w:val="bottom"/>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31,220</w:t>
            </w: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ind w:left="10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18,091</w:t>
            </w:r>
          </w:p>
        </w:tc>
      </w:tr>
      <w:tr>
        <w:trPr>
          <w:trHeight w:val="431"/>
        </w:trPr>
        <w:tc>
          <w:tcPr>
            <w:tcW w:w="624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1"/>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center"/>
              <w:ind w:right="173"/>
              <w:spacing w:after="0"/>
              <w:rPr>
                <w:sz w:val="20"/>
                <w:szCs w:val="20"/>
                <w:color w:val="auto"/>
              </w:rPr>
            </w:pPr>
            <w:r>
              <w:rPr>
                <w:rFonts w:ascii="Arial" w:cs="Arial" w:eastAsia="Arial" w:hAnsi="Arial"/>
                <w:sz w:val="14"/>
                <w:szCs w:val="14"/>
                <w:b w:val="1"/>
                <w:bCs w:val="1"/>
                <w:color w:val="auto"/>
                <w:w w:val="90"/>
              </w:rPr>
              <w:t>December 31,</w:t>
            </w:r>
          </w:p>
        </w:tc>
      </w:tr>
      <w:tr>
        <w:trPr>
          <w:trHeight w:val="208"/>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2019</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lease right-of-use assets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229,879</w:t>
            </w:r>
          </w:p>
        </w:tc>
      </w:tr>
      <w:tr>
        <w:trPr>
          <w:trHeight w:val="209"/>
        </w:trPr>
        <w:tc>
          <w:tcPr>
            <w:tcW w:w="6240" w:type="dxa"/>
            <w:vAlign w:val="bottom"/>
          </w:tcPr>
          <w:p>
            <w:pPr>
              <w:ind w:left="100"/>
              <w:spacing w:after="0"/>
              <w:rPr>
                <w:sz w:val="20"/>
                <w:szCs w:val="20"/>
                <w:color w:val="auto"/>
              </w:rPr>
            </w:pPr>
            <w:r>
              <w:rPr>
                <w:rFonts w:ascii="Arial" w:cs="Arial" w:eastAsia="Arial" w:hAnsi="Arial"/>
                <w:sz w:val="18"/>
                <w:szCs w:val="18"/>
                <w:color w:val="auto"/>
              </w:rPr>
              <w:t>Operating lease liabilities - current portion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20,379</w:t>
            </w:r>
          </w:p>
        </w:tc>
      </w:tr>
      <w:tr>
        <w:trPr>
          <w:trHeight w:val="230"/>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 - non-current portion</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223,164</w:t>
            </w:r>
          </w:p>
        </w:tc>
      </w:tr>
      <w:tr>
        <w:trPr>
          <w:trHeight w:val="217"/>
        </w:trPr>
        <w:tc>
          <w:tcPr>
            <w:tcW w:w="6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operating lease liabilities</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243,543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6240" w:type="dxa"/>
            <w:vAlign w:val="bottom"/>
          </w:tcPr>
          <w:p>
            <w:pPr>
              <w:ind w:left="100"/>
              <w:spacing w:after="0"/>
              <w:rPr>
                <w:sz w:val="20"/>
                <w:szCs w:val="20"/>
                <w:color w:val="auto"/>
              </w:rPr>
            </w:pPr>
            <w:r>
              <w:rPr>
                <w:rFonts w:ascii="Arial" w:cs="Arial" w:eastAsia="Arial" w:hAnsi="Arial"/>
                <w:sz w:val="18"/>
                <w:szCs w:val="18"/>
                <w:color w:val="auto"/>
              </w:rPr>
              <w:t>Property plant and equipment, gross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7"/>
        </w:trPr>
        <w:tc>
          <w:tcPr>
            <w:tcW w:w="6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r>
      <w:tr>
        <w:trPr>
          <w:trHeight w:val="216"/>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6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6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finance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r>
      <w:tr>
        <w:trPr>
          <w:trHeight w:val="216"/>
        </w:trPr>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240" w:type="dxa"/>
            <w:vAlign w:val="bottom"/>
          </w:tcPr>
          <w:p>
            <w:pPr>
              <w:ind w:left="100"/>
              <w:spacing w:after="0"/>
              <w:rPr>
                <w:sz w:val="20"/>
                <w:szCs w:val="20"/>
                <w:color w:val="auto"/>
              </w:rPr>
            </w:pPr>
            <w:r>
              <w:rPr>
                <w:rFonts w:ascii="Arial" w:cs="Arial" w:eastAsia="Arial" w:hAnsi="Arial"/>
                <w:sz w:val="18"/>
                <w:szCs w:val="18"/>
                <w:color w:val="auto"/>
              </w:rPr>
              <w:t>Weighted-average remaining lease term - finance leases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remaining lease term - operating leases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240" w:type="dxa"/>
            <w:vAlign w:val="bottom"/>
          </w:tcPr>
          <w:p>
            <w:pPr>
              <w:ind w:left="100"/>
              <w:spacing w:after="0"/>
              <w:rPr>
                <w:sz w:val="20"/>
                <w:szCs w:val="20"/>
                <w:color w:val="auto"/>
              </w:rPr>
            </w:pPr>
            <w:r>
              <w:rPr>
                <w:rFonts w:ascii="Arial" w:cs="Arial" w:eastAsia="Arial" w:hAnsi="Arial"/>
                <w:sz w:val="18"/>
                <w:szCs w:val="18"/>
                <w:color w:val="auto"/>
              </w:rPr>
              <w:t>Weighted-average discount rate - finance leases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discount rate - operating leases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662"/>
        </w:trPr>
        <w:tc>
          <w:tcPr>
            <w:tcW w:w="6240" w:type="dxa"/>
            <w:vAlign w:val="bottom"/>
          </w:tcPr>
          <w:p>
            <w:pPr>
              <w:spacing w:after="0"/>
              <w:rPr>
                <w:sz w:val="20"/>
                <w:szCs w:val="20"/>
                <w:color w:val="auto"/>
              </w:rPr>
            </w:pPr>
            <w:r>
              <w:rPr>
                <w:rFonts w:ascii="Arial" w:cs="Arial" w:eastAsia="Arial" w:hAnsi="Arial"/>
                <w:sz w:val="18"/>
                <w:szCs w:val="18"/>
                <w:color w:val="auto"/>
              </w:rPr>
              <w:t>The Maturities of our leases were as follows: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17"/>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Operating</w:t>
            </w:r>
          </w:p>
        </w:tc>
        <w:tc>
          <w:tcPr>
            <w:tcW w:w="260" w:type="dxa"/>
            <w:vAlign w:val="bottom"/>
          </w:tcPr>
          <w:p>
            <w:pPr>
              <w:spacing w:after="0"/>
              <w:rPr>
                <w:sz w:val="24"/>
                <w:szCs w:val="24"/>
                <w:color w:val="auto"/>
              </w:rPr>
            </w:pPr>
          </w:p>
        </w:tc>
        <w:tc>
          <w:tcPr>
            <w:tcW w:w="1400" w:type="dxa"/>
            <w:vAlign w:val="bottom"/>
          </w:tcPr>
          <w:p>
            <w:pPr>
              <w:jc w:val="center"/>
              <w:ind w:right="213"/>
              <w:spacing w:after="0"/>
              <w:rPr>
                <w:sz w:val="20"/>
                <w:szCs w:val="20"/>
                <w:color w:val="auto"/>
              </w:rPr>
            </w:pPr>
            <w:r>
              <w:rPr>
                <w:rFonts w:ascii="Arial" w:cs="Arial" w:eastAsia="Arial" w:hAnsi="Arial"/>
                <w:sz w:val="14"/>
                <w:szCs w:val="14"/>
                <w:b w:val="1"/>
                <w:bCs w:val="1"/>
                <w:color w:val="auto"/>
                <w:w w:val="94"/>
              </w:rPr>
              <w:t>Finance</w:t>
            </w:r>
          </w:p>
        </w:tc>
      </w:tr>
      <w:tr>
        <w:trPr>
          <w:trHeight w:val="178"/>
        </w:trPr>
        <w:tc>
          <w:tcPr>
            <w:tcW w:w="62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9"/>
              </w:rPr>
              <w:t>leases</w:t>
            </w:r>
          </w:p>
        </w:tc>
        <w:tc>
          <w:tcPr>
            <w:tcW w:w="260" w:type="dxa"/>
            <w:vAlign w:val="bottom"/>
          </w:tcPr>
          <w:p>
            <w:pPr>
              <w:spacing w:after="0"/>
              <w:rPr>
                <w:sz w:val="15"/>
                <w:szCs w:val="15"/>
                <w:color w:val="auto"/>
              </w:rPr>
            </w:pPr>
          </w:p>
        </w:tc>
        <w:tc>
          <w:tcPr>
            <w:tcW w:w="1400" w:type="dxa"/>
            <w:vAlign w:val="bottom"/>
          </w:tcPr>
          <w:p>
            <w:pPr>
              <w:jc w:val="center"/>
              <w:ind w:right="173"/>
              <w:spacing w:after="0"/>
              <w:rPr>
                <w:sz w:val="20"/>
                <w:szCs w:val="20"/>
                <w:color w:val="auto"/>
              </w:rPr>
            </w:pPr>
            <w:r>
              <w:rPr>
                <w:rFonts w:ascii="Arial" w:cs="Arial" w:eastAsia="Arial" w:hAnsi="Arial"/>
                <w:sz w:val="14"/>
                <w:szCs w:val="14"/>
                <w:b w:val="1"/>
                <w:bCs w:val="1"/>
                <w:color w:val="auto"/>
                <w:w w:val="79"/>
              </w:rPr>
              <w:t>leases</w:t>
            </w:r>
          </w:p>
        </w:tc>
      </w:tr>
      <w:tr>
        <w:trPr>
          <w:trHeight w:val="216"/>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32,243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31,481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162,122</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0"/>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243,543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December 31, 2019, we have additional operating leases, primarily for cinemas, that have not yet commenced of approximately $28.8 million. It is anticipated that these operating leases will commence between fiscal year 2020 and fiscal year 2022 with lease terms of 15 to 20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Lessor</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have entered into various leases as a lessor for our owned real estate properties. These leases vary in length between 1 and 20 years, with certain leases containing options to extend at the behest of the applicable tenants. Lease components consist of fixed base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517" w:right="979" w:bottom="1440" w:gutter="0" w:footer="0" w:header="0"/>
        </w:sectPr>
      </w:pPr>
    </w:p>
    <w:bookmarkStart w:id="112" w:name="page113"/>
    <w:bookmarkEnd w:id="112"/>
    <w:p>
      <w:pPr>
        <w:ind w:right="160"/>
        <w:spacing w:after="0" w:line="308" w:lineRule="auto"/>
        <w:rPr>
          <w:sz w:val="20"/>
          <w:szCs w:val="20"/>
          <w:color w:val="auto"/>
        </w:rPr>
      </w:pPr>
      <w:r>
        <w:rPr>
          <w:rFonts w:ascii="Arial" w:cs="Arial" w:eastAsia="Arial" w:hAnsi="Arial"/>
          <w:sz w:val="17"/>
          <w:szCs w:val="17"/>
          <w:color w:val="auto"/>
        </w:rPr>
        <w:t>rent, and for certain leases, variable lease payments consisting of contracted percentages of revenue, changes in the relevant CPI, and/or other contracted financial metrics. None of our leases grant any right to the tenant to purchase the underlying asset.</w:t>
      </w:r>
    </w:p>
    <w:p>
      <w:pPr>
        <w:spacing w:after="0" w:line="146"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We recognize lease payments for operating leases as property revenue on a straight-line basis over the lease term. Lease incentive payments we make to lessees are amortized as a reduction in property revenue over the lease term. Lease income relating to operating lease payments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5"/>
                <w:szCs w:val="15"/>
                <w:color w:val="auto"/>
              </w:rPr>
            </w:pPr>
          </w:p>
        </w:tc>
      </w:tr>
      <w:tr>
        <w:trPr>
          <w:trHeight w:val="209"/>
        </w:trPr>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8"/>
                <w:szCs w:val="18"/>
                <w:color w:val="auto"/>
              </w:rPr>
            </w:pPr>
          </w:p>
        </w:tc>
        <w:tc>
          <w:tcPr>
            <w:tcW w:w="1240" w:type="dxa"/>
            <w:vAlign w:val="bottom"/>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2018</w:t>
            </w:r>
          </w:p>
        </w:tc>
      </w:tr>
      <w:tr>
        <w:trPr>
          <w:trHeight w:val="216"/>
        </w:trPr>
        <w:tc>
          <w:tcPr>
            <w:tcW w:w="6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Components of lease income</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 payments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w:t>
            </w:r>
          </w:p>
        </w:tc>
      </w:tr>
      <w:tr>
        <w:trPr>
          <w:trHeight w:val="229"/>
        </w:trPr>
        <w:tc>
          <w:tcPr>
            <w:tcW w:w="6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Variable lease payments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r>
      <w:tr>
        <w:trPr>
          <w:trHeight w:val="217"/>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income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10,161</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10,473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book value of underlying assets under operating leases from owned assets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6"/>
                <w:szCs w:val="16"/>
                <w:color w:val="auto"/>
              </w:rPr>
            </w:pPr>
          </w:p>
        </w:tc>
        <w:tc>
          <w:tcPr>
            <w:tcW w:w="140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December 31,</w:t>
            </w:r>
          </w:p>
        </w:tc>
      </w:tr>
      <w:tr>
        <w:trPr>
          <w:trHeight w:val="208"/>
        </w:trPr>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8"/>
                <w:szCs w:val="18"/>
                <w:color w:val="auto"/>
              </w:rPr>
            </w:pPr>
          </w:p>
        </w:tc>
        <w:tc>
          <w:tcPr>
            <w:tcW w:w="1380" w:type="dxa"/>
            <w:vAlign w:val="bottom"/>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2018</w:t>
            </w:r>
          </w:p>
        </w:tc>
      </w:tr>
      <w:tr>
        <w:trPr>
          <w:trHeight w:val="216"/>
        </w:trPr>
        <w:tc>
          <w:tcPr>
            <w:tcW w:w="6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Building and improvements</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29"/>
        </w:trPr>
        <w:tc>
          <w:tcPr>
            <w:tcW w:w="6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Gross balance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717"/>
              <w:spacing w:after="0"/>
              <w:rPr>
                <w:sz w:val="20"/>
                <w:szCs w:val="20"/>
                <w:color w:val="auto"/>
              </w:rPr>
            </w:pPr>
            <w:r>
              <w:rPr>
                <w:rFonts w:ascii="Arial" w:cs="Arial" w:eastAsia="Arial" w:hAnsi="Arial"/>
                <w:sz w:val="18"/>
                <w:szCs w:val="18"/>
                <w:color w:val="auto"/>
                <w:w w:val="90"/>
              </w:rPr>
              <w:t>67,766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67,887</w:t>
            </w:r>
          </w:p>
        </w:tc>
      </w:tr>
      <w:tr>
        <w:trPr>
          <w:trHeight w:val="230"/>
        </w:trPr>
        <w:tc>
          <w:tcPr>
            <w:tcW w:w="6440" w:type="dxa"/>
            <w:vAlign w:val="bottom"/>
            <w:gridSpan w:val="2"/>
          </w:tcPr>
          <w:p>
            <w:pPr>
              <w:ind w:left="32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19"/>
                <w:szCs w:val="19"/>
                <w:color w:val="auto"/>
              </w:rPr>
            </w:pPr>
          </w:p>
        </w:tc>
        <w:tc>
          <w:tcPr>
            <w:tcW w:w="1580" w:type="dxa"/>
            <w:vAlign w:val="bottom"/>
            <w:gridSpan w:val="2"/>
          </w:tcPr>
          <w:p>
            <w:pPr>
              <w:jc w:val="center"/>
              <w:ind w:left="477"/>
              <w:spacing w:after="0"/>
              <w:rPr>
                <w:sz w:val="20"/>
                <w:szCs w:val="20"/>
                <w:color w:val="auto"/>
              </w:rPr>
            </w:pPr>
            <w:r>
              <w:rPr>
                <w:rFonts w:ascii="Arial" w:cs="Arial" w:eastAsia="Arial" w:hAnsi="Arial"/>
                <w:sz w:val="18"/>
                <w:szCs w:val="18"/>
                <w:color w:val="auto"/>
                <w:w w:val="92"/>
              </w:rPr>
              <w:t>(20,220)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(17,709)</w:t>
            </w:r>
          </w:p>
        </w:tc>
      </w:tr>
      <w:tr>
        <w:trPr>
          <w:trHeight w:val="229"/>
        </w:trPr>
        <w:tc>
          <w:tcPr>
            <w:tcW w:w="64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Net Book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CEEFF"/>
          </w:tcPr>
          <w:p>
            <w:pPr>
              <w:jc w:val="center"/>
              <w:ind w:left="717"/>
              <w:spacing w:after="0"/>
              <w:rPr>
                <w:sz w:val="20"/>
                <w:szCs w:val="20"/>
                <w:color w:val="auto"/>
              </w:rPr>
            </w:pPr>
            <w:r>
              <w:rPr>
                <w:rFonts w:ascii="Arial" w:cs="Arial" w:eastAsia="Arial" w:hAnsi="Arial"/>
                <w:sz w:val="18"/>
                <w:szCs w:val="18"/>
                <w:b w:val="1"/>
                <w:bCs w:val="1"/>
                <w:color w:val="auto"/>
                <w:w w:val="90"/>
              </w:rPr>
              <w:t>47,546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50,178</w:t>
            </w:r>
          </w:p>
        </w:tc>
      </w:tr>
      <w:tr>
        <w:trPr>
          <w:trHeight w:val="419"/>
        </w:trPr>
        <w:tc>
          <w:tcPr>
            <w:tcW w:w="6440" w:type="dxa"/>
            <w:vAlign w:val="bottom"/>
            <w:gridSpan w:val="2"/>
          </w:tcPr>
          <w:p>
            <w:pPr>
              <w:spacing w:after="0"/>
              <w:rPr>
                <w:sz w:val="20"/>
                <w:szCs w:val="20"/>
                <w:color w:val="auto"/>
              </w:rPr>
            </w:pPr>
            <w:r>
              <w:rPr>
                <w:rFonts w:ascii="Arial" w:cs="Arial" w:eastAsia="Arial" w:hAnsi="Arial"/>
                <w:sz w:val="18"/>
                <w:szCs w:val="18"/>
                <w:color w:val="auto"/>
              </w:rPr>
              <w:t>The Maturity of our leases were as follows: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44"/>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center"/>
              <w:ind w:right="215"/>
              <w:spacing w:after="0"/>
              <w:rPr>
                <w:sz w:val="20"/>
                <w:szCs w:val="20"/>
                <w:color w:val="auto"/>
              </w:rPr>
            </w:pPr>
            <w:r>
              <w:rPr>
                <w:rFonts w:ascii="Arial" w:cs="Arial" w:eastAsia="Arial" w:hAnsi="Arial"/>
                <w:sz w:val="14"/>
                <w:szCs w:val="14"/>
                <w:b w:val="1"/>
                <w:bCs w:val="1"/>
                <w:color w:val="auto"/>
                <w:w w:val="93"/>
              </w:rPr>
              <w:t>Operating</w:t>
            </w:r>
          </w:p>
        </w:tc>
      </w:tr>
      <w:tr>
        <w:trPr>
          <w:trHeight w:val="178"/>
        </w:trPr>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75"/>
              <w:spacing w:after="0"/>
              <w:rPr>
                <w:sz w:val="20"/>
                <w:szCs w:val="20"/>
                <w:color w:val="auto"/>
              </w:rPr>
            </w:pPr>
            <w:r>
              <w:rPr>
                <w:rFonts w:ascii="Arial" w:cs="Arial" w:eastAsia="Arial" w:hAnsi="Arial"/>
                <w:sz w:val="14"/>
                <w:szCs w:val="14"/>
                <w:b w:val="1"/>
                <w:bCs w:val="1"/>
                <w:color w:val="auto"/>
                <w:w w:val="79"/>
              </w:rPr>
              <w:t>leases</w:t>
            </w:r>
          </w:p>
        </w:tc>
      </w:tr>
      <w:tr>
        <w:trPr>
          <w:trHeight w:val="216"/>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7,118</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5,509</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r>
      <w:tr>
        <w:trPr>
          <w:trHeight w:val="230"/>
        </w:trPr>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w:t>
            </w:r>
          </w:p>
        </w:tc>
      </w:tr>
      <w:tr>
        <w:trPr>
          <w:trHeight w:val="216"/>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37,178</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Devonport, Tasmania, Australia</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January 30, 2019, we purchased the tenant’s interest and other operating assets of an established four-screen cinema in Devonport, Tasmania, Australia, for $1.4 million (AU$1.95 million). We commenced trading from this new cinema site on January 30, 2019.</w:t>
      </w:r>
    </w:p>
    <w:p>
      <w:pPr>
        <w:spacing w:after="0" w:line="12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total purchase price was allocated to the identifiable assets acquired based on our estimates of their fair values on the acquisition date. The identified assets included fixtures and equipment and immaterial working capital balances. Goodwill consists of intangible assets than cannot be separately identified. There were immaterial liabilities assumed.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Our final purchase price allocation is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Preliminary Purchase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Measurement Period</w:t>
            </w:r>
          </w:p>
        </w:tc>
        <w:tc>
          <w:tcPr>
            <w:tcW w:w="100" w:type="dxa"/>
            <w:vAlign w:val="bottom"/>
          </w:tcPr>
          <w:p>
            <w:pPr>
              <w:spacing w:after="0"/>
              <w:rPr>
                <w:sz w:val="17"/>
                <w:szCs w:val="17"/>
                <w:color w:val="auto"/>
              </w:rPr>
            </w:pPr>
          </w:p>
        </w:tc>
        <w:tc>
          <w:tcPr>
            <w:tcW w:w="1540" w:type="dxa"/>
            <w:vAlign w:val="bottom"/>
          </w:tcPr>
          <w:p>
            <w:pPr>
              <w:jc w:val="right"/>
              <w:ind w:right="13"/>
              <w:spacing w:after="0"/>
              <w:rPr>
                <w:sz w:val="20"/>
                <w:szCs w:val="20"/>
                <w:color w:val="auto"/>
              </w:rPr>
            </w:pPr>
            <w:r>
              <w:rPr>
                <w:rFonts w:ascii="Arial" w:cs="Arial" w:eastAsia="Arial" w:hAnsi="Arial"/>
                <w:sz w:val="16"/>
                <w:szCs w:val="16"/>
                <w:b w:val="1"/>
                <w:bCs w:val="1"/>
                <w:color w:val="auto"/>
                <w:w w:val="90"/>
              </w:rPr>
              <w:t>Final Purchase Price</w:t>
            </w:r>
          </w:p>
        </w:tc>
      </w:tr>
      <w:tr>
        <w:trPr>
          <w:trHeight w:val="223"/>
        </w:trPr>
        <w:tc>
          <w:tcPr>
            <w:tcW w:w="4640" w:type="dxa"/>
            <w:vAlign w:val="bottom"/>
            <w:gridSpan w:val="4"/>
          </w:tcPr>
          <w:p>
            <w:pPr>
              <w:spacing w:after="0"/>
              <w:rPr>
                <w:sz w:val="20"/>
                <w:szCs w:val="20"/>
                <w:color w:val="auto"/>
              </w:rPr>
            </w:pPr>
            <w:r>
              <w:rPr>
                <w:rFonts w:ascii="Arial" w:cs="Arial" w:eastAsia="Arial" w:hAnsi="Arial"/>
                <w:sz w:val="16"/>
                <w:szCs w:val="16"/>
                <w:color w:val="auto"/>
              </w:rPr>
              <w:t>(Dollars in thousands)</w:t>
            </w:r>
          </w:p>
        </w:tc>
        <w:tc>
          <w:tcPr>
            <w:tcW w:w="1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Price Allocation</w:t>
            </w:r>
            <w:r>
              <w:rPr>
                <w:rFonts w:ascii="Arial" w:cs="Arial" w:eastAsia="Arial" w:hAnsi="Arial"/>
                <w:sz w:val="17"/>
                <w:szCs w:val="17"/>
                <w:b w:val="1"/>
                <w:bCs w:val="1"/>
                <w:color w:val="auto"/>
                <w:w w:val="93"/>
                <w:vertAlign w:val="superscript"/>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r>
              <w:rPr>
                <w:rFonts w:ascii="Arial" w:cs="Arial" w:eastAsia="Arial" w:hAnsi="Arial"/>
                <w:sz w:val="17"/>
                <w:szCs w:val="17"/>
                <w:b w:val="1"/>
                <w:bCs w:val="1"/>
                <w:color w:val="auto"/>
                <w:w w:val="90"/>
                <w:vertAlign w:val="superscript"/>
              </w:rPr>
              <w:t>(2)</w:t>
            </w:r>
          </w:p>
        </w:tc>
        <w:tc>
          <w:tcPr>
            <w:tcW w:w="100" w:type="dxa"/>
            <w:vAlign w:val="bottom"/>
          </w:tcPr>
          <w:p>
            <w:pPr>
              <w:spacing w:after="0"/>
              <w:rPr>
                <w:sz w:val="19"/>
                <w:szCs w:val="19"/>
                <w:color w:val="auto"/>
              </w:rPr>
            </w:pPr>
          </w:p>
        </w:tc>
        <w:tc>
          <w:tcPr>
            <w:tcW w:w="1540" w:type="dxa"/>
            <w:vAlign w:val="bottom"/>
          </w:tcPr>
          <w:p>
            <w:pPr>
              <w:jc w:val="right"/>
              <w:ind w:right="333"/>
              <w:spacing w:after="0"/>
              <w:rPr>
                <w:sz w:val="20"/>
                <w:szCs w:val="20"/>
                <w:color w:val="auto"/>
              </w:rPr>
            </w:pPr>
            <w:r>
              <w:rPr>
                <w:rFonts w:ascii="Arial" w:cs="Arial" w:eastAsia="Arial" w:hAnsi="Arial"/>
                <w:sz w:val="16"/>
                <w:szCs w:val="16"/>
                <w:b w:val="1"/>
                <w:bCs w:val="1"/>
                <w:color w:val="auto"/>
              </w:rPr>
              <w:t>Allocation</w:t>
            </w:r>
            <w:r>
              <w:rPr>
                <w:rFonts w:ascii="Arial" w:cs="Arial" w:eastAsia="Arial" w:hAnsi="Arial"/>
                <w:sz w:val="17"/>
                <w:szCs w:val="17"/>
                <w:b w:val="1"/>
                <w:bCs w:val="1"/>
                <w:color w:val="auto"/>
                <w:vertAlign w:val="superscript"/>
              </w:rPr>
              <w:t>(1)</w:t>
            </w:r>
          </w:p>
        </w:tc>
      </w:tr>
      <w:tr>
        <w:trPr>
          <w:trHeight w:val="162"/>
        </w:trPr>
        <w:tc>
          <w:tcPr>
            <w:tcW w:w="4100" w:type="dxa"/>
            <w:vAlign w:val="bottom"/>
            <w:tcBorders>
              <w:top w:val="single" w:sz="8" w:color="auto"/>
            </w:tcBorders>
            <w:gridSpan w:val="3"/>
          </w:tcPr>
          <w:p>
            <w:pPr>
              <w:spacing w:after="0" w:line="162" w:lineRule="exact"/>
              <w:rPr>
                <w:sz w:val="20"/>
                <w:szCs w:val="20"/>
                <w:color w:val="auto"/>
              </w:rPr>
            </w:pPr>
            <w:r>
              <w:rPr>
                <w:rFonts w:ascii="Arial" w:cs="Arial" w:eastAsia="Arial" w:hAnsi="Arial"/>
                <w:sz w:val="16"/>
                <w:szCs w:val="16"/>
                <w:color w:val="auto"/>
              </w:rPr>
              <w:t>Tangible Assets</w:t>
            </w:r>
          </w:p>
        </w:tc>
        <w:tc>
          <w:tcPr>
            <w:tcW w:w="5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40"/>
        </w:trPr>
        <w:tc>
          <w:tcPr>
            <w:tcW w:w="4640" w:type="dxa"/>
            <w:vAlign w:val="bottom"/>
            <w:gridSpan w:val="4"/>
          </w:tcPr>
          <w:p>
            <w:pPr>
              <w:ind w:left="100"/>
              <w:spacing w:after="0"/>
              <w:rPr>
                <w:sz w:val="20"/>
                <w:szCs w:val="20"/>
                <w:color w:val="auto"/>
              </w:rPr>
            </w:pPr>
            <w:r>
              <w:rPr>
                <w:rFonts w:ascii="Arial" w:cs="Arial" w:eastAsia="Arial" w:hAnsi="Arial"/>
                <w:sz w:val="16"/>
                <w:szCs w:val="16"/>
                <w:color w:val="auto"/>
              </w:rPr>
              <w:t>Operating property:</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9"/>
        </w:trPr>
        <w:tc>
          <w:tcPr>
            <w:tcW w:w="464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rPr>
              <w:t>Fixtures and equipment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189"/>
        </w:trPr>
        <w:tc>
          <w:tcPr>
            <w:tcW w:w="4640" w:type="dxa"/>
            <w:vAlign w:val="bottom"/>
            <w:gridSpan w:val="4"/>
          </w:tcPr>
          <w:p>
            <w:pPr>
              <w:spacing w:after="0"/>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9"/>
        </w:trPr>
        <w:tc>
          <w:tcPr>
            <w:tcW w:w="464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10"/>
        </w:trPr>
        <w:tc>
          <w:tcPr>
            <w:tcW w:w="4640" w:type="dxa"/>
            <w:vAlign w:val="bottom"/>
            <w:gridSpan w:val="4"/>
          </w:tcPr>
          <w:p>
            <w:pPr>
              <w:ind w:left="420"/>
              <w:spacing w:after="0"/>
              <w:rPr>
                <w:sz w:val="20"/>
                <w:szCs w:val="20"/>
                <w:color w:val="auto"/>
              </w:rPr>
            </w:pPr>
            <w:r>
              <w:rPr>
                <w:rFonts w:ascii="Arial" w:cs="Arial" w:eastAsia="Arial" w:hAnsi="Arial"/>
                <w:sz w:val="16"/>
                <w:szCs w:val="16"/>
                <w:i w:val="1"/>
                <w:iCs w:val="1"/>
                <w:color w:val="auto"/>
              </w:rPr>
              <w:t>Total assets acquired</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r>
      <w:tr>
        <w:trPr>
          <w:trHeight w:val="229"/>
        </w:trPr>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r>
      <w:tr>
        <w:trPr>
          <w:trHeight w:val="217"/>
        </w:trPr>
        <w:tc>
          <w:tcPr>
            <w:tcW w:w="4640" w:type="dxa"/>
            <w:vAlign w:val="bottom"/>
            <w:gridSpan w:val="4"/>
          </w:tcPr>
          <w:p>
            <w:pPr>
              <w:spacing w:after="0"/>
              <w:rPr>
                <w:sz w:val="20"/>
                <w:szCs w:val="20"/>
                <w:color w:val="auto"/>
              </w:rPr>
            </w:pPr>
            <w:r>
              <w:rPr>
                <w:rFonts w:ascii="Arial" w:cs="Arial" w:eastAsia="Arial" w:hAnsi="Arial"/>
                <w:sz w:val="16"/>
                <w:szCs w:val="16"/>
                <w:b w:val="1"/>
                <w:bCs w:val="1"/>
                <w:color w:val="auto"/>
              </w:rPr>
              <w:t>Net assets acquired</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1,378</w:t>
            </w:r>
          </w:p>
        </w:tc>
      </w:tr>
    </w:tbl>
    <w:p>
      <w:pPr>
        <w:spacing w:after="0" w:line="197" w:lineRule="exact"/>
        <w:rPr>
          <w:sz w:val="20"/>
          <w:szCs w:val="20"/>
          <w:color w:val="auto"/>
        </w:rPr>
      </w:pPr>
    </w:p>
    <w:p>
      <w:pPr>
        <w:ind w:left="640" w:hanging="320"/>
        <w:spacing w:after="0"/>
        <w:tabs>
          <w:tab w:leader="none" w:pos="6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The balances were translated into U.S. Dollars based on the applicable exchange rate as of the date of acquisition, January 30, 2019.</w:t>
      </w:r>
    </w:p>
    <w:p>
      <w:pPr>
        <w:ind w:left="640" w:hanging="320"/>
        <w:spacing w:after="0"/>
        <w:tabs>
          <w:tab w:leader="none" w:pos="6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The measurement period adjustments relate to finalization of immaterial employee obligations.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Cinema Hobart, Tasmania, Australia</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On December 3, 2019, we purchased the tenant’s interest and other operating assets of an established ten-screen cinema in Hobart, Tasmania, Australia, for $6.2m (AU$9.0m). We commenced trading from this new cinema site on December 5, 2019.</w:t>
      </w:r>
    </w:p>
    <w:p>
      <w:pPr>
        <w:spacing w:after="0" w:line="14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total purchase price will be allocated to the identifiable assets acquired based on our estimates of their fair values on the acquisition date. The identified assets include fixtures and equipment, the State Cinema brand, inventory and immaterial working capital balances. There were immaterial liabilities assumed, including certain gift card obligations.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March 16, 2020, the Company is still finalizing its allocation and this may result in potential adjustments within the one-year measurement period from acquisition date. We expect the finalization of our acquisition accounting to occur in the first part of 2020. These adjustments will include the fair valuation of the fixtures and equipment acquired, and the assessment of the value of any identifiable intangible assets. The determination of the fair values of the acquired assets (and the related determination of their estimated lives where depreciation is permitted) requires significant judgment.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preliminary purchase price allocation is as follows: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1"/>
              </w:rPr>
              <w:t>Preliminary Purchase</w:t>
            </w:r>
          </w:p>
        </w:tc>
        <w:tc>
          <w:tcPr>
            <w:tcW w:w="0" w:type="dxa"/>
            <w:vAlign w:val="bottom"/>
          </w:tcPr>
          <w:p>
            <w:pPr>
              <w:spacing w:after="0"/>
              <w:rPr>
                <w:sz w:val="1"/>
                <w:szCs w:val="1"/>
                <w:color w:val="auto"/>
              </w:rPr>
            </w:pPr>
          </w:p>
        </w:tc>
      </w:tr>
      <w:tr>
        <w:trPr>
          <w:trHeight w:val="223"/>
        </w:trPr>
        <w:tc>
          <w:tcPr>
            <w:tcW w:w="8280" w:type="dxa"/>
            <w:vAlign w:val="bottom"/>
            <w:gridSpan w:val="4"/>
          </w:tcPr>
          <w:p>
            <w:pPr>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Price Allocation</w:t>
            </w:r>
            <w:r>
              <w:rPr>
                <w:rFonts w:ascii="Arial" w:cs="Arial" w:eastAsia="Arial" w:hAnsi="Arial"/>
                <w:sz w:val="17"/>
                <w:szCs w:val="17"/>
                <w:b w:val="1"/>
                <w:bCs w:val="1"/>
                <w:color w:val="auto"/>
                <w:w w:val="90"/>
                <w:vertAlign w:val="superscript"/>
              </w:rPr>
              <w:t>(1)</w:t>
            </w:r>
          </w:p>
        </w:tc>
        <w:tc>
          <w:tcPr>
            <w:tcW w:w="0" w:type="dxa"/>
            <w:vAlign w:val="bottom"/>
          </w:tcPr>
          <w:p>
            <w:pPr>
              <w:spacing w:after="0"/>
              <w:rPr>
                <w:sz w:val="1"/>
                <w:szCs w:val="1"/>
                <w:color w:val="auto"/>
              </w:rPr>
            </w:pPr>
          </w:p>
        </w:tc>
      </w:tr>
      <w:tr>
        <w:trPr>
          <w:trHeight w:val="175"/>
        </w:trPr>
        <w:tc>
          <w:tcPr>
            <w:tcW w:w="8280" w:type="dxa"/>
            <w:vAlign w:val="bottom"/>
            <w:tcBorders>
              <w:top w:val="single" w:sz="8" w:color="auto"/>
            </w:tcBorders>
            <w:gridSpan w:val="4"/>
          </w:tcPr>
          <w:p>
            <w:pPr>
              <w:spacing w:after="0" w:line="175" w:lineRule="exact"/>
              <w:rPr>
                <w:sz w:val="20"/>
                <w:szCs w:val="20"/>
                <w:color w:val="auto"/>
              </w:rPr>
            </w:pPr>
            <w:r>
              <w:rPr>
                <w:rFonts w:ascii="Arial" w:cs="Arial" w:eastAsia="Arial" w:hAnsi="Arial"/>
                <w:sz w:val="16"/>
                <w:szCs w:val="16"/>
                <w:color w:val="auto"/>
              </w:rPr>
              <w:t>Tangible Assets</w:t>
            </w: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280" w:type="dxa"/>
            <w:vAlign w:val="bottom"/>
            <w:gridSpan w:val="4"/>
          </w:tcPr>
          <w:p>
            <w:pPr>
              <w:ind w:left="100"/>
              <w:spacing w:after="0"/>
              <w:rPr>
                <w:sz w:val="20"/>
                <w:szCs w:val="20"/>
                <w:color w:val="auto"/>
              </w:rPr>
            </w:pPr>
            <w:r>
              <w:rPr>
                <w:rFonts w:ascii="Arial" w:cs="Arial" w:eastAsia="Arial" w:hAnsi="Arial"/>
                <w:sz w:val="16"/>
                <w:szCs w:val="16"/>
                <w:color w:val="auto"/>
              </w:rPr>
              <w:t>Operating property:</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28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rPr>
              <w:t>Fixtures and equipment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gridSpan w:val="4"/>
          </w:tcPr>
          <w:p>
            <w:pPr>
              <w:ind w:left="420"/>
              <w:spacing w:after="0"/>
              <w:rPr>
                <w:sz w:val="20"/>
                <w:szCs w:val="20"/>
                <w:color w:val="auto"/>
              </w:rPr>
            </w:pPr>
            <w:r>
              <w:rPr>
                <w:rFonts w:ascii="Arial" w:cs="Arial" w:eastAsia="Arial" w:hAnsi="Arial"/>
                <w:sz w:val="16"/>
                <w:szCs w:val="16"/>
                <w:color w:val="auto"/>
              </w:rPr>
              <w:t>Deferred tax</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gridSpan w:val="4"/>
          </w:tcPr>
          <w:p>
            <w:pPr>
              <w:ind w:left="4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gridSpan w:val="4"/>
          </w:tcPr>
          <w:p>
            <w:pPr>
              <w:spacing w:after="0"/>
              <w:rPr>
                <w:sz w:val="20"/>
                <w:szCs w:val="20"/>
                <w:color w:val="auto"/>
              </w:rPr>
            </w:pPr>
            <w:r>
              <w:rPr>
                <w:rFonts w:ascii="Arial" w:cs="Arial" w:eastAsia="Arial" w:hAnsi="Arial"/>
                <w:sz w:val="16"/>
                <w:szCs w:val="16"/>
                <w:color w:val="auto"/>
              </w:rPr>
              <w:t>Intangible Assets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80" w:type="dxa"/>
            <w:vAlign w:val="bottom"/>
            <w:gridSpan w:val="4"/>
          </w:tcPr>
          <w:p>
            <w:pPr>
              <w:ind w:left="420"/>
              <w:spacing w:after="0"/>
              <w:rPr>
                <w:sz w:val="20"/>
                <w:szCs w:val="20"/>
                <w:color w:val="auto"/>
              </w:rPr>
            </w:pPr>
            <w:r>
              <w:rPr>
                <w:rFonts w:ascii="Arial" w:cs="Arial" w:eastAsia="Arial" w:hAnsi="Arial"/>
                <w:sz w:val="16"/>
                <w:szCs w:val="16"/>
                <w:i w:val="1"/>
                <w:iCs w:val="1"/>
                <w:color w:val="auto"/>
              </w:rPr>
              <w:t>Total assets acquired</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280" w:type="dxa"/>
            <w:vAlign w:val="bottom"/>
            <w:gridSpan w:val="4"/>
          </w:tcPr>
          <w:p>
            <w:pPr>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Employee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gridSpan w:val="4"/>
          </w:tcPr>
          <w:p>
            <w:pPr>
              <w:ind w:left="100"/>
              <w:spacing w:after="0"/>
              <w:rPr>
                <w:sz w:val="20"/>
                <w:szCs w:val="20"/>
                <w:color w:val="auto"/>
              </w:rPr>
            </w:pPr>
            <w:r>
              <w:rPr>
                <w:rFonts w:ascii="Arial" w:cs="Arial" w:eastAsia="Arial" w:hAnsi="Arial"/>
                <w:sz w:val="16"/>
                <w:szCs w:val="16"/>
                <w:color w:val="auto"/>
              </w:rPr>
              <w:t>Deferred revenue balances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80" w:type="dxa"/>
            <w:vAlign w:val="bottom"/>
            <w:gridSpan w:val="4"/>
            <w:shd w:val="clear" w:color="auto" w:fill="CCEEFF"/>
          </w:tcPr>
          <w:p>
            <w:pPr>
              <w:ind w:left="420"/>
              <w:spacing w:after="0"/>
              <w:rPr>
                <w:sz w:val="20"/>
                <w:szCs w:val="20"/>
                <w:color w:val="auto"/>
              </w:rPr>
            </w:pPr>
            <w:r>
              <w:rPr>
                <w:rFonts w:ascii="Arial" w:cs="Arial" w:eastAsia="Arial" w:hAnsi="Arial"/>
                <w:sz w:val="16"/>
                <w:szCs w:val="16"/>
                <w:i w:val="1"/>
                <w:iCs w:val="1"/>
                <w:color w:val="auto"/>
              </w:rPr>
              <w:t>Total liabilities acquired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Net assets acquired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40" w:hanging="320"/>
        <w:spacing w:after="0"/>
        <w:tabs>
          <w:tab w:leader="none" w:pos="6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balances were translated into U.S. Dollars based on the applicable exchange rate as of the date of acquisition, December 3, 2019.</w:t>
      </w:r>
    </w:p>
    <w:p>
      <w:pPr>
        <w:spacing w:after="0" w:line="200" w:lineRule="exact"/>
        <w:rPr>
          <w:rFonts w:ascii="Arial" w:cs="Arial" w:eastAsia="Arial" w:hAnsi="Arial"/>
          <w:sz w:val="14"/>
          <w:szCs w:val="14"/>
          <w:color w:val="auto"/>
        </w:rPr>
      </w:pPr>
    </w:p>
    <w:p>
      <w:pPr>
        <w:spacing w:after="0" w:line="223" w:lineRule="exact"/>
        <w:rPr>
          <w:rFonts w:ascii="Arial" w:cs="Arial" w:eastAsia="Arial" w:hAnsi="Arial"/>
          <w:sz w:val="14"/>
          <w:szCs w:val="14"/>
          <w:color w:val="auto"/>
        </w:rPr>
      </w:pPr>
    </w:p>
    <w:p>
      <w:pPr>
        <w:ind w:left="4840" w:hanging="157"/>
        <w:spacing w:after="0"/>
        <w:tabs>
          <w:tab w:leader="none" w:pos="48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517" w:right="979" w:bottom="1440" w:gutter="0" w:footer="0" w:header="0"/>
        </w:sectPr>
      </w:pPr>
    </w:p>
    <w:bookmarkStart w:id="114" w:name="page115"/>
    <w:bookmarkEnd w:id="114"/>
    <w:p>
      <w:pPr>
        <w:ind w:left="4"/>
        <w:spacing w:after="0"/>
        <w:rPr>
          <w:sz w:val="20"/>
          <w:szCs w:val="20"/>
          <w:color w:val="auto"/>
        </w:rPr>
      </w:pPr>
      <w:r>
        <w:rPr>
          <w:rFonts w:ascii="Arial" w:cs="Arial" w:eastAsia="Arial" w:hAnsi="Arial"/>
          <w:sz w:val="18"/>
          <w:szCs w:val="18"/>
          <w:b w:val="1"/>
          <w:bCs w:val="1"/>
          <w:u w:val="single" w:color="auto"/>
          <w:color w:val="auto"/>
        </w:rPr>
        <w:t>NOTE 20 – RELATED PARTIES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The following table identifies our related parties as of December 31, 2019, in accordance with </w:t>
      </w:r>
      <w:r>
        <w:rPr>
          <w:rFonts w:ascii="Arial" w:cs="Arial" w:eastAsia="Arial" w:hAnsi="Arial"/>
          <w:sz w:val="17"/>
          <w:szCs w:val="17"/>
          <w:i w:val="1"/>
          <w:iCs w:val="1"/>
          <w:color w:val="auto"/>
        </w:rPr>
        <w:t>ASC 850, Related Party Transactions</w:t>
      </w:r>
      <w:r>
        <w:rPr>
          <w:rFonts w:ascii="Arial" w:cs="Arial" w:eastAsia="Arial" w:hAnsi="Arial"/>
          <w:sz w:val="17"/>
          <w:szCs w:val="17"/>
          <w:color w:val="auto"/>
        </w:rPr>
        <w:t>:</w:t>
      </w:r>
    </w:p>
    <w:p>
      <w:pPr>
        <w:spacing w:after="0" w:line="200" w:lineRule="exact"/>
        <w:rPr>
          <w:sz w:val="20"/>
          <w:szCs w:val="20"/>
          <w:color w:val="auto"/>
        </w:rPr>
      </w:pPr>
    </w:p>
    <w:p>
      <w:pPr>
        <w:spacing w:after="0" w:line="287"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8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4"/>
                <w:szCs w:val="14"/>
                <w:b w:val="1"/>
                <w:bCs w:val="1"/>
                <w:color w:val="auto"/>
              </w:rPr>
              <w:t>Categories</w:t>
            </w:r>
          </w:p>
        </w:tc>
        <w:tc>
          <w:tcPr>
            <w:tcW w:w="24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4"/>
                <w:szCs w:val="14"/>
                <w:b w:val="1"/>
                <w:bCs w:val="1"/>
                <w:color w:val="auto"/>
              </w:rPr>
              <w:t>Related Parties</w:t>
            </w:r>
          </w:p>
        </w:tc>
        <w:tc>
          <w:tcPr>
            <w:tcW w:w="7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32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b w:val="1"/>
                <w:bCs w:val="1"/>
                <w:color w:val="auto"/>
              </w:rPr>
              <w:t>Discussion Notes</w:t>
            </w:r>
          </w:p>
        </w:tc>
      </w:tr>
      <w:tr>
        <w:trPr>
          <w:trHeight w:val="186"/>
        </w:trPr>
        <w:tc>
          <w:tcPr>
            <w:tcW w:w="2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Principal Owners and immediate</w:t>
            </w:r>
          </w:p>
        </w:tc>
        <w:tc>
          <w:tcPr>
            <w:tcW w:w="2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Cotter Family’s Estate and</w:t>
            </w: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7"/>
              </w:rPr>
              <w:t>The Cotter Family is involved in certain litigation matters. Refer to</w:t>
            </w:r>
          </w:p>
        </w:tc>
      </w:tr>
      <w:tr>
        <w:trPr>
          <w:trHeight w:val="203"/>
        </w:trPr>
        <w:tc>
          <w:tcPr>
            <w:tcW w:w="2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families</w:t>
            </w:r>
          </w:p>
        </w:tc>
        <w:tc>
          <w:tcPr>
            <w:tcW w:w="2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Living Trust (controlling</w:t>
            </w: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 xml:space="preserve">Note 12 – Commitments and Contingencies </w:t>
            </w:r>
            <w:r>
              <w:rPr>
                <w:rFonts w:ascii="Arial" w:cs="Arial" w:eastAsia="Arial" w:hAnsi="Arial"/>
                <w:sz w:val="16"/>
                <w:szCs w:val="16"/>
                <w:color w:val="auto"/>
              </w:rPr>
              <w:t>for further details.</w:t>
            </w:r>
          </w:p>
        </w:tc>
      </w:tr>
      <w:tr>
        <w:trPr>
          <w:trHeight w:val="203"/>
        </w:trPr>
        <w:tc>
          <w:tcPr>
            <w:tcW w:w="2820" w:type="dxa"/>
            <w:vAlign w:val="bottom"/>
            <w:shd w:val="clear" w:color="auto" w:fill="CCEEFF"/>
          </w:tcPr>
          <w:p>
            <w:pPr>
              <w:spacing w:after="0"/>
              <w:rPr>
                <w:sz w:val="17"/>
                <w:szCs w:val="17"/>
                <w:color w:val="auto"/>
              </w:rPr>
            </w:pPr>
          </w:p>
        </w:tc>
        <w:tc>
          <w:tcPr>
            <w:tcW w:w="2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family)</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r>
      <w:tr>
        <w:trPr>
          <w:trHeight w:val="203"/>
        </w:trPr>
        <w:tc>
          <w:tcPr>
            <w:tcW w:w="2820" w:type="dxa"/>
            <w:vAlign w:val="bottom"/>
            <w:shd w:val="clear" w:color="auto" w:fill="CCEEFF"/>
          </w:tcPr>
          <w:p>
            <w:pPr>
              <w:spacing w:after="0"/>
              <w:rPr>
                <w:sz w:val="17"/>
                <w:szCs w:val="17"/>
                <w:color w:val="auto"/>
              </w:rPr>
            </w:pPr>
          </w:p>
        </w:tc>
        <w:tc>
          <w:tcPr>
            <w:tcW w:w="2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Mark Cuban (above 10%</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r>
      <w:tr>
        <w:trPr>
          <w:trHeight w:val="212"/>
        </w:trPr>
        <w:tc>
          <w:tcPr>
            <w:tcW w:w="2820" w:type="dxa"/>
            <w:vAlign w:val="bottom"/>
            <w:shd w:val="clear" w:color="auto" w:fill="CCEEFF"/>
          </w:tcPr>
          <w:p>
            <w:pPr>
              <w:spacing w:after="0"/>
              <w:rPr>
                <w:sz w:val="18"/>
                <w:szCs w:val="18"/>
                <w:color w:val="auto"/>
              </w:rPr>
            </w:pPr>
          </w:p>
        </w:tc>
        <w:tc>
          <w:tcPr>
            <w:tcW w:w="2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voting ownership)</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193"/>
        </w:trPr>
        <w:tc>
          <w:tcPr>
            <w:tcW w:w="2820" w:type="dxa"/>
            <w:vAlign w:val="bottom"/>
          </w:tcPr>
          <w:p>
            <w:pPr>
              <w:ind w:left="280"/>
              <w:spacing w:after="0"/>
              <w:rPr>
                <w:sz w:val="20"/>
                <w:szCs w:val="20"/>
                <w:color w:val="auto"/>
              </w:rPr>
            </w:pPr>
            <w:r>
              <w:rPr>
                <w:rFonts w:ascii="Arial" w:cs="Arial" w:eastAsia="Arial" w:hAnsi="Arial"/>
                <w:sz w:val="16"/>
                <w:szCs w:val="16"/>
                <w:color w:val="auto"/>
              </w:rPr>
              <w:t>Key Executive Officers and</w:t>
            </w:r>
          </w:p>
        </w:tc>
        <w:tc>
          <w:tcPr>
            <w:tcW w:w="2440" w:type="dxa"/>
            <w:vAlign w:val="bottom"/>
          </w:tcPr>
          <w:p>
            <w:pPr>
              <w:ind w:left="280"/>
              <w:spacing w:after="0"/>
              <w:rPr>
                <w:sz w:val="20"/>
                <w:szCs w:val="20"/>
                <w:color w:val="auto"/>
              </w:rPr>
            </w:pPr>
            <w:r>
              <w:rPr>
                <w:rFonts w:ascii="Arial" w:cs="Arial" w:eastAsia="Arial" w:hAnsi="Arial"/>
                <w:sz w:val="16"/>
                <w:szCs w:val="16"/>
                <w:color w:val="auto"/>
              </w:rPr>
              <w:t>Ellen M. Cotter</w:t>
            </w:r>
          </w:p>
        </w:tc>
        <w:tc>
          <w:tcPr>
            <w:tcW w:w="72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03"/>
        </w:trPr>
        <w:tc>
          <w:tcPr>
            <w:tcW w:w="2820" w:type="dxa"/>
            <w:vAlign w:val="bottom"/>
          </w:tcPr>
          <w:p>
            <w:pPr>
              <w:ind w:left="280"/>
              <w:spacing w:after="0"/>
              <w:rPr>
                <w:sz w:val="20"/>
                <w:szCs w:val="20"/>
                <w:color w:val="auto"/>
              </w:rPr>
            </w:pPr>
            <w:r>
              <w:rPr>
                <w:rFonts w:ascii="Arial" w:cs="Arial" w:eastAsia="Arial" w:hAnsi="Arial"/>
                <w:sz w:val="16"/>
                <w:szCs w:val="16"/>
                <w:color w:val="auto"/>
              </w:rPr>
              <w:t>immediate families</w:t>
            </w:r>
          </w:p>
        </w:tc>
        <w:tc>
          <w:tcPr>
            <w:tcW w:w="2440" w:type="dxa"/>
            <w:vAlign w:val="bottom"/>
          </w:tcPr>
          <w:p>
            <w:pPr>
              <w:ind w:left="280"/>
              <w:spacing w:after="0"/>
              <w:rPr>
                <w:sz w:val="20"/>
                <w:szCs w:val="20"/>
                <w:color w:val="auto"/>
              </w:rPr>
            </w:pPr>
            <w:r>
              <w:rPr>
                <w:rFonts w:ascii="Arial" w:cs="Arial" w:eastAsia="Arial" w:hAnsi="Arial"/>
                <w:sz w:val="16"/>
                <w:szCs w:val="16"/>
                <w:color w:val="auto"/>
              </w:rPr>
              <w:t>Margaret Cotter</w:t>
            </w: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rPr>
              <w:t>President and Chief Executive Officer</w:t>
            </w:r>
          </w:p>
        </w:tc>
      </w:tr>
      <w:tr>
        <w:trPr>
          <w:trHeight w:val="203"/>
        </w:trPr>
        <w:tc>
          <w:tcPr>
            <w:tcW w:w="2820" w:type="dxa"/>
            <w:vAlign w:val="bottom"/>
          </w:tcPr>
          <w:p>
            <w:pPr>
              <w:spacing w:after="0"/>
              <w:rPr>
                <w:sz w:val="17"/>
                <w:szCs w:val="17"/>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Gilbert Avanes</w:t>
            </w:r>
          </w:p>
        </w:tc>
        <w:tc>
          <w:tcPr>
            <w:tcW w:w="72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Andrzej J. Matyczynski</w:t>
            </w: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rPr>
              <w:t>EVP Real Estate Development and Management (NY)</w:t>
            </w:r>
          </w:p>
        </w:tc>
      </w:tr>
      <w:tr>
        <w:trPr>
          <w:trHeight w:val="203"/>
        </w:trPr>
        <w:tc>
          <w:tcPr>
            <w:tcW w:w="2820" w:type="dxa"/>
            <w:vAlign w:val="bottom"/>
          </w:tcPr>
          <w:p>
            <w:pPr>
              <w:spacing w:after="0"/>
              <w:rPr>
                <w:sz w:val="17"/>
                <w:szCs w:val="17"/>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S Craig Tompkins</w:t>
            </w:r>
          </w:p>
        </w:tc>
        <w:tc>
          <w:tcPr>
            <w:tcW w:w="72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Robert F. Smerling</w:t>
            </w: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rPr>
              <w:t>EVP Chief Financial Officer and Treasurer</w:t>
            </w:r>
          </w:p>
        </w:tc>
      </w:tr>
      <w:tr>
        <w:trPr>
          <w:trHeight w:val="203"/>
        </w:trPr>
        <w:tc>
          <w:tcPr>
            <w:tcW w:w="2820" w:type="dxa"/>
            <w:vAlign w:val="bottom"/>
          </w:tcPr>
          <w:p>
            <w:pPr>
              <w:spacing w:after="0"/>
              <w:rPr>
                <w:sz w:val="17"/>
                <w:szCs w:val="17"/>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Mark Douglas</w:t>
            </w:r>
          </w:p>
        </w:tc>
        <w:tc>
          <w:tcPr>
            <w:tcW w:w="72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rPr>
              <w:t>EVP Global Operations</w:t>
            </w:r>
          </w:p>
        </w:tc>
      </w:tr>
      <w:tr>
        <w:trPr>
          <w:trHeight w:val="203"/>
        </w:trPr>
        <w:tc>
          <w:tcPr>
            <w:tcW w:w="2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rPr>
              <w:t>EVP General Counsel</w:t>
            </w:r>
          </w:p>
        </w:tc>
      </w:tr>
      <w:tr>
        <w:trPr>
          <w:trHeight w:val="203"/>
        </w:trPr>
        <w:tc>
          <w:tcPr>
            <w:tcW w:w="2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rPr>
              <w:t>President - U.S. Cinemas</w:t>
            </w:r>
          </w:p>
        </w:tc>
      </w:tr>
      <w:tr>
        <w:trPr>
          <w:trHeight w:val="203"/>
        </w:trPr>
        <w:tc>
          <w:tcPr>
            <w:tcW w:w="2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09"/>
        </w:trPr>
        <w:tc>
          <w:tcPr>
            <w:tcW w:w="2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rPr>
              <w:t>Managing Director, Cinemas, Australia and New Zealand</w:t>
            </w:r>
          </w:p>
        </w:tc>
      </w:tr>
      <w:tr>
        <w:trPr>
          <w:trHeight w:val="196"/>
        </w:trPr>
        <w:tc>
          <w:tcPr>
            <w:tcW w:w="2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Investments in Joint Ventures</w:t>
            </w:r>
          </w:p>
        </w:tc>
        <w:tc>
          <w:tcPr>
            <w:tcW w:w="2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Rialto Cinemas</w:t>
            </w: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6 – Investment in Joint Ventures</w:t>
            </w:r>
          </w:p>
        </w:tc>
      </w:tr>
      <w:tr>
        <w:trPr>
          <w:trHeight w:val="212"/>
        </w:trPr>
        <w:tc>
          <w:tcPr>
            <w:tcW w:w="2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accounted for under equity method</w:t>
            </w:r>
          </w:p>
        </w:tc>
        <w:tc>
          <w:tcPr>
            <w:tcW w:w="2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Mt. Gravatt</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162"/>
        </w:trPr>
        <w:tc>
          <w:tcPr>
            <w:tcW w:w="2820" w:type="dxa"/>
            <w:vAlign w:val="bottom"/>
          </w:tcPr>
          <w:p>
            <w:pPr>
              <w:ind w:left="280"/>
              <w:spacing w:after="0" w:line="162" w:lineRule="exact"/>
              <w:rPr>
                <w:sz w:val="20"/>
                <w:szCs w:val="20"/>
                <w:color w:val="auto"/>
              </w:rPr>
            </w:pPr>
            <w:r>
              <w:rPr>
                <w:rFonts w:ascii="Arial" w:cs="Arial" w:eastAsia="Arial" w:hAnsi="Arial"/>
                <w:sz w:val="16"/>
                <w:szCs w:val="16"/>
                <w:color w:val="auto"/>
              </w:rPr>
              <w:t>Other Affiliates</w:t>
            </w:r>
          </w:p>
        </w:tc>
        <w:tc>
          <w:tcPr>
            <w:tcW w:w="2440" w:type="dxa"/>
            <w:vAlign w:val="bottom"/>
          </w:tcPr>
          <w:p>
            <w:pPr>
              <w:ind w:left="280"/>
              <w:spacing w:after="0" w:line="162" w:lineRule="exact"/>
              <w:rPr>
                <w:sz w:val="20"/>
                <w:szCs w:val="20"/>
                <w:color w:val="auto"/>
              </w:rPr>
            </w:pPr>
            <w:r>
              <w:rPr>
                <w:rFonts w:ascii="Arial" w:cs="Arial" w:eastAsia="Arial" w:hAnsi="Arial"/>
                <w:sz w:val="16"/>
                <w:szCs w:val="16"/>
                <w:color w:val="auto"/>
                <w:w w:val="99"/>
              </w:rPr>
              <w:t>Entities under common control</w:t>
            </w:r>
          </w:p>
        </w:tc>
        <w:tc>
          <w:tcPr>
            <w:tcW w:w="4680" w:type="dxa"/>
            <w:vAlign w:val="bottom"/>
            <w:gridSpan w:val="3"/>
          </w:tcPr>
          <w:p>
            <w:pPr>
              <w:ind w:left="160"/>
              <w:spacing w:after="0" w:line="162" w:lineRule="exact"/>
              <w:rPr>
                <w:rFonts w:ascii="Arial" w:cs="Arial" w:eastAsia="Arial" w:hAnsi="Arial"/>
                <w:sz w:val="16"/>
                <w:szCs w:val="16"/>
                <w:color w:val="auto"/>
                <w:w w:val="97"/>
              </w:rPr>
            </w:pPr>
            <w:r>
              <w:rPr>
                <w:rFonts w:ascii="Arial" w:cs="Arial" w:eastAsia="Arial" w:hAnsi="Arial"/>
                <w:sz w:val="16"/>
                <w:szCs w:val="16"/>
                <w:color w:val="auto"/>
                <w:w w:val="97"/>
              </w:rPr>
              <w:t xml:space="preserve">Refer to </w:t>
            </w:r>
            <w:hyperlink w:anchor="page131">
              <w:r>
                <w:rPr>
                  <w:rFonts w:ascii="Arial" w:cs="Arial" w:eastAsia="Arial" w:hAnsi="Arial"/>
                  <w:sz w:val="16"/>
                  <w:szCs w:val="16"/>
                  <w:b w:val="1"/>
                  <w:bCs w:val="1"/>
                  <w:color w:val="auto"/>
                  <w:w w:val="97"/>
                </w:rPr>
                <w:t>Exhibit 21</w:t>
              </w:r>
              <w:r>
                <w:rPr>
                  <w:rFonts w:ascii="Arial" w:cs="Arial" w:eastAsia="Arial" w:hAnsi="Arial"/>
                  <w:sz w:val="16"/>
                  <w:szCs w:val="16"/>
                  <w:color w:val="auto"/>
                  <w:w w:val="97"/>
                </w:rPr>
                <w:t xml:space="preserve"> </w:t>
              </w:r>
            </w:hyperlink>
            <w:r>
              <w:rPr>
                <w:rFonts w:ascii="Arial" w:cs="Arial" w:eastAsia="Arial" w:hAnsi="Arial"/>
                <w:sz w:val="16"/>
                <w:szCs w:val="16"/>
                <w:color w:val="auto"/>
                <w:w w:val="97"/>
              </w:rPr>
              <w:t>of this 2019 Form 10-K filing for the complete</w:t>
            </w:r>
          </w:p>
        </w:tc>
      </w:tr>
      <w:tr>
        <w:trPr>
          <w:trHeight w:val="20"/>
        </w:trPr>
        <w:tc>
          <w:tcPr>
            <w:tcW w:w="2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13"/>
        </w:trPr>
        <w:tc>
          <w:tcPr>
            <w:tcW w:w="2820" w:type="dxa"/>
            <w:vAlign w:val="bottom"/>
          </w:tcPr>
          <w:p>
            <w:pPr>
              <w:spacing w:after="0"/>
              <w:rPr>
                <w:sz w:val="18"/>
                <w:szCs w:val="18"/>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All subsidiaries of RDI</w:t>
            </w: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w w:val="98"/>
              </w:rPr>
              <w:t>list of subsidiaries. Refer below for further discussions on certain</w:t>
            </w:r>
          </w:p>
        </w:tc>
      </w:tr>
      <w:tr>
        <w:trPr>
          <w:trHeight w:val="203"/>
        </w:trPr>
        <w:tc>
          <w:tcPr>
            <w:tcW w:w="2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680" w:type="dxa"/>
            <w:vAlign w:val="bottom"/>
            <w:gridSpan w:val="3"/>
          </w:tcPr>
          <w:p>
            <w:pPr>
              <w:ind w:left="160"/>
              <w:spacing w:after="0"/>
              <w:rPr>
                <w:sz w:val="20"/>
                <w:szCs w:val="20"/>
                <w:color w:val="auto"/>
              </w:rPr>
            </w:pPr>
            <w:r>
              <w:rPr>
                <w:rFonts w:ascii="Arial" w:cs="Arial" w:eastAsia="Arial" w:hAnsi="Arial"/>
                <w:sz w:val="16"/>
                <w:szCs w:val="16"/>
                <w:color w:val="auto"/>
                <w:w w:val="97"/>
              </w:rPr>
              <w:t>key transactions with related parties, including those with minority</w:t>
            </w:r>
          </w:p>
        </w:tc>
      </w:tr>
      <w:tr>
        <w:trPr>
          <w:trHeight w:val="219"/>
        </w:trPr>
        <w:tc>
          <w:tcPr>
            <w:tcW w:w="28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color w:val="auto"/>
              </w:rPr>
              <w:t>interests.</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Sutton Hill Capital</w:t>
      </w:r>
    </w:p>
    <w:p>
      <w:pPr>
        <w:spacing w:after="0" w:line="225" w:lineRule="exact"/>
        <w:rPr>
          <w:sz w:val="20"/>
          <w:szCs w:val="20"/>
          <w:color w:val="auto"/>
        </w:rPr>
      </w:pPr>
    </w:p>
    <w:p>
      <w:pPr>
        <w:jc w:val="both"/>
        <w:ind w:left="4" w:right="40"/>
        <w:spacing w:after="0" w:line="257" w:lineRule="auto"/>
        <w:rPr>
          <w:sz w:val="20"/>
          <w:szCs w:val="20"/>
          <w:color w:val="auto"/>
        </w:rPr>
      </w:pPr>
      <w:r>
        <w:rPr>
          <w:rFonts w:ascii="Arial" w:cs="Arial" w:eastAsia="Arial" w:hAnsi="Arial"/>
          <w:sz w:val="18"/>
          <w:szCs w:val="18"/>
          <w:color w:val="auto"/>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or the Cotter Trust and a third party.</w:t>
      </w:r>
    </w:p>
    <w:p>
      <w:pPr>
        <w:spacing w:after="0" w:line="188"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As previously reported, over the years, two of the cinemas subject to the master leasing agreement have been redeveloped and one (the Cinemas 1,2,3 discussed below) has been acquired. The Village East is the only cinema that remains subject to this master lease. We paid an annual rent of $590,000 for this cinema to SHC in each of 2019, 2018 and 2017. During this same period, we received management fees from the 86</w:t>
      </w:r>
      <w:r>
        <w:rPr>
          <w:rFonts w:ascii="Arial" w:cs="Arial" w:eastAsia="Arial" w:hAnsi="Arial"/>
          <w:sz w:val="8"/>
          <w:szCs w:val="8"/>
          <w:color w:val="auto"/>
        </w:rPr>
        <w:t>th</w:t>
      </w:r>
      <w:r>
        <w:rPr>
          <w:rFonts w:ascii="Arial" w:cs="Arial" w:eastAsia="Arial" w:hAnsi="Arial"/>
          <w:sz w:val="18"/>
          <w:szCs w:val="18"/>
          <w:color w:val="auto"/>
        </w:rPr>
        <w:t xml:space="preserve"> Street Cinema of $45,000, $172,000 and $141,000 during the years ended December 31, 2019, 2018 and 2017, respectively. During the second quarter of 2019, our management agreement for the operation of the 86</w:t>
      </w:r>
      <w:r>
        <w:rPr>
          <w:rFonts w:ascii="Arial" w:cs="Arial" w:eastAsia="Arial" w:hAnsi="Arial"/>
          <w:sz w:val="8"/>
          <w:szCs w:val="8"/>
          <w:color w:val="auto"/>
        </w:rPr>
        <w:t>th</w:t>
      </w:r>
      <w:r>
        <w:rPr>
          <w:rFonts w:ascii="Arial" w:cs="Arial" w:eastAsia="Arial" w:hAnsi="Arial"/>
          <w:sz w:val="18"/>
          <w:szCs w:val="18"/>
          <w:color w:val="auto"/>
        </w:rPr>
        <w:t xml:space="preserve"> Street Cinema terminated due to the expiration of the underlying lease.</w:t>
      </w:r>
    </w:p>
    <w:p>
      <w:pPr>
        <w:spacing w:after="0" w:line="192" w:lineRule="exact"/>
        <w:rPr>
          <w:sz w:val="20"/>
          <w:szCs w:val="20"/>
          <w:color w:val="auto"/>
        </w:rPr>
      </w:pPr>
    </w:p>
    <w:p>
      <w:pPr>
        <w:ind w:left="4" w:right="60"/>
        <w:spacing w:after="0" w:line="284" w:lineRule="auto"/>
        <w:rPr>
          <w:sz w:val="20"/>
          <w:szCs w:val="20"/>
          <w:color w:val="auto"/>
        </w:rPr>
      </w:pPr>
      <w:r>
        <w:rPr>
          <w:rFonts w:ascii="Arial" w:cs="Arial" w:eastAsia="Arial" w:hAnsi="Arial"/>
          <w:sz w:val="16"/>
          <w:szCs w:val="16"/>
          <w:color w:val="auto"/>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non-interest-bearing intercompany loan from the Company. Since the acquisition by SHC of its 25% interest, SHP has covered its operating costs and debt service through cash flow from the Cinema 1,2,3, (ii) borrowings from third parties, and</w:t>
      </w:r>
    </w:p>
    <w:p>
      <w:pPr>
        <w:spacing w:after="0" w:line="1" w:lineRule="exact"/>
        <w:rPr>
          <w:sz w:val="20"/>
          <w:szCs w:val="20"/>
          <w:color w:val="auto"/>
        </w:rPr>
      </w:pPr>
    </w:p>
    <w:p>
      <w:pPr>
        <w:ind w:left="4" w:right="200" w:hanging="4"/>
        <w:spacing w:after="0" w:line="255" w:lineRule="auto"/>
        <w:tabs>
          <w:tab w:leader="none" w:pos="31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pro-rata contributions from the members. We receive an annual management fee equal to 5% of SHP’s gross income for managing the cinema and the property, amounting to $177,000 during 2015. This management fee was modified in 2015, as discussed below, retroactive to December 1, 2014.</w:t>
      </w:r>
    </w:p>
    <w:p>
      <w:pPr>
        <w:spacing w:after="0" w:line="190"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On June 29, 2010, we agreed to extend our existing lease from SHC of the Village East Cinema by 10 years, with a new termination date of June 30, 2020. This amendment was reviewed and approved by our Audit and Conflicts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which we exercised on August 28, 2019. It is currently anticipated that the transaction will close on or about May 31, 2021. We recorded the Village East Cinema building as a property asset of</w:t>
      </w:r>
    </w:p>
    <w:p>
      <w:pPr>
        <w:spacing w:after="0" w:line="4" w:lineRule="exact"/>
        <w:rPr>
          <w:sz w:val="20"/>
          <w:szCs w:val="20"/>
          <w:color w:val="auto"/>
        </w:rPr>
      </w:pPr>
    </w:p>
    <w:p>
      <w:pPr>
        <w:ind w:left="4" w:right="240"/>
        <w:spacing w:after="0" w:line="290" w:lineRule="auto"/>
        <w:rPr>
          <w:sz w:val="20"/>
          <w:szCs w:val="20"/>
          <w:color w:val="auto"/>
        </w:rPr>
      </w:pPr>
      <w:r>
        <w:rPr>
          <w:rFonts w:ascii="Arial" w:cs="Arial" w:eastAsia="Arial" w:hAnsi="Arial"/>
          <w:sz w:val="17"/>
          <w:szCs w:val="17"/>
          <w:color w:val="auto"/>
        </w:rPr>
        <w:t xml:space="preserve">$4.7 million on our balance sheet based on the cost carry-over basis from an entity under common control with a corresponding capital lease liability of $5.9 million presented under other liabilities (see </w:t>
      </w:r>
      <w:r>
        <w:rPr>
          <w:rFonts w:ascii="Arial" w:cs="Arial" w:eastAsia="Arial" w:hAnsi="Arial"/>
          <w:sz w:val="17"/>
          <w:szCs w:val="17"/>
          <w:i w:val="1"/>
          <w:iCs w:val="1"/>
          <w:color w:val="auto"/>
        </w:rPr>
        <w:t>Note 11 – Pension and Other Liabilities</w:t>
      </w:r>
      <w:r>
        <w:rPr>
          <w:rFonts w:ascii="Arial" w:cs="Arial" w:eastAsia="Arial" w:hAnsi="Arial"/>
          <w:sz w:val="17"/>
          <w:szCs w:val="17"/>
          <w:color w:val="auto"/>
        </w:rPr>
        <w:t>).</w:t>
      </w:r>
    </w:p>
    <w:p>
      <w:pPr>
        <w:spacing w:after="0" w:line="161" w:lineRule="exact"/>
        <w:rPr>
          <w:sz w:val="20"/>
          <w:szCs w:val="20"/>
          <w:color w:val="auto"/>
        </w:rPr>
      </w:pPr>
    </w:p>
    <w:p>
      <w:pPr>
        <w:jc w:val="both"/>
        <w:ind w:left="4" w:right="80"/>
        <w:spacing w:after="0" w:line="311" w:lineRule="auto"/>
        <w:rPr>
          <w:sz w:val="20"/>
          <w:szCs w:val="20"/>
          <w:color w:val="auto"/>
        </w:rPr>
      </w:pPr>
      <w:r>
        <w:rPr>
          <w:rFonts w:ascii="Arial" w:cs="Arial" w:eastAsia="Arial" w:hAnsi="Arial"/>
          <w:sz w:val="16"/>
          <w:szCs w:val="16"/>
          <w:color w:val="auto"/>
        </w:rPr>
        <w:t>On March 12, 2020, we amended the original agreement to (i) extend the term of the lease to January 31, 2022 and extend the put option to December 4, 2021 and (ii) at SHC’s request, in connection with our deferral of the closing date for our acquisition of SHC’s interest in the Village East Cinema, the Company reinstated and extended until December 4, 2021 SHC’s right to put that interest to</w:t>
      </w:r>
    </w:p>
    <w:p>
      <w:pPr>
        <w:spacing w:after="0" w:line="14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351905" cy="508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337" w:right="979" w:bottom="470" w:gutter="0" w:footer="0" w:header="0"/>
        </w:sectPr>
      </w:pPr>
    </w:p>
    <w:bookmarkStart w:id="115" w:name="page116"/>
    <w:bookmarkEnd w:id="115"/>
    <w:p>
      <w:pPr>
        <w:ind w:right="80"/>
        <w:spacing w:after="0" w:line="273" w:lineRule="auto"/>
        <w:rPr>
          <w:sz w:val="20"/>
          <w:szCs w:val="20"/>
          <w:color w:val="auto"/>
        </w:rPr>
      </w:pPr>
      <w:r>
        <w:rPr>
          <w:rFonts w:ascii="Arial" w:cs="Arial" w:eastAsia="Arial" w:hAnsi="Arial"/>
          <w:sz w:val="17"/>
          <w:szCs w:val="17"/>
          <w:color w:val="auto"/>
        </w:rPr>
        <w:t>us. That put right had previously expired on December 4, 2019. We are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February 2015, we and SHP entered into an amendment to the management agreement dated as of June 27, 2007 between us and SHP. The amendment, which was retroactive to December 1, 2014, memorialized our undertaking to SHP with respect to $750,000 (the “Renovation Funding Amount”) of renovations to Cinemas 1,2,3 funded or to be funded by us. In consideration of our funding of the renovations, our annual management fee under the management agreement was increased commencing January 1, 2015 by an amount equivalent to 100% of any incremental positive cash flow of Cinemas 1,2,3 over the average annual positive cash flow of the Cinemas 1,2,3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2019 and 2018 we charged an Improvements Fee of $96,000 and $425,000, respectively. In 2017, we received no Improvements Fee. This amendment was approved by SHC and by the Audit and Conflicts Committee of our Board of Directors.</w:t>
      </w:r>
    </w:p>
    <w:p>
      <w:pPr>
        <w:spacing w:after="0" w:line="17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 xml:space="preserve">On August 31, 2016, we refinanced the debt of Cinemas 1,2,3, pursuant to a $20.0 million loan from Valley National Bank. Refer to </w:t>
      </w:r>
      <w:r>
        <w:rPr>
          <w:rFonts w:ascii="Arial" w:cs="Arial" w:eastAsia="Arial" w:hAnsi="Arial"/>
          <w:sz w:val="16"/>
          <w:szCs w:val="16"/>
          <w:i w:val="1"/>
          <w:iCs w:val="1"/>
          <w:color w:val="auto"/>
        </w:rPr>
        <w:t xml:space="preserve">Note 10 – Borrowings </w:t>
      </w:r>
      <w:r>
        <w:rPr>
          <w:rFonts w:ascii="Arial" w:cs="Arial" w:eastAsia="Arial" w:hAnsi="Arial"/>
          <w:sz w:val="16"/>
          <w:szCs w:val="16"/>
          <w:color w:val="auto"/>
        </w:rPr>
        <w:t>for further details on this loan transaction. The proceeds from the loan were used to retire an existing</w:t>
      </w:r>
    </w:p>
    <w:p>
      <w:pPr>
        <w:ind w:right="20"/>
        <w:spacing w:after="0" w:line="253" w:lineRule="auto"/>
        <w:rPr>
          <w:sz w:val="20"/>
          <w:szCs w:val="20"/>
          <w:color w:val="auto"/>
        </w:rPr>
      </w:pPr>
      <w:r>
        <w:rPr>
          <w:rFonts w:ascii="Arial" w:cs="Arial" w:eastAsia="Arial" w:hAnsi="Arial"/>
          <w:sz w:val="18"/>
          <w:szCs w:val="18"/>
          <w:color w:val="auto"/>
        </w:rPr>
        <w:t>$15.0 million first mortgage loan and the above-referenced $2.9 million intercompany loan, with the remainder to be used for working capital and to cover cash flow shortfalls. Since the cash flow from the Cinemas 1,2,3 is not sufficient to service this loan, it is anticipated that the members of SHP (our Company and SHC) will ultimately need to make periodic contributions to the capital of SHP in order to avoid dilution of their respective interests in SHP. In 2016, our Company and SHC funded capital calls of $506,000 and $169,000, respectively. No capital contributions were called or made in 2017, 2018 or 2019.</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and Conflicts Committee of our Board of Directors. The Valley National loan matured on March 1, 2020, however the loan included an option to extend the maturity date to March 1, 2021. As described in Note 23 – </w:t>
      </w:r>
      <w:r>
        <w:rPr>
          <w:rFonts w:ascii="Arial" w:cs="Arial" w:eastAsia="Arial" w:hAnsi="Arial"/>
          <w:sz w:val="16"/>
          <w:szCs w:val="16"/>
          <w:i w:val="1"/>
          <w:iCs w:val="1"/>
          <w:color w:val="auto"/>
        </w:rPr>
        <w:t>Subsequent Events</w:t>
      </w:r>
      <w:r>
        <w:rPr>
          <w:rFonts w:ascii="Arial" w:cs="Arial" w:eastAsia="Arial" w:hAnsi="Arial"/>
          <w:sz w:val="16"/>
          <w:szCs w:val="16"/>
          <w:color w:val="auto"/>
        </w:rPr>
        <w:t>, on March 13, 2020, we refinanced this loan into a new $25.0 million term loan at an interest rate of 4.25% which matures on April 1, 2022 with two six-month options to extend the maturity date until April 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 Theatre Play Investment</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From time to time, our Officers and Directors may invest in plays that lease our live theatres. The play STOMP has been playing in our Orpheum Theatre since prior to the time we acquired the theatre in 2001. The Cotter Estate or the Cotter Trust and a third party own an approximately 5% interest in that play, an interest that they have held since prior to our acquisition of the theatre.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Shadow View Land and Farming LLC</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During 2012, Mr. James J. Cotter, Sr., our then Chairman, Chief Executive Officer and controlling stockholder, contributed $2.5 million cash and $255,000 of his 2011 bonus as his 50% share of the purchase price of a land parcel in Coachella, California and to cover his 50% share of certain costs associated with that acquisition. This land is held in Shadow View Land and Farming, LLC, in which the Cotter Estate or the Cotter Trust owns a 50% interest. We are the managing member of Shadow View Land and Farming, LLC (See Note 13 – </w:t>
      </w:r>
      <w:r>
        <w:rPr>
          <w:rFonts w:ascii="Arial" w:cs="Arial" w:eastAsia="Arial" w:hAnsi="Arial"/>
          <w:sz w:val="18"/>
          <w:szCs w:val="18"/>
          <w:i w:val="1"/>
          <w:iCs w:val="1"/>
          <w:color w:val="auto"/>
        </w:rPr>
        <w:t>Non-Controlling Interests</w:t>
      </w:r>
      <w:r>
        <w:rPr>
          <w:rFonts w:ascii="Arial" w:cs="Arial" w:eastAsia="Arial" w:hAnsi="Arial"/>
          <w:sz w:val="18"/>
          <w:szCs w:val="18"/>
          <w:color w:val="auto"/>
        </w:rPr>
        <w:t>). The property is held debt free and operating and holding costs are covered by member contributions. The Audit and Conflicts Committee of the Board of Directors is charged with responsibility for oversight of our management of Shadow View.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21 – INSURANCE RECOVERIES ON IMPAIRMENT AND RELATED LOSSES DUE TO EARTHQUAKE</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November 14, 2016, we filed an initial insurance claim with our Insurer with respect to earthquake damage to our parking building adjacent to our Courtenay Central entertainment-themed center (“ETC”) in Wellington, New Zealand and to the ETC itself. Also, we filed a separate business interruption claim to recover lost profits as a result of the earthquake. As of December 31, 2016, we recorded a recoverable asset to the extent of our incurred losses that we deemed probable of recoverability under our insurance claim, consisting of the (i) written down carrying value of the damaged parking building and (ii) a significant portion of the derivative loss contingencies on demolition activities. We received an initial settlement from our Insurer in December 2016 amounting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16" w:name="page117"/>
    <w:bookmarkEnd w:id="116"/>
    <w:p>
      <w:pPr>
        <w:jc w:val="both"/>
        <w:ind w:right="20"/>
        <w:spacing w:after="0" w:line="263" w:lineRule="auto"/>
        <w:rPr>
          <w:sz w:val="20"/>
          <w:szCs w:val="20"/>
          <w:color w:val="auto"/>
        </w:rPr>
      </w:pPr>
      <w:r>
        <w:rPr>
          <w:rFonts w:ascii="Arial" w:cs="Arial" w:eastAsia="Arial" w:hAnsi="Arial"/>
          <w:sz w:val="18"/>
          <w:szCs w:val="18"/>
          <w:color w:val="auto"/>
        </w:rPr>
        <w:t>$5.0 million (NZ$7.1 million). In April 2017, our insurance company concluded that our losses exceeded the earthquake coverage policy limit of $25.0 million (NZ$36.0 million) and thus paid a final settlement of US$20.0 million (NZ$28.9 million) in May 2017, taking us to the policy limit.</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currently litigating our claim against QBE Insurance (Australia) Limited (“QBE”) for an additional NZ$5.0 million in recoveries with respect to earthquake damage to our car park under an insurance policy acquired for our benefit by the general contractor working on the seismic strengthening of our car park at the time of the earthquake. No assurances can be given as to the outcome of that litigation.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Over the course of assessing the total magnitude of earthquake damage up to the point of final insurance settlement, we determined our incurred losses and lost profits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0"/>
              </w:rPr>
              <w:t>Basis for</w:t>
            </w:r>
          </w:p>
        </w:tc>
        <w:tc>
          <w:tcPr>
            <w:tcW w:w="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Allocation of</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Allocation</w:t>
            </w:r>
          </w:p>
        </w:tc>
        <w:tc>
          <w:tcPr>
            <w:tcW w:w="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Covered Risks</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i w:val="1"/>
                <w:iCs w:val="1"/>
                <w:color w:val="auto"/>
                <w:w w:val="98"/>
              </w:rPr>
              <w:t>(Dollars in</w:t>
            </w:r>
          </w:p>
        </w:tc>
        <w:tc>
          <w:tcPr>
            <w:tcW w:w="41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Commentary</w:t>
            </w: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Allocation</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i w:val="1"/>
                <w:iCs w:val="1"/>
                <w:color w:val="auto"/>
              </w:rPr>
              <w:t>(Dollars in</w:t>
            </w:r>
          </w:p>
        </w:tc>
        <w:tc>
          <w:tcPr>
            <w:tcW w:w="0" w:type="dxa"/>
            <w:vAlign w:val="bottom"/>
          </w:tcPr>
          <w:p>
            <w:pPr>
              <w:spacing w:after="0"/>
              <w:rPr>
                <w:sz w:val="1"/>
                <w:szCs w:val="1"/>
                <w:color w:val="auto"/>
              </w:rPr>
            </w:pPr>
          </w:p>
        </w:tc>
      </w:tr>
      <w:tr>
        <w:trPr>
          <w:trHeight w:val="174"/>
        </w:trPr>
        <w:tc>
          <w:tcPr>
            <w:tcW w:w="2260" w:type="dxa"/>
            <w:vAlign w:val="bottom"/>
            <w:gridSpan w:val="2"/>
            <w:vMerge w:val="continue"/>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i w:val="1"/>
                <w:iCs w:val="1"/>
                <w:color w:val="auto"/>
                <w:w w:val="89"/>
              </w:rPr>
              <w:t>thousands)</w:t>
            </w:r>
          </w:p>
        </w:tc>
        <w:tc>
          <w:tcPr>
            <w:tcW w:w="410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thousands)</w:t>
            </w:r>
          </w:p>
        </w:tc>
        <w:tc>
          <w:tcPr>
            <w:tcW w:w="0" w:type="dxa"/>
            <w:vAlign w:val="bottom"/>
          </w:tcPr>
          <w:p>
            <w:pPr>
              <w:spacing w:after="0"/>
              <w:rPr>
                <w:sz w:val="1"/>
                <w:szCs w:val="1"/>
                <w:color w:val="auto"/>
              </w:rPr>
            </w:pPr>
          </w:p>
        </w:tc>
      </w:tr>
      <w:tr>
        <w:trPr>
          <w:trHeight w:val="130"/>
        </w:trPr>
        <w:tc>
          <w:tcPr>
            <w:tcW w:w="210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Property damage</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w w:val="98"/>
              </w:rPr>
              <w:t>NZ$</w:t>
            </w:r>
          </w:p>
        </w:tc>
        <w:tc>
          <w:tcPr>
            <w:tcW w:w="8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44,808</w:t>
            </w:r>
          </w:p>
        </w:tc>
        <w:tc>
          <w:tcPr>
            <w:tcW w:w="140" w:type="dxa"/>
            <w:vAlign w:val="bottom"/>
            <w:tcBorders>
              <w:top w:val="single" w:sz="8" w:color="CCEEFF"/>
            </w:tcBorders>
            <w:shd w:val="clear" w:color="auto" w:fill="CCEEFF"/>
          </w:tcPr>
          <w:p>
            <w:pPr>
              <w:spacing w:after="0"/>
              <w:rPr>
                <w:sz w:val="11"/>
                <w:szCs w:val="11"/>
                <w:color w:val="auto"/>
              </w:rPr>
            </w:pPr>
          </w:p>
        </w:tc>
        <w:tc>
          <w:tcPr>
            <w:tcW w:w="382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Estimated replacement cost for Courtenay Central parking</w:t>
            </w:r>
          </w:p>
        </w:tc>
        <w:tc>
          <w:tcPr>
            <w:tcW w:w="14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81%</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w w:val="98"/>
              </w:rPr>
              <w:t>NZ$</w:t>
            </w:r>
          </w:p>
        </w:tc>
        <w:tc>
          <w:tcPr>
            <w:tcW w:w="8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29,093</w:t>
            </w: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building, as determined by an independent construction cost</w:t>
            </w: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consultant.</w:t>
            </w: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Demolition costs</w:t>
            </w:r>
          </w:p>
        </w:tc>
        <w:tc>
          <w:tcPr>
            <w:tcW w:w="28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7,276</w:t>
            </w:r>
          </w:p>
        </w:tc>
        <w:tc>
          <w:tcPr>
            <w:tcW w:w="410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Actual costs incurred and best estimates of remaining costs to</w:t>
            </w:r>
          </w:p>
        </w:tc>
        <w:tc>
          <w:tcPr>
            <w:tcW w:w="1180" w:type="dxa"/>
            <w:vAlign w:val="bottom"/>
          </w:tcPr>
          <w:p>
            <w:pPr>
              <w:jc w:val="center"/>
              <w:spacing w:after="0" w:line="130" w:lineRule="exact"/>
              <w:rPr>
                <w:sz w:val="20"/>
                <w:szCs w:val="20"/>
                <w:color w:val="auto"/>
              </w:rPr>
            </w:pPr>
            <w:r>
              <w:rPr>
                <w:rFonts w:ascii="Arial" w:cs="Arial" w:eastAsia="Arial" w:hAnsi="Arial"/>
                <w:sz w:val="14"/>
                <w:szCs w:val="14"/>
                <w:color w:val="auto"/>
                <w:w w:val="92"/>
              </w:rPr>
              <w:t>13%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complete the demolition activities of Courtenay Central parking</w:t>
            </w: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00" w:type="dxa"/>
            <w:vAlign w:val="bottom"/>
            <w:gridSpan w:val="3"/>
          </w:tcPr>
          <w:p>
            <w:pPr>
              <w:ind w:left="140"/>
              <w:spacing w:after="0"/>
              <w:rPr>
                <w:sz w:val="20"/>
                <w:szCs w:val="20"/>
                <w:color w:val="auto"/>
              </w:rPr>
            </w:pPr>
            <w:r>
              <w:rPr>
                <w:rFonts w:ascii="Arial" w:cs="Arial" w:eastAsia="Arial" w:hAnsi="Arial"/>
                <w:sz w:val="14"/>
                <w:szCs w:val="14"/>
                <w:color w:val="auto"/>
              </w:rPr>
              <w:t>building</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interruption</w:t>
            </w: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3,415</w:t>
            </w:r>
          </w:p>
        </w:tc>
        <w:tc>
          <w:tcPr>
            <w:tcW w:w="41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Estimated lost profits during the closure period relating to our</w:t>
            </w:r>
          </w:p>
        </w:tc>
        <w:tc>
          <w:tcPr>
            <w:tcW w:w="11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6%</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2,217</w:t>
            </w: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various revenue-generating components within Courtenay Central</w:t>
            </w: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ETC (including our cinema and property operations)</w:t>
            </w:r>
          </w:p>
        </w:tc>
        <w:tc>
          <w:tcPr>
            <w:tcW w:w="11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NZ$</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55,499</w:t>
            </w:r>
          </w:p>
        </w:tc>
        <w:tc>
          <w:tcPr>
            <w:tcW w:w="1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NZ$</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result of the final settlement, we recorded total insurance gain of $10.7 million (NZ$14.8 million) during the quarter ended June 30, 2017, determined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Recoverable Components</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Non-Operating</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(mainly in New Zealand 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Income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08"/>
              <w:spacing w:after="0" w:line="126" w:lineRule="exact"/>
              <w:rPr>
                <w:sz w:val="20"/>
                <w:szCs w:val="20"/>
                <w:color w:val="auto"/>
              </w:rPr>
            </w:pPr>
            <w:r>
              <w:rPr>
                <w:rFonts w:ascii="Arial" w:cs="Arial" w:eastAsia="Arial" w:hAnsi="Arial"/>
                <w:sz w:val="14"/>
                <w:szCs w:val="14"/>
                <w:b w:val="1"/>
                <w:bCs w:val="1"/>
                <w:color w:val="auto"/>
                <w:w w:val="93"/>
              </w:rPr>
              <w:t>Property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ind w:left="140"/>
              <w:spacing w:after="0" w:line="126" w:lineRule="exact"/>
              <w:rPr>
                <w:sz w:val="20"/>
                <w:szCs w:val="20"/>
                <w:color w:val="auto"/>
              </w:rPr>
            </w:pPr>
            <w:r>
              <w:rPr>
                <w:rFonts w:ascii="Arial" w:cs="Arial" w:eastAsia="Arial" w:hAnsi="Arial"/>
                <w:sz w:val="14"/>
                <w:szCs w:val="14"/>
                <w:b w:val="1"/>
                <w:bCs w:val="1"/>
                <w:color w:val="auto"/>
              </w:rPr>
              <w:t>Demolition</w:t>
            </w:r>
          </w:p>
        </w:tc>
        <w:tc>
          <w:tcPr>
            <w:tcW w:w="240" w:type="dxa"/>
            <w:vAlign w:val="bottom"/>
          </w:tcPr>
          <w:p>
            <w:pPr>
              <w:spacing w:after="0"/>
              <w:rPr>
                <w:sz w:val="10"/>
                <w:szCs w:val="10"/>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86"/>
              </w:rPr>
              <w:t>Business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Grand Total</w:t>
            </w:r>
          </w:p>
        </w:tc>
        <w:tc>
          <w:tcPr>
            <w:tcW w:w="0" w:type="dxa"/>
            <w:vAlign w:val="bottom"/>
          </w:tcPr>
          <w:p>
            <w:pPr>
              <w:spacing w:after="0"/>
              <w:rPr>
                <w:sz w:val="1"/>
                <w:szCs w:val="1"/>
                <w:color w:val="auto"/>
              </w:rPr>
            </w:pPr>
          </w:p>
        </w:tc>
      </w:tr>
      <w:tr>
        <w:trPr>
          <w:trHeight w:val="178"/>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unless otherwise stated)</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4"/>
              </w:rPr>
              <w:t>f</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Damage</w:t>
            </w:r>
            <w:r>
              <w:rPr>
                <w:rFonts w:ascii="Arial" w:cs="Arial" w:eastAsia="Arial" w:hAnsi="Arial"/>
                <w:sz w:val="7"/>
                <w:szCs w:val="7"/>
                <w:b w:val="1"/>
                <w:bCs w:val="1"/>
                <w:color w:val="auto"/>
                <w:w w:val="91"/>
              </w:rPr>
              <w:t>(1)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Costs</w:t>
            </w:r>
            <w:r>
              <w:rPr>
                <w:rFonts w:ascii="Arial" w:cs="Arial" w:eastAsia="Arial" w:hAnsi="Arial"/>
                <w:sz w:val="7"/>
                <w:szCs w:val="7"/>
                <w:b w:val="1"/>
                <w:bCs w:val="1"/>
                <w:color w:val="auto"/>
              </w:rPr>
              <w:t>(1)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Interruption</w:t>
            </w:r>
            <w:r>
              <w:rPr>
                <w:rFonts w:ascii="Arial" w:cs="Arial" w:eastAsia="Arial" w:hAnsi="Arial"/>
                <w:sz w:val="7"/>
                <w:szCs w:val="7"/>
                <w:b w:val="1"/>
                <w:bCs w:val="1"/>
                <w:color w:val="auto"/>
                <w:w w:val="98"/>
              </w:rPr>
              <w:t>(2)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w w:val="89"/>
              </w:rPr>
              <w:t>Insurance Proceed Allocation</w:t>
            </w:r>
          </w:p>
        </w:tc>
        <w:tc>
          <w:tcPr>
            <w:tcW w:w="1500" w:type="dxa"/>
            <w:vAlign w:val="bottom"/>
            <w:tcBorders>
              <w:bottom w:val="single" w:sz="8" w:color="CCEEFF"/>
            </w:tcBorders>
            <w:gridSpan w:val="2"/>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i w:val="1"/>
                <w:iCs w:val="1"/>
                <w:color w:val="auto"/>
                <w:w w:val="78"/>
              </w:rPr>
              <w:t>A</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29,093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36,034</w:t>
            </w: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9940"/>
          </w:cols>
          <w:pgMar w:left="980" w:top="341" w:right="979" w:bottom="1440" w:gutter="0" w:footer="0" w:header="0"/>
        </w:sectPr>
      </w:pPr>
    </w:p>
    <w:p>
      <w:pPr>
        <w:spacing w:after="0"/>
        <w:rPr>
          <w:sz w:val="20"/>
          <w:szCs w:val="20"/>
          <w:color w:val="auto"/>
        </w:rPr>
      </w:pPr>
      <w:r>
        <w:rPr>
          <w:rFonts w:ascii="Arial" w:cs="Arial" w:eastAsia="Arial" w:hAnsi="Arial"/>
          <w:sz w:val="14"/>
          <w:szCs w:val="14"/>
          <w:b w:val="1"/>
          <w:bCs w:val="1"/>
          <w:i w:val="1"/>
          <w:iCs w:val="1"/>
          <w:u w:val="single" w:color="auto"/>
          <w:color w:val="auto"/>
        </w:rPr>
        <w:t>Movements in Recoverable Components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Total expected incurred losses, November 30, 2016</w:t>
      </w:r>
    </w:p>
    <w:p>
      <w:pPr>
        <w:spacing w:after="0" w:line="11" w:lineRule="exact"/>
        <w:rPr>
          <w:sz w:val="20"/>
          <w:szCs w:val="20"/>
          <w:color w:val="auto"/>
        </w:rPr>
      </w:pPr>
    </w:p>
    <w:p>
      <w:pPr>
        <w:spacing w:after="0" w:line="237" w:lineRule="auto"/>
        <w:rPr>
          <w:sz w:val="20"/>
          <w:szCs w:val="20"/>
          <w:color w:val="auto"/>
        </w:rPr>
      </w:pPr>
      <w:r>
        <w:rPr>
          <w:rFonts w:ascii="Arial" w:cs="Arial" w:eastAsia="Arial" w:hAnsi="Arial"/>
          <w:sz w:val="14"/>
          <w:szCs w:val="14"/>
          <w:b w:val="1"/>
          <w:bCs w:val="1"/>
          <w:i w:val="1"/>
          <w:iCs w:val="1"/>
          <w:u w:val="single" w:color="auto"/>
          <w:color w:val="auto"/>
        </w:rPr>
        <w:t>Less</w:t>
      </w:r>
      <w:r>
        <w:rPr>
          <w:rFonts w:ascii="Arial" w:cs="Arial" w:eastAsia="Arial" w:hAnsi="Arial"/>
          <w:sz w:val="14"/>
          <w:szCs w:val="14"/>
          <w:b w:val="1"/>
          <w:bCs w:val="1"/>
          <w:color w:val="auto"/>
        </w:rPr>
        <w:t>: Casualty Losses recorded in 2016 Earnings</w:t>
      </w:r>
      <w:r>
        <w:rPr>
          <w:rFonts w:ascii="Arial" w:cs="Arial" w:eastAsia="Arial" w:hAnsi="Arial"/>
          <w:sz w:val="7"/>
          <w:szCs w:val="7"/>
          <w:b w:val="1"/>
          <w:bCs w:val="1"/>
          <w:color w:val="auto"/>
        </w:rPr>
        <w:t>(3)</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in NZ$</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in US$</w:t>
      </w:r>
    </w:p>
    <w:p>
      <w:pPr>
        <w:spacing w:after="0"/>
        <w:rPr>
          <w:sz w:val="20"/>
          <w:szCs w:val="20"/>
          <w:color w:val="auto"/>
        </w:rPr>
      </w:pPr>
      <w:r>
        <w:rPr>
          <w:rFonts w:ascii="Arial" w:cs="Arial" w:eastAsia="Arial" w:hAnsi="Arial"/>
          <w:sz w:val="14"/>
          <w:szCs w:val="14"/>
          <w:b w:val="1"/>
          <w:bCs w:val="1"/>
          <w:color w:val="auto"/>
        </w:rPr>
        <w:t>Recoverable Assets, December 31, 2016</w:t>
      </w:r>
      <w:r>
        <w:rPr>
          <w:rFonts w:ascii="Arial" w:cs="Arial" w:eastAsia="Arial" w:hAnsi="Arial"/>
          <w:sz w:val="7"/>
          <w:szCs w:val="7"/>
          <w:b w:val="1"/>
          <w:bCs w:val="1"/>
          <w:color w:val="auto"/>
        </w:rPr>
        <w:t>(4)</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Add</w:t>
      </w:r>
      <w:r>
        <w:rPr>
          <w:rFonts w:ascii="Arial" w:cs="Arial" w:eastAsia="Arial" w:hAnsi="Arial"/>
          <w:sz w:val="14"/>
          <w:szCs w:val="14"/>
          <w:color w:val="auto"/>
        </w:rPr>
        <w:t>: Upward changes in estimates and others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center"/>
              <w:ind w:right="148"/>
              <w:spacing w:after="0"/>
              <w:rPr>
                <w:sz w:val="20"/>
                <w:szCs w:val="20"/>
                <w:color w:val="auto"/>
              </w:rPr>
            </w:pPr>
            <w:r>
              <w:rPr>
                <w:rFonts w:ascii="Arial" w:cs="Arial" w:eastAsia="Arial" w:hAnsi="Arial"/>
                <w:sz w:val="14"/>
                <w:szCs w:val="14"/>
                <w:b w:val="1"/>
                <w:bCs w:val="1"/>
                <w:i w:val="1"/>
                <w:iCs w:val="1"/>
                <w:color w:val="auto"/>
                <w:w w:val="78"/>
              </w:rPr>
              <w:t>B</w:t>
            </w: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14,246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8,500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22,746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22,746</w:t>
            </w:r>
          </w:p>
        </w:tc>
      </w:tr>
      <w:tr>
        <w:trPr>
          <w:trHeight w:val="282"/>
        </w:trPr>
        <w:tc>
          <w:tcPr>
            <w:tcW w:w="620" w:type="dxa"/>
            <w:vAlign w:val="bottom"/>
          </w:tcPr>
          <w:p>
            <w:pPr>
              <w:jc w:val="center"/>
              <w:ind w:right="148"/>
              <w:spacing w:after="0"/>
              <w:rPr>
                <w:sz w:val="20"/>
                <w:szCs w:val="20"/>
                <w:color w:val="auto"/>
              </w:rPr>
            </w:pPr>
            <w:r>
              <w:rPr>
                <w:rFonts w:ascii="Arial" w:cs="Arial" w:eastAsia="Arial" w:hAnsi="Arial"/>
                <w:sz w:val="14"/>
                <w:szCs w:val="14"/>
                <w:b w:val="1"/>
                <w:bCs w:val="1"/>
                <w:i w:val="1"/>
                <w:iCs w:val="1"/>
                <w:color w:val="auto"/>
                <w:w w:val="78"/>
              </w:rPr>
              <w:t>C</w:t>
            </w: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(795)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(1,224)</w:t>
            </w:r>
          </w:p>
        </w:tc>
        <w:tc>
          <w:tcPr>
            <w:tcW w:w="4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24"/>
                <w:szCs w:val="24"/>
                <w:color w:val="auto"/>
              </w:rPr>
            </w:pPr>
          </w:p>
        </w:tc>
        <w:tc>
          <w:tcPr>
            <w:tcW w:w="1080" w:type="dxa"/>
            <w:vAlign w:val="bottom"/>
            <w:gridSpan w:val="3"/>
          </w:tcPr>
          <w:p>
            <w:pPr>
              <w:ind w:left="40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6"/>
        </w:trPr>
        <w:tc>
          <w:tcPr>
            <w:tcW w:w="620" w:type="dxa"/>
            <w:vAlign w:val="bottom"/>
          </w:tcPr>
          <w:p>
            <w:pPr>
              <w:jc w:val="center"/>
              <w:ind w:right="148"/>
              <w:spacing w:after="0"/>
              <w:rPr>
                <w:sz w:val="20"/>
                <w:szCs w:val="20"/>
                <w:color w:val="auto"/>
              </w:rPr>
            </w:pPr>
            <w:r>
              <w:rPr>
                <w:rFonts w:ascii="Arial" w:cs="Arial" w:eastAsia="Arial" w:hAnsi="Arial"/>
                <w:sz w:val="14"/>
                <w:szCs w:val="14"/>
                <w:b w:val="1"/>
                <w:bCs w:val="1"/>
                <w:i w:val="1"/>
                <w:iCs w:val="1"/>
                <w:color w:val="auto"/>
              </w:rPr>
              <w:t>D</w:t>
            </w:r>
          </w:p>
        </w:tc>
        <w:tc>
          <w:tcPr>
            <w:tcW w:w="480" w:type="dxa"/>
            <w:vAlign w:val="bottom"/>
          </w:tcPr>
          <w:p>
            <w:pPr>
              <w:spacing w:after="0"/>
              <w:rPr>
                <w:sz w:val="20"/>
                <w:szCs w:val="20"/>
                <w:color w:val="auto"/>
              </w:rPr>
            </w:pPr>
            <w:r>
              <w:rPr>
                <w:rFonts w:ascii="Arial" w:cs="Arial" w:eastAsia="Arial" w:hAnsi="Arial"/>
                <w:sz w:val="14"/>
                <w:szCs w:val="14"/>
                <w:i w:val="1"/>
                <w:iCs w:val="1"/>
                <w:color w:val="auto"/>
              </w:rPr>
              <w:t>US$</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(560)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4"/>
                <w:szCs w:val="14"/>
                <w:i w:val="1"/>
                <w:iCs w:val="1"/>
                <w:color w:val="auto"/>
              </w:rPr>
              <w:t>US$</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(861)</w:t>
            </w:r>
          </w:p>
        </w:tc>
        <w:tc>
          <w:tcPr>
            <w:tcW w:w="480" w:type="dxa"/>
            <w:vAlign w:val="bottom"/>
          </w:tcPr>
          <w:p>
            <w:pPr>
              <w:spacing w:after="0"/>
              <w:rPr>
                <w:sz w:val="20"/>
                <w:szCs w:val="20"/>
                <w:color w:val="auto"/>
              </w:rPr>
            </w:pPr>
            <w:r>
              <w:rPr>
                <w:rFonts w:ascii="Arial" w:cs="Arial" w:eastAsia="Arial" w:hAnsi="Arial"/>
                <w:sz w:val="14"/>
                <w:szCs w:val="14"/>
                <w:i w:val="1"/>
                <w:iCs w:val="1"/>
                <w:color w:val="auto"/>
              </w:rPr>
              <w:t>US$</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(1,421)</w:t>
            </w:r>
          </w:p>
        </w:tc>
        <w:tc>
          <w:tcPr>
            <w:tcW w:w="560" w:type="dxa"/>
            <w:vAlign w:val="bottom"/>
          </w:tcPr>
          <w:p>
            <w:pPr>
              <w:spacing w:after="0"/>
              <w:rPr>
                <w:sz w:val="20"/>
                <w:szCs w:val="20"/>
                <w:color w:val="auto"/>
              </w:rPr>
            </w:pPr>
            <w:r>
              <w:rPr>
                <w:rFonts w:ascii="Arial" w:cs="Arial" w:eastAsia="Arial" w:hAnsi="Arial"/>
                <w:sz w:val="14"/>
                <w:szCs w:val="14"/>
                <w:i w:val="1"/>
                <w:iCs w:val="1"/>
                <w:color w:val="auto"/>
              </w:rPr>
              <w:t>US$</w:t>
            </w:r>
          </w:p>
        </w:tc>
        <w:tc>
          <w:tcPr>
            <w:tcW w:w="1080" w:type="dxa"/>
            <w:vAlign w:val="bottom"/>
            <w:gridSpan w:val="3"/>
          </w:tcPr>
          <w:p>
            <w:pPr>
              <w:ind w:left="420"/>
              <w:spacing w:after="0"/>
              <w:rPr>
                <w:sz w:val="20"/>
                <w:szCs w:val="20"/>
                <w:color w:val="auto"/>
              </w:rPr>
            </w:pPr>
            <w:r>
              <w:rPr>
                <w:rFonts w:ascii="Arial" w:cs="Arial" w:eastAsia="Arial" w:hAnsi="Arial"/>
                <w:sz w:val="14"/>
                <w:szCs w:val="14"/>
                <w:i w:val="1"/>
                <w:iCs w:val="1"/>
                <w:color w:val="auto"/>
              </w:rPr>
              <w:t>— US$</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(1,421)</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11"/>
        </w:trPr>
        <w:tc>
          <w:tcPr>
            <w:tcW w:w="620" w:type="dxa"/>
            <w:vAlign w:val="bottom"/>
          </w:tcPr>
          <w:p>
            <w:pPr>
              <w:jc w:val="center"/>
              <w:ind w:right="148"/>
              <w:spacing w:after="0"/>
              <w:rPr>
                <w:sz w:val="20"/>
                <w:szCs w:val="20"/>
                <w:color w:val="auto"/>
              </w:rPr>
            </w:pPr>
            <w:r>
              <w:rPr>
                <w:rFonts w:ascii="Arial" w:cs="Arial" w:eastAsia="Arial" w:hAnsi="Arial"/>
                <w:sz w:val="14"/>
                <w:szCs w:val="14"/>
                <w:b w:val="1"/>
                <w:bCs w:val="1"/>
                <w:i w:val="1"/>
                <w:iCs w:val="1"/>
                <w:color w:val="auto"/>
                <w:w w:val="94"/>
              </w:rPr>
              <w:t>E=B-C</w:t>
            </w:r>
          </w:p>
        </w:tc>
        <w:tc>
          <w:tcPr>
            <w:tcW w:w="480" w:type="dxa"/>
            <w:vAlign w:val="bottom"/>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13,451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7,276</w:t>
            </w:r>
          </w:p>
        </w:tc>
        <w:tc>
          <w:tcPr>
            <w:tcW w:w="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20,727</w:t>
            </w:r>
          </w:p>
        </w:tc>
        <w:tc>
          <w:tcPr>
            <w:tcW w:w="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ind w:left="400"/>
              <w:spacing w:after="0"/>
              <w:rPr>
                <w:sz w:val="20"/>
                <w:szCs w:val="20"/>
                <w:color w:val="auto"/>
              </w:rPr>
            </w:pP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20,727</w:t>
            </w:r>
          </w:p>
        </w:tc>
      </w:tr>
      <w:tr>
        <w:trPr>
          <w:trHeight w:val="206"/>
        </w:trPr>
        <w:tc>
          <w:tcPr>
            <w:tcW w:w="620" w:type="dxa"/>
            <w:vAlign w:val="bottom"/>
          </w:tcPr>
          <w:p>
            <w:pPr>
              <w:jc w:val="center"/>
              <w:ind w:right="148"/>
              <w:spacing w:after="0"/>
              <w:rPr>
                <w:sz w:val="20"/>
                <w:szCs w:val="20"/>
                <w:color w:val="auto"/>
              </w:rPr>
            </w:pPr>
            <w:r>
              <w:rPr>
                <w:rFonts w:ascii="Arial" w:cs="Arial" w:eastAsia="Arial" w:hAnsi="Arial"/>
                <w:sz w:val="14"/>
                <w:szCs w:val="14"/>
                <w:b w:val="1"/>
                <w:bCs w:val="1"/>
                <w:i w:val="1"/>
                <w:iCs w:val="1"/>
                <w:color w:val="auto"/>
                <w:w w:val="92"/>
              </w:rPr>
              <w:t>F</w:t>
            </w: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w w:val="94"/>
              </w:rPr>
              <w:t>111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-739775</wp:posOffset>
            </wp:positionV>
            <wp:extent cx="630936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-414020</wp:posOffset>
            </wp:positionV>
            <wp:extent cx="630936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-2160905</wp:posOffset>
            </wp:positionH>
            <wp:positionV relativeFrom="paragraph">
              <wp:posOffset>-139700</wp:posOffset>
            </wp:positionV>
            <wp:extent cx="630936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309360" cy="1460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140" w:space="260"/>
            <w:col w:w="6540"/>
          </w:cols>
          <w:pgMar w:left="980" w:top="341" w:right="97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3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Net recoverable balances charged against proceeds</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i w:val="1"/>
                <w:iCs w:val="1"/>
                <w:color w:val="auto"/>
              </w:rPr>
              <w:t>G=E+F</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13,798</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6"/>
              </w:rPr>
              <w:t>7,276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21,074</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21,185</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7"/>
              </w:rPr>
              <w:t>Casualty gain, recorded in 2017 Earnings- in NZ$</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H=A-G</w:t>
            </w: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15,295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b w:val="1"/>
                <w:bCs w:val="1"/>
                <w:color w:val="auto"/>
                <w:w w:val="94"/>
              </w:rPr>
              <w:t>(2,552)</w:t>
            </w: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12,743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14,849</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b w:val="1"/>
                <w:bCs w:val="1"/>
                <w:i w:val="1"/>
                <w:iCs w:val="1"/>
                <w:color w:val="auto"/>
                <w:w w:val="96"/>
              </w:rPr>
              <w:t>Casualty gain, recorded in 2017 Earnings - in US$</w:t>
            </w: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I</w:t>
            </w:r>
          </w:p>
        </w:tc>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6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11,063</w:t>
            </w:r>
          </w:p>
        </w:tc>
        <w:tc>
          <w:tcPr>
            <w:tcW w:w="8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720" w:type="dxa"/>
            <w:vAlign w:val="bottom"/>
            <w:gridSpan w:val="2"/>
          </w:tcPr>
          <w:p>
            <w:pPr>
              <w:jc w:val="center"/>
              <w:ind w:left="68"/>
              <w:spacing w:after="0"/>
              <w:rPr>
                <w:sz w:val="20"/>
                <w:szCs w:val="20"/>
                <w:color w:val="auto"/>
              </w:rPr>
            </w:pPr>
            <w:r>
              <w:rPr>
                <w:rFonts w:ascii="Arial" w:cs="Arial" w:eastAsia="Arial" w:hAnsi="Arial"/>
                <w:sz w:val="14"/>
                <w:szCs w:val="14"/>
                <w:b w:val="1"/>
                <w:bCs w:val="1"/>
                <w:i w:val="1"/>
                <w:iCs w:val="1"/>
                <w:color w:val="auto"/>
                <w:w w:val="94"/>
              </w:rPr>
              <w:t>(1,846)</w:t>
            </w:r>
          </w:p>
        </w:tc>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6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9,217</w:t>
            </w:r>
          </w:p>
        </w:tc>
        <w:tc>
          <w:tcPr>
            <w:tcW w:w="8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1,523</w:t>
            </w:r>
          </w:p>
        </w:tc>
        <w:tc>
          <w:tcPr>
            <w:tcW w:w="8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US$</w:t>
            </w:r>
          </w:p>
        </w:tc>
        <w:tc>
          <w:tcPr>
            <w:tcW w:w="6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10,740</w:t>
            </w:r>
          </w:p>
        </w:tc>
        <w:tc>
          <w:tcPr>
            <w:tcW w:w="0" w:type="dxa"/>
            <w:vAlign w:val="bottom"/>
          </w:tcPr>
          <w:p>
            <w:pPr>
              <w:spacing w:after="0"/>
              <w:rPr>
                <w:sz w:val="1"/>
                <w:szCs w:val="1"/>
                <w:color w:val="auto"/>
              </w:rPr>
            </w:pPr>
          </w:p>
        </w:tc>
      </w:tr>
      <w:tr>
        <w:trPr>
          <w:trHeight w:val="27"/>
        </w:trPr>
        <w:tc>
          <w:tcPr>
            <w:tcW w:w="3200" w:type="dxa"/>
            <w:vAlign w:val="bottom"/>
            <w:vMerge w:val="restart"/>
            <w:shd w:val="clear" w:color="auto" w:fill="CCEEFF"/>
          </w:tcPr>
          <w:p>
            <w:pPr>
              <w:spacing w:after="0" w:line="143" w:lineRule="exact"/>
              <w:rPr>
                <w:sz w:val="20"/>
                <w:szCs w:val="20"/>
                <w:color w:val="auto"/>
              </w:rPr>
            </w:pPr>
            <w:r>
              <w:rPr>
                <w:rFonts w:ascii="Arial" w:cs="Arial" w:eastAsia="Arial" w:hAnsi="Arial"/>
                <w:sz w:val="14"/>
                <w:szCs w:val="14"/>
                <w:b w:val="1"/>
                <w:bCs w:val="1"/>
                <w:i w:val="1"/>
                <w:iCs w:val="1"/>
                <w:color w:val="auto"/>
                <w:w w:val="97"/>
              </w:rPr>
              <w:t>Net Casualty gain for 2016 and 2017 Earnings - in</w:t>
            </w:r>
          </w:p>
        </w:tc>
        <w:tc>
          <w:tcPr>
            <w:tcW w:w="8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320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i w:val="1"/>
                <w:iCs w:val="1"/>
                <w:color w:val="auto"/>
              </w:rPr>
              <w:t>US$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10,503</w:t>
            </w:r>
          </w:p>
        </w:tc>
        <w:tc>
          <w:tcPr>
            <w:tcW w:w="8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i w:val="1"/>
                <w:iCs w:val="1"/>
                <w:color w:val="auto"/>
              </w:rPr>
              <w:t>US$</w:t>
            </w:r>
          </w:p>
        </w:tc>
        <w:tc>
          <w:tcPr>
            <w:tcW w:w="720" w:type="dxa"/>
            <w:vAlign w:val="bottom"/>
            <w:gridSpan w:val="2"/>
            <w:vMerge w:val="restart"/>
            <w:shd w:val="clear" w:color="auto" w:fill="CCEEFF"/>
          </w:tcPr>
          <w:p>
            <w:pPr>
              <w:jc w:val="center"/>
              <w:ind w:left="68"/>
              <w:spacing w:after="0"/>
              <w:rPr>
                <w:sz w:val="20"/>
                <w:szCs w:val="20"/>
                <w:color w:val="auto"/>
              </w:rPr>
            </w:pPr>
            <w:r>
              <w:rPr>
                <w:rFonts w:ascii="Arial" w:cs="Arial" w:eastAsia="Arial" w:hAnsi="Arial"/>
                <w:sz w:val="14"/>
                <w:szCs w:val="14"/>
                <w:b w:val="1"/>
                <w:bCs w:val="1"/>
                <w:i w:val="1"/>
                <w:iCs w:val="1"/>
                <w:color w:val="auto"/>
                <w:w w:val="94"/>
              </w:rPr>
              <w:t>(2,707)</w:t>
            </w:r>
          </w:p>
        </w:tc>
        <w:tc>
          <w:tcPr>
            <w:tcW w:w="4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i w:val="1"/>
                <w:iCs w:val="1"/>
                <w:color w:val="auto"/>
              </w:rPr>
              <w:t>US$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7,796</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i w:val="1"/>
                <w:iCs w:val="1"/>
                <w:color w:val="auto"/>
              </w:rPr>
              <w:t>US$</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1,523</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i w:val="1"/>
                <w:iCs w:val="1"/>
                <w:color w:val="auto"/>
              </w:rPr>
              <w:t>US$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9,319</w:t>
            </w: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i w:val="1"/>
                <w:iCs w:val="1"/>
                <w:color w:val="auto"/>
              </w:rPr>
              <w:t>US$</w:t>
            </w:r>
          </w:p>
        </w:tc>
        <w:tc>
          <w:tcPr>
            <w:tcW w:w="82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b w:val="1"/>
                <w:bCs w:val="1"/>
                <w:i w:val="1"/>
                <w:iCs w:val="1"/>
                <w:color w:val="auto"/>
              </w:rPr>
              <w:t>∑(D+I)</w:t>
            </w:r>
          </w:p>
        </w:tc>
        <w:tc>
          <w:tcPr>
            <w:tcW w:w="4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net impact to 2017 earnings of $9.2 million (NZ$12.7 million) is recorded as “</w:t>
      </w:r>
      <w:r>
        <w:rPr>
          <w:rFonts w:ascii="Arial" w:cs="Arial" w:eastAsia="Arial" w:hAnsi="Arial"/>
          <w:sz w:val="14"/>
          <w:szCs w:val="14"/>
          <w:i w:val="1"/>
          <w:iCs w:val="1"/>
          <w:color w:val="auto"/>
        </w:rPr>
        <w:t>Casualty gain</w:t>
      </w:r>
      <w:r>
        <w:rPr>
          <w:rFonts w:ascii="Arial" w:cs="Arial" w:eastAsia="Arial" w:hAnsi="Arial"/>
          <w:sz w:val="14"/>
          <w:szCs w:val="14"/>
          <w:color w:val="auto"/>
        </w:rPr>
        <w:t>” in our Consolidated Statements of Operations.</w:t>
      </w:r>
    </w:p>
    <w:p>
      <w:pPr>
        <w:ind w:left="640" w:right="20" w:hanging="320"/>
        <w:spacing w:after="0" w:line="221" w:lineRule="auto"/>
        <w:tabs>
          <w:tab w:leader="none" w:pos="6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impact to 2017 operating earnings of $1.5 million (NZ$2.1 million) is recorded as part of the applicable segment revenues in our Consolidated Statements of Operations.</w:t>
      </w:r>
    </w:p>
    <w:p>
      <w:pPr>
        <w:ind w:left="640" w:right="140" w:hanging="320"/>
        <w:spacing w:after="0" w:line="258" w:lineRule="auto"/>
        <w:tabs>
          <w:tab w:leader="none" w:pos="64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The casualty losses recorded in 2016 as a separate line in our Consolidated Statements of Operations is made up the following: (i) 5% deductible of $795,000 (NZ$560,000) calculated based on the estimated value of the insured damaged parking structure for insurance purposes, and (ii) $862,000 (NZ$1.2 million) of total estimated demolition costs was preliminarily assessed as expenses not reimbursable under our insurance policy and hence, we recorded in profit and loss.</w:t>
      </w:r>
    </w:p>
    <w:p>
      <w:pPr>
        <w:jc w:val="both"/>
        <w:ind w:left="640" w:right="180" w:hanging="320"/>
        <w:spacing w:after="0" w:line="271" w:lineRule="auto"/>
        <w:tabs>
          <w:tab w:leader="none" w:pos="6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The recoverable asset of $9.5 million (NZ$13.6 million), net of advance payment of $5.0 million (NZ$7.1 million), as of December 31, 2016 was presented as part of “</w:t>
      </w:r>
      <w:r>
        <w:rPr>
          <w:rFonts w:ascii="Arial" w:cs="Arial" w:eastAsia="Arial" w:hAnsi="Arial"/>
          <w:sz w:val="13"/>
          <w:szCs w:val="13"/>
          <w:i w:val="1"/>
          <w:iCs w:val="1"/>
          <w:color w:val="auto"/>
        </w:rPr>
        <w:t>Other non-current assets</w:t>
      </w:r>
      <w:r>
        <w:rPr>
          <w:rFonts w:ascii="Arial" w:cs="Arial" w:eastAsia="Arial" w:hAnsi="Arial"/>
          <w:sz w:val="13"/>
          <w:szCs w:val="13"/>
          <w:color w:val="auto"/>
        </w:rPr>
        <w:t>” as the timing of the insurance claim receipt was not fixed nor reliably determinable as of the time of our initial assessment.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22 – UNAUDITED QUARTERLY FINANCIAL INFORMATION</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Set forth below is our unaudited quarterly financial information as previously published, and then adjusted for the sales tax prior period correction as described in </w:t>
      </w:r>
      <w:r>
        <w:rPr>
          <w:rFonts w:ascii="Arial" w:cs="Arial" w:eastAsia="Arial" w:hAnsi="Arial"/>
          <w:sz w:val="18"/>
          <w:szCs w:val="18"/>
          <w:i w:val="1"/>
          <w:iCs w:val="1"/>
          <w:color w:val="auto"/>
        </w:rPr>
        <w:t>Note 2 – Summary of Significant Accounting Policies (Prior period financial statement correction of</w:t>
      </w:r>
      <w:r>
        <w:rPr>
          <w:rFonts w:ascii="Arial" w:cs="Arial" w:eastAsia="Arial" w:hAnsi="Arial"/>
          <w:sz w:val="18"/>
          <w:szCs w:val="18"/>
          <w:color w:val="auto"/>
        </w:rPr>
        <w:t xml:space="preserve"> </w:t>
      </w:r>
      <w:r>
        <w:rPr>
          <w:rFonts w:ascii="Arial" w:cs="Arial" w:eastAsia="Arial" w:hAnsi="Arial"/>
          <w:sz w:val="18"/>
          <w:szCs w:val="18"/>
          <w:i w:val="1"/>
          <w:iCs w:val="1"/>
          <w:color w:val="auto"/>
        </w:rPr>
        <w:t>immaterial errors)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Previously published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8"/>
        </w:trPr>
        <w:tc>
          <w:tcPr>
            <w:tcW w:w="4500" w:type="dxa"/>
            <w:vAlign w:val="bottom"/>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97"/>
              </w:rPr>
              <w:t>Quarter (</w:t>
            </w:r>
            <w:r>
              <w:rPr>
                <w:rFonts w:ascii="Arial" w:cs="Arial" w:eastAsia="Arial" w:hAnsi="Arial"/>
                <w:sz w:val="7"/>
                <w:szCs w:val="7"/>
                <w:b w:val="1"/>
                <w:bCs w:val="1"/>
                <w:color w:val="auto"/>
                <w:w w:val="97"/>
              </w:rPr>
              <w:t>1)</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70,456</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68,880</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RDI shareholders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(27,487)</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75,872</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84,262</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74,261</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74,990</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RDI shareholders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447"/>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4"/>
          </w:tcPr>
          <w:p>
            <w:pPr>
              <w:jc w:val="center"/>
              <w:ind w:left="614"/>
              <w:spacing w:after="0"/>
              <w:rPr>
                <w:sz w:val="20"/>
                <w:szCs w:val="20"/>
                <w:color w:val="auto"/>
              </w:rPr>
            </w:pPr>
            <w:r>
              <w:rPr>
                <w:rFonts w:ascii="Arial" w:cs="Arial" w:eastAsia="Arial" w:hAnsi="Arial"/>
                <w:sz w:val="14"/>
                <w:szCs w:val="14"/>
                <w:b w:val="1"/>
                <w:bCs w:val="1"/>
                <w:color w:val="auto"/>
                <w:w w:val="91"/>
              </w:rPr>
              <w:t>Corrections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8"/>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97"/>
              </w:rPr>
              <w:t>Quarter (</w:t>
            </w:r>
            <w:r>
              <w:rPr>
                <w:rFonts w:ascii="Arial" w:cs="Arial" w:eastAsia="Arial" w:hAnsi="Arial"/>
                <w:sz w:val="7"/>
                <w:szCs w:val="7"/>
                <w:b w:val="1"/>
                <w:bCs w:val="1"/>
                <w:color w:val="auto"/>
                <w:w w:val="97"/>
              </w:rPr>
              <w:t>1)</w:t>
            </w:r>
          </w:p>
        </w:tc>
        <w:tc>
          <w:tcPr>
            <w:tcW w:w="0" w:type="dxa"/>
            <w:vAlign w:val="bottom"/>
          </w:tcPr>
          <w:p>
            <w:pPr>
              <w:spacing w:after="0"/>
              <w:rPr>
                <w:sz w:val="1"/>
                <w:szCs w:val="1"/>
                <w:color w:val="auto"/>
              </w:rPr>
            </w:pPr>
          </w:p>
        </w:tc>
      </w:tr>
      <w:tr>
        <w:trPr>
          <w:trHeight w:val="216"/>
        </w:trPr>
        <w:tc>
          <w:tcPr>
            <w:tcW w:w="4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RDI shareholders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RDI shareholders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7"/>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4"/>
          </w:tcPr>
          <w:p>
            <w:pPr>
              <w:jc w:val="center"/>
              <w:ind w:left="614"/>
              <w:spacing w:after="0"/>
              <w:rPr>
                <w:sz w:val="20"/>
                <w:szCs w:val="20"/>
                <w:color w:val="auto"/>
              </w:rPr>
            </w:pPr>
            <w:r>
              <w:rPr>
                <w:rFonts w:ascii="Arial" w:cs="Arial" w:eastAsia="Arial" w:hAnsi="Arial"/>
                <w:sz w:val="14"/>
                <w:szCs w:val="14"/>
                <w:b w:val="1"/>
                <w:bCs w:val="1"/>
                <w:color w:val="auto"/>
                <w:w w:val="89"/>
              </w:rPr>
              <w:t>Revised</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8"/>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w w:val="97"/>
              </w:rPr>
              <w:t>Quarter (</w:t>
            </w:r>
            <w:r>
              <w:rPr>
                <w:rFonts w:ascii="Arial" w:cs="Arial" w:eastAsia="Arial" w:hAnsi="Arial"/>
                <w:sz w:val="7"/>
                <w:szCs w:val="7"/>
                <w:b w:val="1"/>
                <w:bCs w:val="1"/>
                <w:color w:val="auto"/>
                <w:w w:val="97"/>
              </w:rPr>
              <w:t>1)</w:t>
            </w:r>
          </w:p>
        </w:tc>
        <w:tc>
          <w:tcPr>
            <w:tcW w:w="0" w:type="dxa"/>
            <w:vAlign w:val="bottom"/>
          </w:tcPr>
          <w:p>
            <w:pPr>
              <w:spacing w:after="0"/>
              <w:rPr>
                <w:sz w:val="1"/>
                <w:szCs w:val="1"/>
                <w:color w:val="auto"/>
              </w:rPr>
            </w:pPr>
          </w:p>
        </w:tc>
      </w:tr>
      <w:tr>
        <w:trPr>
          <w:trHeight w:val="216"/>
        </w:trPr>
        <w:tc>
          <w:tcPr>
            <w:tcW w:w="4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70,386</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68,880</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RDI shareholders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(27,487)</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74,150</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74,877</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RDI shareholders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hanging="320"/>
        <w:spacing w:after="0"/>
        <w:tabs>
          <w:tab w:leader="none" w:pos="6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Since previously published financial statements have been corrected, there is no impact on the fourth quarter results for 2019 and so no data is displayed here.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23 – 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On January 24, 2020, we exercised the first of our two extension options on the BOTO loan, taking the maturity to December 29, 2020. See </w:t>
      </w:r>
      <w:r>
        <w:rPr>
          <w:rFonts w:ascii="Arial" w:cs="Arial" w:eastAsia="Arial" w:hAnsi="Arial"/>
          <w:sz w:val="18"/>
          <w:szCs w:val="18"/>
          <w:i w:val="1"/>
          <w:iCs w:val="1"/>
          <w:color w:val="auto"/>
        </w:rPr>
        <w:t>Note 10 – Borrowings</w:t>
      </w:r>
      <w:r>
        <w:rPr>
          <w:rFonts w:ascii="Arial" w:cs="Arial" w:eastAsia="Arial" w:hAnsi="Arial"/>
          <w:sz w:val="18"/>
          <w:szCs w:val="18"/>
          <w:color w:val="auto"/>
        </w:rPr>
        <w:t>.</w:t>
      </w:r>
    </w:p>
    <w:p>
      <w:pPr>
        <w:spacing w:after="0" w:line="3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On March 6, 2020, we refinanced our Bank of America revolving credit facility. The refinancing retains the facility limit of $55.0 million and extends the maturity date to March 6, 2023. See </w:t>
      </w:r>
      <w:r>
        <w:rPr>
          <w:rFonts w:ascii="Arial" w:cs="Arial" w:eastAsia="Arial" w:hAnsi="Arial"/>
          <w:sz w:val="18"/>
          <w:szCs w:val="18"/>
          <w:i w:val="1"/>
          <w:iCs w:val="1"/>
          <w:color w:val="auto"/>
        </w:rPr>
        <w:t>Note 10 – Borrowings</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616" w:right="979" w:bottom="1440" w:gutter="0" w:footer="0" w:header="0"/>
        </w:sectPr>
      </w:pPr>
    </w:p>
    <w:bookmarkStart w:id="118" w:name="page119"/>
    <w:bookmarkEnd w:id="118"/>
    <w:p>
      <w:pPr>
        <w:ind w:right="420"/>
        <w:spacing w:after="0" w:line="277" w:lineRule="auto"/>
        <w:rPr>
          <w:sz w:val="20"/>
          <w:szCs w:val="20"/>
          <w:color w:val="auto"/>
        </w:rPr>
      </w:pPr>
      <w:r>
        <w:rPr>
          <w:rFonts w:ascii="Arial" w:cs="Arial" w:eastAsia="Arial" w:hAnsi="Arial"/>
          <w:sz w:val="18"/>
          <w:szCs w:val="18"/>
          <w:color w:val="auto"/>
        </w:rPr>
        <w:t xml:space="preserve">On March 10, 2020, our Board of Directors authorized a $25.0 million increase to our Stock Repurchase Program and extended it to March 2, 2022. See </w:t>
      </w:r>
      <w:r>
        <w:rPr>
          <w:rFonts w:ascii="Arial" w:cs="Arial" w:eastAsia="Arial" w:hAnsi="Arial"/>
          <w:sz w:val="18"/>
          <w:szCs w:val="18"/>
          <w:i w:val="1"/>
          <w:iCs w:val="1"/>
          <w:color w:val="auto"/>
        </w:rPr>
        <w:t>Note 10 – Borrowings.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11, 2020, the World Health Organization characterized the novel COVID-19 virus as a global pandemic. There is significant uncertainty as to the likely effects of this disease which may, among other things, materially reduce attendance at our cinemas and ETCs as instances of public gatherings decline. At the current time, we are unable to quantify the potential effects of this pandemic on our future financial statements.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On March 12, 2020, we amended the Village East original purchase option agreement to extend the term of the lease to January 31, 2022 and extend the put option to December 4, 2021 as detailed at </w:t>
      </w:r>
      <w:r>
        <w:rPr>
          <w:rFonts w:ascii="Arial" w:cs="Arial" w:eastAsia="Arial" w:hAnsi="Arial"/>
          <w:sz w:val="18"/>
          <w:szCs w:val="18"/>
          <w:i w:val="1"/>
          <w:iCs w:val="1"/>
          <w:color w:val="auto"/>
        </w:rPr>
        <w:t>Note 11 – Pension and Other Liabilities</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March 13, 2020, we refinanced our Cinemas 1,2,3 Term Loan and Line of Credit loan with Valley National Bank. The new loan, also with Valley National Bank, is a term loan of $25.0 million with a maturity date of April 1, 2022 and two six-month options to extend. The new term loan bears an interest rate of 4.25%. See </w:t>
      </w:r>
      <w:r>
        <w:rPr>
          <w:rFonts w:ascii="Arial" w:cs="Arial" w:eastAsia="Arial" w:hAnsi="Arial"/>
          <w:sz w:val="18"/>
          <w:szCs w:val="18"/>
          <w:i w:val="1"/>
          <w:iCs w:val="1"/>
          <w:color w:val="auto"/>
        </w:rPr>
        <w:t>Note 10 – Borrowings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u w:val="single" w:color="auto"/>
          <w:color w:val="auto"/>
        </w:rPr>
        <w:t>Schedule II – Valuation and Qualifying Accounts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Increase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2019</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129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2017</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Tax valuation allowance</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2019</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129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6,870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2017</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4"/>
              <w:spacing w:after="0"/>
              <w:rPr>
                <w:sz w:val="20"/>
                <w:szCs w:val="20"/>
                <w:color w:val="auto"/>
              </w:rPr>
            </w:pPr>
            <w:r>
              <w:rPr>
                <w:rFonts w:ascii="Arial" w:cs="Arial" w:eastAsia="Arial" w:hAnsi="Arial"/>
                <w:sz w:val="18"/>
                <w:szCs w:val="18"/>
                <w:color w:val="auto"/>
              </w:rPr>
              <w:t>119 -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328" w:right="959" w:bottom="1440" w:gutter="0" w:footer="0" w:header="0"/>
        </w:sectPr>
      </w:pPr>
    </w:p>
    <w:bookmarkStart w:id="120" w:name="page121"/>
    <w:bookmarkEnd w:id="120"/>
    <w:p>
      <w:pPr>
        <w:spacing w:after="0"/>
        <w:rPr>
          <w:sz w:val="20"/>
          <w:szCs w:val="20"/>
          <w:color w:val="auto"/>
        </w:rPr>
      </w:pPr>
      <w:r>
        <w:rPr>
          <w:rFonts w:ascii="Arial" w:cs="Arial" w:eastAsia="Arial" w:hAnsi="Arial"/>
          <w:sz w:val="21"/>
          <w:szCs w:val="21"/>
          <w:b w:val="1"/>
          <w:bCs w:val="1"/>
          <w:u w:val="single" w:color="auto"/>
          <w:color w:val="auto"/>
        </w:rPr>
        <w:t>Item 9 – Change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9A –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 and Attestation of Registered Public Accounting Firm</w:t>
      </w:r>
    </w:p>
    <w:p>
      <w:pPr>
        <w:spacing w:after="0" w:line="23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Our management’s report on internal control over financial reporting and our registered public accounting firm’s audit report on the effectiveness of our internal control over financial reporting are included in Part II,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 of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13a-15(e) and 15d – 15(e) as of the end of the period covered by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fourth quarter of the period covered by this report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14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328" w:right="101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25"/>
          <w:szCs w:val="25"/>
          <w:b w:val="1"/>
          <w:bCs w:val="1"/>
          <w:u w:val="single" w:color="auto"/>
          <w:color w:val="auto"/>
        </w:rPr>
        <w:t>PART III</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10, 11, 12, 13 and 14</w:t>
      </w:r>
    </w:p>
    <w:p>
      <w:pPr>
        <w:spacing w:after="0" w:line="2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Information required by Part III (Items 10, 11, 12, 13 and 14) of this Form 10-K is hereby incorporated by reference from Reading International, Inc.’s definitive Proxy Statement for its 2020 Annual Meeting of Stockholders, which the company intends to be filed with the Securities and Exchange Commission, pursuant to Regulation 14A, not later than 120 days after the end of the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securities authorized for issuance under our equity compensation plans: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Weighted-average exercise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40" w:type="dxa"/>
            <w:vAlign w:val="bottom"/>
          </w:tcPr>
          <w:p>
            <w:pPr>
              <w:spacing w:after="0"/>
              <w:rPr>
                <w:sz w:val="12"/>
                <w:szCs w:val="12"/>
                <w:color w:val="auto"/>
              </w:rPr>
            </w:pPr>
          </w:p>
        </w:tc>
        <w:tc>
          <w:tcPr>
            <w:tcW w:w="1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0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 rights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200" w:type="dxa"/>
            <w:vAlign w:val="bottom"/>
          </w:tcPr>
          <w:p>
            <w:pPr>
              <w:spacing w:after="0"/>
              <w:rPr>
                <w:sz w:val="20"/>
                <w:szCs w:val="20"/>
                <w:color w:val="auto"/>
              </w:rPr>
            </w:pPr>
            <w:r>
              <w:rPr>
                <w:rFonts w:ascii="Arial" w:cs="Arial" w:eastAsia="Arial" w:hAnsi="Arial"/>
                <w:sz w:val="18"/>
                <w:szCs w:val="18"/>
                <w:b w:val="1"/>
                <w:bCs w:val="1"/>
                <w:color w:val="auto"/>
                <w:w w:val="99"/>
              </w:rPr>
              <w:t>Equity compensation plans approved by security</w:t>
            </w:r>
          </w:p>
        </w:tc>
        <w:tc>
          <w:tcPr>
            <w:tcW w:w="5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holders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295,549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15.03</w:t>
            </w: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1,006,926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778,304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780" w:type="dxa"/>
            <w:vAlign w:val="bottom"/>
            <w:gridSpan w:val="2"/>
          </w:tcPr>
          <w:p>
            <w:pPr>
              <w:ind w:left="46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0"/>
              <w:spacing w:after="0"/>
              <w:rPr>
                <w:sz w:val="20"/>
                <w:szCs w:val="20"/>
                <w:color w:val="auto"/>
              </w:rPr>
            </w:pPr>
            <w:r>
              <w:rPr>
                <w:rFonts w:ascii="Arial" w:cs="Arial" w:eastAsia="Arial" w:hAnsi="Arial"/>
                <w:sz w:val="18"/>
                <w:szCs w:val="18"/>
                <w:color w:val="auto"/>
              </w:rPr>
              <w:t>121 -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333" w:right="959" w:bottom="1440" w:gutter="0" w:footer="0" w:header="0"/>
        </w:sectPr>
      </w:pPr>
    </w:p>
    <w:bookmarkStart w:id="122" w:name="page123"/>
    <w:bookmarkEnd w:id="122"/>
    <w:p>
      <w:pPr>
        <w:ind w:left="4460"/>
        <w:spacing w:after="0"/>
        <w:rPr>
          <w:sz w:val="20"/>
          <w:szCs w:val="20"/>
          <w:color w:val="auto"/>
        </w:rPr>
      </w:pPr>
      <w:r>
        <w:rPr>
          <w:rFonts w:ascii="Arial" w:cs="Arial" w:eastAsia="Arial" w:hAnsi="Arial"/>
          <w:sz w:val="25"/>
          <w:szCs w:val="25"/>
          <w:b w:val="1"/>
          <w:bCs w:val="1"/>
          <w:u w:val="single" w:color="auto"/>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15 – Exhibits, Financial Statement Schedules</w:t>
      </w:r>
    </w:p>
    <w:p>
      <w:pPr>
        <w:spacing w:after="0" w:line="219" w:lineRule="exact"/>
        <w:rPr>
          <w:sz w:val="20"/>
          <w:szCs w:val="20"/>
          <w:color w:val="auto"/>
        </w:rPr>
      </w:pPr>
    </w:p>
    <w:p>
      <w:pPr>
        <w:ind w:left="320" w:right="5180"/>
        <w:spacing w:after="0" w:line="500" w:lineRule="auto"/>
        <w:tabs>
          <w:tab w:leader="none" w:pos="60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following documents are filed as a part of this report: 1. </w:t>
      </w:r>
      <w:r>
        <w:rPr>
          <w:rFonts w:ascii="Arial" w:cs="Arial" w:eastAsia="Arial" w:hAnsi="Arial"/>
          <w:sz w:val="18"/>
          <w:szCs w:val="18"/>
          <w:i w:val="1"/>
          <w:iCs w:val="1"/>
          <w:color w:val="auto"/>
        </w:rPr>
        <w:t>Financial Statements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The following financial statements are filed as part of Part II, Item 8 –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in this</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Annual Report on Form 10-K, as summarized below:</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gridSpan w:val="15"/>
          </w:tcPr>
          <w:p>
            <w:pPr>
              <w:ind w:left="120"/>
              <w:spacing w:after="0"/>
              <w:rPr>
                <w:sz w:val="20"/>
                <w:szCs w:val="20"/>
                <w:color w:val="auto"/>
              </w:rPr>
            </w:pPr>
            <w:r>
              <w:rPr>
                <w:rFonts w:ascii="Arial" w:cs="Arial" w:eastAsia="Arial" w:hAnsi="Arial"/>
                <w:sz w:val="14"/>
                <w:szCs w:val="14"/>
                <w:b w:val="1"/>
                <w:bCs w:val="1"/>
                <w:color w:val="auto"/>
              </w:rPr>
              <w:t>Description</w:t>
            </w:r>
          </w:p>
        </w:tc>
        <w:tc>
          <w:tcPr>
            <w:tcW w:w="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169"/>
        </w:trPr>
        <w:tc>
          <w:tcPr>
            <w:tcW w:w="9420" w:type="dxa"/>
            <w:vAlign w:val="bottom"/>
            <w:tcBorders>
              <w:right w:val="single" w:sz="8" w:color="CCEEFF"/>
            </w:tcBorders>
            <w:gridSpan w:val="15"/>
            <w:shd w:val="clear" w:color="auto" w:fill="CCEEFF"/>
          </w:tcPr>
          <w:p>
            <w:pPr>
              <w:ind w:left="120"/>
              <w:spacing w:after="0" w:line="169" w:lineRule="exact"/>
              <w:rPr>
                <w:rFonts w:ascii="Arial" w:cs="Arial" w:eastAsia="Arial" w:hAnsi="Arial"/>
                <w:sz w:val="18"/>
                <w:szCs w:val="18"/>
                <w:color w:val="0000EE"/>
              </w:rPr>
            </w:pPr>
            <w:hyperlink w:anchor="page69">
              <w:r>
                <w:rPr>
                  <w:rFonts w:ascii="Arial" w:cs="Arial" w:eastAsia="Arial" w:hAnsi="Arial"/>
                  <w:sz w:val="18"/>
                  <w:szCs w:val="18"/>
                  <w:color w:val="0000EE"/>
                </w:rPr>
                <w:t>Management’s Report on Internal Control over Financial Reporting</w:t>
              </w:r>
            </w:hyperlink>
          </w:p>
        </w:tc>
        <w:tc>
          <w:tcPr>
            <w:tcW w:w="2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9"/>
              </w:rPr>
              <w:t>68</w:t>
            </w:r>
          </w:p>
        </w:tc>
        <w:tc>
          <w:tcPr>
            <w:tcW w:w="240" w:type="dxa"/>
            <w:vAlign w:val="bottom"/>
            <w:tcBorders>
              <w:left w:val="single" w:sz="8" w:color="CCEEFF"/>
            </w:tcBorders>
            <w:shd w:val="clear" w:color="auto" w:fill="CCEEFF"/>
          </w:tcPr>
          <w:p>
            <w:pPr>
              <w:spacing w:after="0"/>
              <w:rPr>
                <w:sz w:val="14"/>
                <w:szCs w:val="14"/>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76"/>
        </w:trPr>
        <w:tc>
          <w:tcPr>
            <w:tcW w:w="9420" w:type="dxa"/>
            <w:vAlign w:val="bottom"/>
            <w:gridSpan w:val="15"/>
          </w:tcPr>
          <w:p>
            <w:pPr>
              <w:ind w:left="12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 (Consolidated Financial Statements)</w:t>
              </w:r>
            </w:hyperlink>
          </w:p>
        </w:tc>
        <w:tc>
          <w:tcPr>
            <w:tcW w:w="280" w:type="dxa"/>
            <w:vAlign w:val="bottom"/>
          </w:tcPr>
          <w:p>
            <w:pPr>
              <w:jc w:val="center"/>
              <w:spacing w:after="0" w:line="176" w:lineRule="exact"/>
              <w:rPr>
                <w:sz w:val="20"/>
                <w:szCs w:val="20"/>
                <w:color w:val="auto"/>
              </w:rPr>
            </w:pPr>
            <w:r>
              <w:rPr>
                <w:rFonts w:ascii="Arial" w:cs="Arial" w:eastAsia="Arial" w:hAnsi="Arial"/>
                <w:sz w:val="18"/>
                <w:szCs w:val="18"/>
                <w:color w:val="auto"/>
                <w:w w:val="89"/>
              </w:rPr>
              <w:t>69</w:t>
            </w:r>
          </w:p>
        </w:tc>
        <w:tc>
          <w:tcPr>
            <w:tcW w:w="24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9420" w:type="dxa"/>
            <w:vAlign w:val="bottom"/>
            <w:tcBorders>
              <w:right w:val="single" w:sz="8" w:color="CCEEFF"/>
            </w:tcBorders>
            <w:gridSpan w:val="15"/>
            <w:shd w:val="clear" w:color="auto" w:fill="CCEEFF"/>
          </w:tcPr>
          <w:p>
            <w:pPr>
              <w:ind w:left="12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Report of Independent Registered Public Accounting Firm (Internal Control over Financial Reporting)</w:t>
              </w:r>
            </w:hyperlink>
          </w:p>
        </w:tc>
        <w:tc>
          <w:tcPr>
            <w:tcW w:w="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c>
          <w:tcPr>
            <w:tcW w:w="240" w:type="dxa"/>
            <w:vAlign w:val="bottom"/>
            <w:tcBorders>
              <w:left w:val="single" w:sz="8" w:color="CCEEFF"/>
            </w:tcBorders>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75"/>
        </w:trPr>
        <w:tc>
          <w:tcPr>
            <w:tcW w:w="9420" w:type="dxa"/>
            <w:vAlign w:val="bottom"/>
            <w:gridSpan w:val="15"/>
          </w:tcPr>
          <w:p>
            <w:pPr>
              <w:ind w:left="1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Balance Sheets as of December 31, 2019 and 2018</w:t>
              </w:r>
            </w:hyperlink>
          </w:p>
        </w:tc>
        <w:tc>
          <w:tcPr>
            <w:tcW w:w="280" w:type="dxa"/>
            <w:vAlign w:val="bottom"/>
          </w:tcPr>
          <w:p>
            <w:pPr>
              <w:jc w:val="center"/>
              <w:spacing w:after="0" w:line="176" w:lineRule="exact"/>
              <w:rPr>
                <w:sz w:val="20"/>
                <w:szCs w:val="20"/>
                <w:color w:val="auto"/>
              </w:rPr>
            </w:pPr>
            <w:r>
              <w:rPr>
                <w:rFonts w:ascii="Arial" w:cs="Arial" w:eastAsia="Arial" w:hAnsi="Arial"/>
                <w:sz w:val="18"/>
                <w:szCs w:val="18"/>
                <w:color w:val="auto"/>
                <w:w w:val="89"/>
              </w:rPr>
              <w:t>71</w:t>
            </w:r>
          </w:p>
        </w:tc>
        <w:tc>
          <w:tcPr>
            <w:tcW w:w="24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9420" w:type="dxa"/>
            <w:vAlign w:val="bottom"/>
            <w:tcBorders>
              <w:right w:val="single" w:sz="8" w:color="CCEEFF"/>
            </w:tcBorders>
            <w:gridSpan w:val="15"/>
            <w:shd w:val="clear" w:color="auto" w:fill="CCEEFF"/>
          </w:tcPr>
          <w:p>
            <w:pPr>
              <w:ind w:left="1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Income for the Three Years Ended December 31, 2019</w:t>
              </w:r>
            </w:hyperlink>
          </w:p>
        </w:tc>
        <w:tc>
          <w:tcPr>
            <w:tcW w:w="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c>
          <w:tcPr>
            <w:tcW w:w="240" w:type="dxa"/>
            <w:vAlign w:val="bottom"/>
            <w:tcBorders>
              <w:left w:val="single" w:sz="8" w:color="CCEEFF"/>
            </w:tcBorders>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76"/>
        </w:trPr>
        <w:tc>
          <w:tcPr>
            <w:tcW w:w="9420" w:type="dxa"/>
            <w:vAlign w:val="bottom"/>
            <w:gridSpan w:val="15"/>
          </w:tcPr>
          <w:p>
            <w:pPr>
              <w:ind w:left="1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Comprehensive Income for the Three Years Ended December 31, 2019</w:t>
              </w:r>
            </w:hyperlink>
          </w:p>
        </w:tc>
        <w:tc>
          <w:tcPr>
            <w:tcW w:w="28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c>
          <w:tcPr>
            <w:tcW w:w="24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9420" w:type="dxa"/>
            <w:vAlign w:val="bottom"/>
            <w:tcBorders>
              <w:right w:val="single" w:sz="8" w:color="CCEEFF"/>
            </w:tcBorders>
            <w:gridSpan w:val="15"/>
            <w:shd w:val="clear" w:color="auto" w:fill="CCEEFF"/>
          </w:tcPr>
          <w:p>
            <w:pPr>
              <w:ind w:left="12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Stockholders’ Equity for the Three Years Ended December 31, 2019</w:t>
              </w:r>
            </w:hyperlink>
          </w:p>
        </w:tc>
        <w:tc>
          <w:tcPr>
            <w:tcW w:w="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c>
          <w:tcPr>
            <w:tcW w:w="240" w:type="dxa"/>
            <w:vAlign w:val="bottom"/>
            <w:tcBorders>
              <w:left w:val="single" w:sz="8" w:color="CCEEFF"/>
            </w:tcBorders>
            <w:shd w:val="clear" w:color="auto" w:fill="CCEEFF"/>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76"/>
        </w:trPr>
        <w:tc>
          <w:tcPr>
            <w:tcW w:w="9420" w:type="dxa"/>
            <w:vAlign w:val="bottom"/>
            <w:gridSpan w:val="15"/>
          </w:tcPr>
          <w:p>
            <w:pPr>
              <w:ind w:left="1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 for the Three Years Ended December 31, 2019</w:t>
              </w:r>
            </w:hyperlink>
          </w:p>
        </w:tc>
        <w:tc>
          <w:tcPr>
            <w:tcW w:w="28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c>
          <w:tcPr>
            <w:tcW w:w="24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9420" w:type="dxa"/>
            <w:vAlign w:val="bottom"/>
            <w:tcBorders>
              <w:right w:val="single" w:sz="8" w:color="CCEEFF"/>
            </w:tcBorders>
            <w:gridSpan w:val="15"/>
            <w:shd w:val="clear" w:color="auto" w:fill="CCEEFF"/>
          </w:tcPr>
          <w:p>
            <w:pPr>
              <w:ind w:left="12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76</w:t>
            </w:r>
          </w:p>
        </w:tc>
        <w:tc>
          <w:tcPr>
            <w:tcW w:w="240" w:type="dxa"/>
            <w:vAlign w:val="bottom"/>
            <w:tcBorders>
              <w:left w:val="single" w:sz="8" w:color="CCEEFF"/>
            </w:tcBorders>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418"/>
        </w:trPr>
        <w:tc>
          <w:tcPr>
            <w:tcW w:w="1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8"/>
                <w:szCs w:val="18"/>
                <w:i w:val="1"/>
                <w:iCs w:val="1"/>
                <w:color w:val="auto"/>
              </w:rPr>
              <w:t>2.</w:t>
            </w:r>
          </w:p>
        </w:tc>
        <w:tc>
          <w:tcPr>
            <w:tcW w:w="8880" w:type="dxa"/>
            <w:vAlign w:val="bottom"/>
            <w:gridSpan w:val="13"/>
          </w:tcPr>
          <w:p>
            <w:pPr>
              <w:spacing w:after="0"/>
              <w:rPr>
                <w:sz w:val="20"/>
                <w:szCs w:val="20"/>
                <w:color w:val="auto"/>
              </w:rPr>
            </w:pPr>
            <w:r>
              <w:rPr>
                <w:rFonts w:ascii="Arial" w:cs="Arial" w:eastAsia="Arial" w:hAnsi="Arial"/>
                <w:sz w:val="18"/>
                <w:szCs w:val="18"/>
                <w:i w:val="1"/>
                <w:iCs w:val="1"/>
                <w:color w:val="auto"/>
              </w:rPr>
              <w:t>Financial Statements and Schedules for the years ended December 31, 2019, 2018, and 2017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9"/>
        </w:trPr>
        <w:tc>
          <w:tcPr>
            <w:tcW w:w="9420" w:type="dxa"/>
            <w:vAlign w:val="bottom"/>
            <w:gridSpan w:val="15"/>
          </w:tcPr>
          <w:p>
            <w:pPr>
              <w:ind w:left="120"/>
              <w:spacing w:after="0"/>
              <w:rPr>
                <w:sz w:val="20"/>
                <w:szCs w:val="20"/>
                <w:color w:val="auto"/>
              </w:rPr>
            </w:pPr>
            <w:r>
              <w:rPr>
                <w:rFonts w:ascii="Arial" w:cs="Arial" w:eastAsia="Arial" w:hAnsi="Arial"/>
                <w:sz w:val="14"/>
                <w:szCs w:val="14"/>
                <w:b w:val="1"/>
                <w:bCs w:val="1"/>
                <w:color w:val="auto"/>
              </w:rPr>
              <w:t>Description</w:t>
            </w:r>
          </w:p>
        </w:tc>
        <w:tc>
          <w:tcPr>
            <w:tcW w:w="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9420" w:type="dxa"/>
            <w:vAlign w:val="bottom"/>
            <w:tcBorders>
              <w:right w:val="single" w:sz="8" w:color="CCEEFF"/>
            </w:tcBorders>
            <w:gridSpan w:val="15"/>
            <w:shd w:val="clear" w:color="auto" w:fill="CCEEFF"/>
          </w:tcPr>
          <w:p>
            <w:pPr>
              <w:ind w:left="120"/>
              <w:spacing w:after="0" w:line="169" w:lineRule="exact"/>
              <w:rPr>
                <w:rFonts w:ascii="Arial" w:cs="Arial" w:eastAsia="Arial" w:hAnsi="Arial"/>
                <w:sz w:val="18"/>
                <w:szCs w:val="18"/>
                <w:color w:val="0000EE"/>
              </w:rPr>
            </w:pPr>
            <w:hyperlink w:anchor="page120">
              <w:r>
                <w:rPr>
                  <w:rFonts w:ascii="Arial" w:cs="Arial" w:eastAsia="Arial" w:hAnsi="Arial"/>
                  <w:sz w:val="18"/>
                  <w:szCs w:val="18"/>
                  <w:color w:val="0000EE"/>
                </w:rPr>
                <w:t>Schedule II – Valuation and Qualifying Accounts</w:t>
              </w:r>
            </w:hyperlink>
          </w:p>
        </w:tc>
        <w:tc>
          <w:tcPr>
            <w:tcW w:w="2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6"/>
              </w:rPr>
              <w:t>119</w:t>
            </w:r>
          </w:p>
        </w:tc>
        <w:tc>
          <w:tcPr>
            <w:tcW w:w="240" w:type="dxa"/>
            <w:vAlign w:val="bottom"/>
            <w:tcBorders>
              <w:left w:val="single" w:sz="8" w:color="CCEEFF"/>
            </w:tcBorders>
            <w:shd w:val="clear" w:color="auto" w:fill="CCEEFF"/>
          </w:tcPr>
          <w:p>
            <w:pPr>
              <w:spacing w:after="0"/>
              <w:rPr>
                <w:sz w:val="16"/>
                <w:szCs w:val="16"/>
                <w:color w:val="auto"/>
              </w:rPr>
            </w:pPr>
          </w:p>
        </w:tc>
      </w:tr>
      <w:tr>
        <w:trPr>
          <w:trHeight w:val="392"/>
        </w:trPr>
        <w:tc>
          <w:tcPr>
            <w:tcW w:w="120" w:type="dxa"/>
            <w:vAlign w:val="bottom"/>
            <w:tcBorders>
              <w:top w:val="single" w:sz="8" w:color="CCEEFF"/>
            </w:tcBorders>
          </w:tcPr>
          <w:p>
            <w:pPr>
              <w:spacing w:after="0"/>
              <w:rPr>
                <w:sz w:val="24"/>
                <w:szCs w:val="24"/>
                <w:color w:val="auto"/>
              </w:rPr>
            </w:pPr>
          </w:p>
        </w:tc>
        <w:tc>
          <w:tcPr>
            <w:tcW w:w="420" w:type="dxa"/>
            <w:vAlign w:val="bottom"/>
            <w:tcBorders>
              <w:top w:val="single" w:sz="8" w:color="0000EE"/>
            </w:tcBorders>
          </w:tcPr>
          <w:p>
            <w:pPr>
              <w:ind w:left="200"/>
              <w:spacing w:after="0"/>
              <w:rPr>
                <w:sz w:val="20"/>
                <w:szCs w:val="20"/>
                <w:color w:val="auto"/>
              </w:rPr>
            </w:pPr>
            <w:r>
              <w:rPr>
                <w:rFonts w:ascii="Arial" w:cs="Arial" w:eastAsia="Arial" w:hAnsi="Arial"/>
                <w:sz w:val="18"/>
                <w:szCs w:val="18"/>
                <w:color w:val="auto"/>
              </w:rPr>
              <w:t>3.</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i w:val="1"/>
                <w:iCs w:val="1"/>
                <w:color w:val="0000EE"/>
                <w:w w:val="91"/>
              </w:rPr>
            </w:pPr>
            <w:hyperlink w:anchor="page124">
              <w:r>
                <w:rPr>
                  <w:rFonts w:ascii="Arial" w:cs="Arial" w:eastAsia="Arial" w:hAnsi="Arial"/>
                  <w:sz w:val="18"/>
                  <w:szCs w:val="18"/>
                  <w:i w:val="1"/>
                  <w:iCs w:val="1"/>
                  <w:color w:val="0000EE"/>
                  <w:w w:val="91"/>
                </w:rPr>
                <w:t>Exhibits</w:t>
              </w:r>
            </w:hyperlink>
          </w:p>
        </w:tc>
        <w:tc>
          <w:tcPr>
            <w:tcW w:w="2520" w:type="dxa"/>
            <w:vAlign w:val="bottom"/>
            <w:tcBorders>
              <w:top w:val="single" w:sz="8" w:color="0000EE"/>
            </w:tcBorders>
            <w:gridSpan w:val="2"/>
          </w:tcPr>
          <w:p>
            <w:pPr>
              <w:spacing w:after="0"/>
              <w:rPr>
                <w:sz w:val="24"/>
                <w:szCs w:val="24"/>
                <w:color w:val="auto"/>
              </w:rPr>
            </w:pPr>
          </w:p>
        </w:tc>
        <w:tc>
          <w:tcPr>
            <w:tcW w:w="5760" w:type="dxa"/>
            <w:vAlign w:val="bottom"/>
            <w:tcBorders>
              <w:top w:val="single" w:sz="8" w:color="CCEEFF"/>
            </w:tcBorders>
            <w:gridSpan w:val="9"/>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453"/>
        </w:trPr>
        <w:tc>
          <w:tcPr>
            <w:tcW w:w="1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w w:val="90"/>
              </w:rPr>
              <w:t>(b)</w:t>
            </w:r>
          </w:p>
        </w:tc>
        <w:tc>
          <w:tcPr>
            <w:tcW w:w="8880" w:type="dxa"/>
            <w:vAlign w:val="bottom"/>
            <w:gridSpan w:val="13"/>
          </w:tcPr>
          <w:p>
            <w:pPr>
              <w:ind w:left="80"/>
              <w:spacing w:after="0"/>
              <w:rPr>
                <w:sz w:val="20"/>
                <w:szCs w:val="20"/>
                <w:color w:val="auto"/>
              </w:rPr>
            </w:pPr>
            <w:r>
              <w:rPr>
                <w:rFonts w:ascii="Arial" w:cs="Arial" w:eastAsia="Arial" w:hAnsi="Arial"/>
                <w:sz w:val="18"/>
                <w:szCs w:val="18"/>
                <w:color w:val="auto"/>
              </w:rPr>
              <w:t>Exhibits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(a) 3. above.</w:t>
      </w:r>
    </w:p>
    <w:p>
      <w:pPr>
        <w:spacing w:after="0" w:line="225" w:lineRule="exact"/>
        <w:rPr>
          <w:sz w:val="20"/>
          <w:szCs w:val="20"/>
          <w:color w:val="auto"/>
        </w:rPr>
      </w:pPr>
    </w:p>
    <w:p>
      <w:pPr>
        <w:ind w:left="320" w:right="7200"/>
        <w:spacing w:after="0" w:line="623" w:lineRule="auto"/>
        <w:tabs>
          <w:tab w:leader="none" w:pos="61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Financial Statement Schedule See Item (a) 2.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33" w:right="979" w:bottom="1440" w:gutter="0" w:footer="0" w:header="0"/>
        </w:sectPr>
      </w:pPr>
    </w:p>
    <w:bookmarkStart w:id="123" w:name="page124"/>
    <w:bookmarkEnd w:id="123"/>
    <w:p>
      <w:pPr>
        <w:jc w:val="center"/>
        <w:ind w:right="-319"/>
        <w:spacing w:after="0"/>
        <w:rPr>
          <w:sz w:val="20"/>
          <w:szCs w:val="20"/>
          <w:color w:val="auto"/>
        </w:rPr>
      </w:pPr>
      <w:r>
        <w:rPr>
          <w:rFonts w:ascii="Arial" w:cs="Arial" w:eastAsia="Arial" w:hAnsi="Arial"/>
          <w:sz w:val="25"/>
          <w:szCs w:val="25"/>
          <w:b w:val="1"/>
          <w:bCs w:val="1"/>
          <w:u w:val="single" w:color="auto"/>
          <w:color w:val="auto"/>
        </w:rPr>
        <w:t>EXHIBITS</w:t>
      </w:r>
    </w:p>
    <w:p>
      <w:pPr>
        <w:spacing w:after="0" w:line="13" w:lineRule="exact"/>
        <w:rPr>
          <w:sz w:val="20"/>
          <w:szCs w:val="20"/>
          <w:color w:val="auto"/>
        </w:rPr>
      </w:pPr>
    </w:p>
    <w:p>
      <w:pPr>
        <w:ind w:left="2460" w:hanging="109"/>
        <w:spacing w:after="0"/>
        <w:tabs>
          <w:tab w:leader="none" w:pos="2460" w:val="left"/>
        </w:tabs>
        <w:numPr>
          <w:ilvl w:val="1"/>
          <w:numId w:val="183"/>
        </w:numPr>
        <w:rPr>
          <w:rFonts w:ascii="Arial" w:cs="Arial" w:eastAsia="Arial" w:hAnsi="Arial"/>
          <w:sz w:val="14"/>
          <w:szCs w:val="14"/>
          <w:i w:val="1"/>
          <w:iCs w:val="1"/>
          <w:color w:val="auto"/>
        </w:rPr>
      </w:pPr>
      <w:r>
        <w:rPr>
          <w:rFonts w:ascii="Arial" w:cs="Arial" w:eastAsia="Arial" w:hAnsi="Arial"/>
          <w:sz w:val="14"/>
          <w:szCs w:val="14"/>
          <w:i w:val="1"/>
          <w:iCs w:val="1"/>
          <w:color w:val="auto"/>
        </w:rPr>
        <w:t>These exhibits constitute the executive compensation plans and arrangements of the Company.</w:t>
      </w:r>
    </w:p>
    <w:p>
      <w:pPr>
        <w:ind w:left="1980" w:hanging="128"/>
        <w:spacing w:after="0"/>
        <w:tabs>
          <w:tab w:leader="none" w:pos="1980" w:val="left"/>
        </w:tabs>
        <w:numPr>
          <w:ilvl w:val="0"/>
          <w:numId w:val="183"/>
        </w:numPr>
        <w:rPr>
          <w:rFonts w:ascii="Arial" w:cs="Arial" w:eastAsia="Arial" w:hAnsi="Arial"/>
          <w:sz w:val="14"/>
          <w:szCs w:val="14"/>
          <w:i w:val="1"/>
          <w:iCs w:val="1"/>
          <w:color w:val="auto"/>
        </w:rPr>
      </w:pPr>
      <w:r>
        <w:rPr>
          <w:rFonts w:ascii="Arial" w:cs="Arial" w:eastAsia="Arial" w:hAnsi="Arial"/>
          <w:sz w:val="14"/>
          <w:szCs w:val="14"/>
          <w:i w:val="1"/>
          <w:iCs w:val="1"/>
          <w:color w:val="auto"/>
        </w:rPr>
        <w:t>These exhibits are filed as part of this Form 10-K Filing. Links are included within the “</w:t>
      </w:r>
      <w:r>
        <w:rPr>
          <w:rFonts w:ascii="Arial" w:cs="Arial" w:eastAsia="Arial" w:hAnsi="Arial"/>
          <w:sz w:val="14"/>
          <w:szCs w:val="14"/>
          <w:b w:val="1"/>
          <w:bCs w:val="1"/>
          <w:color w:val="auto"/>
        </w:rPr>
        <w:t>Description</w:t>
      </w:r>
      <w:r>
        <w:rPr>
          <w:rFonts w:ascii="Arial" w:cs="Arial" w:eastAsia="Arial" w:hAnsi="Arial"/>
          <w:sz w:val="14"/>
          <w:szCs w:val="14"/>
          <w:i w:val="1"/>
          <w:iCs w:val="1"/>
          <w:color w:val="auto"/>
        </w:rPr>
        <w:t>” column.</w:t>
      </w:r>
    </w:p>
    <w:p>
      <w:pPr>
        <w:ind w:left="1600" w:hanging="88"/>
        <w:spacing w:after="0" w:line="229" w:lineRule="auto"/>
        <w:tabs>
          <w:tab w:leader="none" w:pos="1600" w:val="left"/>
        </w:tabs>
        <w:numPr>
          <w:ilvl w:val="0"/>
          <w:numId w:val="184"/>
        </w:numPr>
        <w:rPr>
          <w:rFonts w:ascii="Arial" w:cs="Arial" w:eastAsia="Arial" w:hAnsi="Arial"/>
          <w:sz w:val="18"/>
          <w:szCs w:val="18"/>
          <w:color w:val="auto"/>
          <w:vertAlign w:val="superscript"/>
        </w:rPr>
      </w:pPr>
      <w:r>
        <w:rPr>
          <w:rFonts w:ascii="Arial" w:cs="Arial" w:eastAsia="Arial" w:hAnsi="Arial"/>
          <w:sz w:val="14"/>
          <w:szCs w:val="14"/>
          <w:i w:val="1"/>
          <w:iCs w:val="1"/>
          <w:color w:val="auto"/>
        </w:rPr>
        <w:t>Included is the amended and restated version of this exhibit, redlined to show the amendment adopted on November 7, 2017</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48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40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Links for Exhibits Incorporated by Reference</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4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jc w:val="center"/>
              <w:ind w:left="5"/>
              <w:spacing w:after="0" w:line="162" w:lineRule="exact"/>
              <w:rPr>
                <w:sz w:val="20"/>
                <w:szCs w:val="20"/>
                <w:color w:val="auto"/>
              </w:rPr>
            </w:pPr>
            <w:r>
              <w:rPr>
                <w:rFonts w:ascii="Arial" w:cs="Arial" w:eastAsia="Arial" w:hAnsi="Arial"/>
                <w:sz w:val="16"/>
                <w:szCs w:val="16"/>
                <w:color w:val="auto"/>
                <w:w w:val="89"/>
              </w:rPr>
              <w:t>3.1</w:t>
            </w:r>
          </w:p>
        </w:tc>
        <w:tc>
          <w:tcPr>
            <w:tcW w:w="44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Amended and Restated Articles of Incorporation of Reading</w:t>
            </w:r>
          </w:p>
        </w:tc>
        <w:tc>
          <w:tcPr>
            <w:tcW w:w="4580" w:type="dxa"/>
            <w:vAlign w:val="bottom"/>
            <w:gridSpan w:val="4"/>
            <w:shd w:val="clear" w:color="auto" w:fill="CCEEFF"/>
          </w:tcPr>
          <w:p>
            <w:pPr>
              <w:spacing w:after="0" w:line="162" w:lineRule="exact"/>
              <w:rPr>
                <w:rFonts w:ascii="Arial" w:cs="Arial" w:eastAsia="Arial" w:hAnsi="Arial"/>
                <w:sz w:val="16"/>
                <w:szCs w:val="16"/>
                <w:color w:val="auto"/>
                <w:w w:val="98"/>
              </w:rPr>
            </w:pPr>
            <w:hyperlink r:id="rId330">
              <w:r>
                <w:rPr>
                  <w:rFonts w:ascii="Arial" w:cs="Arial" w:eastAsia="Arial" w:hAnsi="Arial"/>
                  <w:sz w:val="16"/>
                  <w:szCs w:val="16"/>
                  <w:color w:val="auto"/>
                  <w:w w:val="98"/>
                </w:rPr>
                <w:t xml:space="preserve">Filed as </w:t>
              </w:r>
              <w:r>
                <w:rPr>
                  <w:rFonts w:ascii="Arial" w:cs="Arial" w:eastAsia="Arial" w:hAnsi="Arial"/>
                  <w:sz w:val="16"/>
                  <w:szCs w:val="16"/>
                  <w:b w:val="1"/>
                  <w:bCs w:val="1"/>
                  <w:color w:val="0000EE"/>
                  <w:w w:val="98"/>
                </w:rPr>
                <w:t>Exhibit 3.1 to the Company’s Annual Report on Form</w:t>
              </w:r>
            </w:hyperlink>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shd w:val="clear" w:color="auto" w:fill="CCEEFF"/>
          </w:tcPr>
          <w:p>
            <w:pPr>
              <w:spacing w:after="0"/>
              <w:rPr>
                <w:sz w:val="15"/>
                <w:szCs w:val="15"/>
                <w:color w:val="auto"/>
              </w:rPr>
            </w:pPr>
          </w:p>
        </w:tc>
        <w:tc>
          <w:tcPr>
            <w:tcW w:w="448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International, Inc., a Nevada corporation, effective as of</w:t>
            </w:r>
          </w:p>
        </w:tc>
        <w:tc>
          <w:tcPr>
            <w:tcW w:w="4580" w:type="dxa"/>
            <w:vAlign w:val="bottom"/>
            <w:gridSpan w:val="4"/>
            <w:shd w:val="clear" w:color="auto" w:fill="CCEEFF"/>
          </w:tcPr>
          <w:p>
            <w:pPr>
              <w:spacing w:after="0" w:line="183" w:lineRule="exact"/>
              <w:rPr>
                <w:rFonts w:ascii="Arial" w:cs="Arial" w:eastAsia="Arial" w:hAnsi="Arial"/>
                <w:sz w:val="16"/>
                <w:szCs w:val="16"/>
                <w:b w:val="1"/>
                <w:bCs w:val="1"/>
                <w:color w:val="0000EE"/>
              </w:rPr>
            </w:pPr>
            <w:hyperlink r:id="rId330">
              <w:r>
                <w:rPr>
                  <w:rFonts w:ascii="Arial" w:cs="Arial" w:eastAsia="Arial" w:hAnsi="Arial"/>
                  <w:sz w:val="16"/>
                  <w:szCs w:val="16"/>
                  <w:b w:val="1"/>
                  <w:bCs w:val="1"/>
                  <w:color w:val="0000EE"/>
                </w:rPr>
                <w:t>10-K for the year ended December 31, 2015</w:t>
              </w:r>
              <w:r>
                <w:rPr>
                  <w:rFonts w:ascii="Arial" w:cs="Arial" w:eastAsia="Arial" w:hAnsi="Arial"/>
                  <w:sz w:val="16"/>
                  <w:szCs w:val="16"/>
                  <w:color w:val="000000"/>
                </w:rPr>
                <w:t>, filed on April 29,</w:t>
              </w:r>
            </w:hyperlink>
          </w:p>
        </w:tc>
        <w:tc>
          <w:tcPr>
            <w:tcW w:w="0" w:type="dxa"/>
            <w:vAlign w:val="bottom"/>
          </w:tcPr>
          <w:p>
            <w:pPr>
              <w:spacing w:after="0"/>
              <w:rPr>
                <w:sz w:val="1"/>
                <w:szCs w:val="1"/>
                <w:color w:val="auto"/>
              </w:rPr>
            </w:pPr>
          </w:p>
        </w:tc>
      </w:tr>
      <w:tr>
        <w:trPr>
          <w:trHeight w:val="223"/>
        </w:trPr>
        <w:tc>
          <w:tcPr>
            <w:tcW w:w="880" w:type="dxa"/>
            <w:vAlign w:val="bottom"/>
            <w:tcBorders>
              <w:top w:val="single" w:sz="8" w:color="CCEEFF"/>
            </w:tcBorders>
            <w:shd w:val="clear" w:color="auto" w:fill="CCEEFF"/>
          </w:tcPr>
          <w:p>
            <w:pPr>
              <w:spacing w:after="0"/>
              <w:rPr>
                <w:sz w:val="19"/>
                <w:szCs w:val="19"/>
                <w:color w:val="auto"/>
              </w:rPr>
            </w:pPr>
          </w:p>
        </w:tc>
        <w:tc>
          <w:tcPr>
            <w:tcW w:w="44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August 6, 2014</w:t>
            </w:r>
          </w:p>
        </w:tc>
        <w:tc>
          <w:tcPr>
            <w:tcW w:w="298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w w:val="96"/>
              </w:rPr>
              <w:t>2016 and incorporated herein by reference.</w:t>
            </w:r>
          </w:p>
        </w:tc>
        <w:tc>
          <w:tcPr>
            <w:tcW w:w="1600" w:type="dxa"/>
            <w:vAlign w:val="bottom"/>
            <w:tcBorders>
              <w:top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40"/>
          </w:cols>
          <w:pgMar w:left="980" w:top="333" w:right="979" w:bottom="1440" w:gutter="0" w:footer="0" w:header="0"/>
        </w:sectPr>
      </w:pPr>
    </w:p>
    <w:p>
      <w:pPr>
        <w:ind w:left="1080" w:hanging="742"/>
        <w:spacing w:after="0" w:line="373" w:lineRule="auto"/>
        <w:tabs>
          <w:tab w:leader="none" w:pos="10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Amended and Restated Bylaws of Reading International, Inc., a Nevada corporation, effective as of November 7, 2017</w:t>
      </w:r>
      <w:r>
        <w:rPr>
          <w:rFonts w:ascii="Arial" w:cs="Arial" w:eastAsia="Arial" w:hAnsi="Arial"/>
          <w:sz w:val="15"/>
          <w:szCs w:val="15"/>
          <w:color w:val="auto"/>
          <w:vertAlign w:val="superscript"/>
        </w:rPr>
        <w:t>(1)</w:t>
      </w:r>
    </w:p>
    <w:p>
      <w:pPr>
        <w:spacing w:after="0" w:line="79" w:lineRule="exact"/>
        <w:rPr>
          <w:sz w:val="20"/>
          <w:szCs w:val="20"/>
          <w:color w:val="auto"/>
        </w:rPr>
      </w:pPr>
    </w:p>
    <w:p>
      <w:pPr>
        <w:ind w:left="1080" w:right="460" w:hanging="696"/>
        <w:spacing w:after="0" w:line="304" w:lineRule="auto"/>
        <w:tabs>
          <w:tab w:leader="none" w:pos="10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Form of Preferred Securities Certificate evidencing the preferred securities of Reading International Trust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309360" cy="2571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309360" cy="257175"/>
                    </a:xfrm>
                    <a:prstGeom prst="rect">
                      <a:avLst/>
                    </a:prstGeom>
                    <a:noFill/>
                  </pic:spPr>
                </pic:pic>
              </a:graphicData>
            </a:graphic>
          </wp:anchor>
        </w:drawing>
      </w:r>
    </w:p>
    <w:p>
      <w:pPr>
        <w:ind w:left="1080" w:right="100" w:hanging="696"/>
        <w:spacing w:after="0" w:line="264" w:lineRule="auto"/>
        <w:tabs>
          <w:tab w:leader="none" w:pos="10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Form of Common Securities Certificate evidencing common securities of Reading International Trust I</w:t>
      </w:r>
    </w:p>
    <w:p>
      <w:pPr>
        <w:jc w:val="right"/>
        <w:ind w:left="380" w:right="520"/>
        <w:spacing w:after="0" w:line="264" w:lineRule="auto"/>
        <w:rPr>
          <w:sz w:val="20"/>
          <w:szCs w:val="20"/>
          <w:color w:val="auto"/>
        </w:rPr>
      </w:pPr>
      <w:r>
        <w:rPr>
          <w:rFonts w:ascii="Arial" w:cs="Arial" w:eastAsia="Arial" w:hAnsi="Arial"/>
          <w:sz w:val="16"/>
          <w:szCs w:val="16"/>
          <w:color w:val="auto"/>
        </w:rPr>
        <w:t>4.3      Form of Reading International, Inc. and Reading New Zealand, Limited, Junior Subordinated Note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6309360" cy="2571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309360" cy="257175"/>
                    </a:xfrm>
                    <a:prstGeom prst="rect">
                      <a:avLst/>
                    </a:prstGeom>
                    <a:noFill/>
                  </pic:spPr>
                </pic:pic>
              </a:graphicData>
            </a:graphic>
          </wp:anchor>
        </w:drawing>
      </w:r>
    </w:p>
    <w:p>
      <w:pPr>
        <w:jc w:val="both"/>
        <w:ind w:left="1080" w:right="180" w:hanging="696"/>
        <w:spacing w:after="0" w:line="264" w:lineRule="auto"/>
        <w:tabs>
          <w:tab w:leader="none" w:pos="10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Indenture among Reading International, Inc., Reading New Zealand Limited, and Wells Fargo Bank, N.A., as indenture trustee.</w:t>
      </w:r>
    </w:p>
    <w:p>
      <w:pPr>
        <w:ind w:left="380"/>
        <w:spacing w:after="0"/>
        <w:tabs>
          <w:tab w:leader="none" w:pos="10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color w:val="auto"/>
        </w:rPr>
        <w:t>Form of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6309360" cy="2571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6309360" cy="257175"/>
                    </a:xfrm>
                    <a:prstGeom prst="rect">
                      <a:avLst/>
                    </a:prstGeom>
                    <a:noFill/>
                  </pic:spPr>
                </pic:pic>
              </a:graphicData>
            </a:graphic>
          </wp:anchor>
        </w:drawing>
      </w:r>
    </w:p>
    <w:p>
      <w:pPr>
        <w:spacing w:after="0" w:line="193" w:lineRule="exact"/>
        <w:rPr>
          <w:sz w:val="20"/>
          <w:szCs w:val="20"/>
          <w:color w:val="auto"/>
        </w:rPr>
      </w:pPr>
    </w:p>
    <w:p>
      <w:pPr>
        <w:ind w:left="1080" w:hanging="742"/>
        <w:spacing w:after="0" w:line="307" w:lineRule="auto"/>
        <w:tabs>
          <w:tab w:leader="none" w:pos="1060" w:val="left"/>
        </w:tabs>
        <w:rPr>
          <w:rFonts w:ascii="Arial" w:cs="Arial" w:eastAsia="Arial" w:hAnsi="Arial"/>
          <w:sz w:val="14"/>
          <w:szCs w:val="14"/>
          <w:b w:val="1"/>
          <w:bCs w:val="1"/>
          <w:u w:val="single" w:color="auto"/>
          <w:color w:val="0000EE"/>
        </w:rPr>
      </w:pPr>
      <w:r>
        <w:rPr>
          <w:rFonts w:ascii="Arial" w:cs="Arial" w:eastAsia="Arial" w:hAnsi="Arial"/>
          <w:sz w:val="16"/>
          <w:szCs w:val="16"/>
          <w:color w:val="auto"/>
        </w:rPr>
        <w:t>4.6+</w:t>
      </w:r>
      <w:r>
        <w:rPr>
          <w:sz w:val="20"/>
          <w:szCs w:val="20"/>
          <w:color w:val="auto"/>
        </w:rPr>
        <w:tab/>
      </w:r>
      <w:hyperlink w:anchor="page127">
        <w:r>
          <w:rPr>
            <w:rFonts w:ascii="Arial" w:cs="Arial" w:eastAsia="Arial" w:hAnsi="Arial"/>
            <w:sz w:val="14"/>
            <w:szCs w:val="14"/>
            <w:b w:val="1"/>
            <w:bCs w:val="1"/>
            <w:u w:val="single" w:color="auto"/>
            <w:color w:val="0000EE"/>
          </w:rPr>
          <w:t>Description of Registrant's Securities Registered Pursuant</w:t>
        </w:r>
      </w:hyperlink>
      <w:r>
        <w:rPr>
          <w:rFonts w:ascii="Arial" w:cs="Arial" w:eastAsia="Arial" w:hAnsi="Arial"/>
          <w:sz w:val="14"/>
          <w:szCs w:val="14"/>
          <w:b w:val="1"/>
          <w:bCs w:val="1"/>
          <w:u w:val="single" w:color="auto"/>
          <w:color w:val="0000EE"/>
        </w:rPr>
        <w:t xml:space="preserve"> </w:t>
      </w:r>
      <w:hyperlink w:anchor="page127">
        <w:r>
          <w:rPr>
            <w:rFonts w:ascii="Arial" w:cs="Arial" w:eastAsia="Arial" w:hAnsi="Arial"/>
            <w:sz w:val="14"/>
            <w:szCs w:val="14"/>
            <w:b w:val="1"/>
            <w:bCs w:val="1"/>
            <w:u w:val="single" w:color="auto"/>
            <w:color w:val="0000EE"/>
          </w:rPr>
          <w:t>to Section 12 of the Securities Exchange Act of 1934</w:t>
        </w:r>
      </w:hyperlink>
    </w:p>
    <w:p>
      <w:pPr>
        <w:spacing w:after="0" w:line="1" w:lineRule="exact"/>
        <w:rPr>
          <w:sz w:val="20"/>
          <w:szCs w:val="20"/>
          <w:color w:val="auto"/>
        </w:rPr>
      </w:pPr>
    </w:p>
    <w:p>
      <w:pPr>
        <w:ind w:left="240"/>
        <w:spacing w:after="0"/>
        <w:tabs>
          <w:tab w:leader="none" w:pos="10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Restated 2010 Stock Incentive Plan, as of November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6309360" cy="3860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6309360" cy="386080"/>
                    </a:xfrm>
                    <a:prstGeom prst="rect">
                      <a:avLst/>
                    </a:prstGeom>
                    <a:noFill/>
                  </pic:spPr>
                </pic:pic>
              </a:graphicData>
            </a:graphic>
          </wp:anchor>
        </w:drawing>
      </w:r>
    </w:p>
    <w:p>
      <w:pPr>
        <w:spacing w:after="0" w:line="400" w:lineRule="exact"/>
        <w:rPr>
          <w:sz w:val="20"/>
          <w:szCs w:val="20"/>
          <w:color w:val="auto"/>
        </w:rPr>
      </w:pPr>
    </w:p>
    <w:p>
      <w:pPr>
        <w:ind w:left="1080" w:right="180" w:hanging="777"/>
        <w:spacing w:after="0" w:line="266" w:lineRule="auto"/>
        <w:tabs>
          <w:tab w:leader="none" w:pos="106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Award forms under the 2010 Stock Incentive Plan (i) Stock Option Agreement, (ii) Stock Bonus Agreement,</w:t>
      </w:r>
    </w:p>
    <w:p>
      <w:pPr>
        <w:spacing w:after="0" w:line="1" w:lineRule="exact"/>
        <w:rPr>
          <w:sz w:val="20"/>
          <w:szCs w:val="20"/>
          <w:color w:val="auto"/>
        </w:rPr>
      </w:pPr>
    </w:p>
    <w:p>
      <w:pPr>
        <w:ind w:left="1080" w:right="560" w:hanging="9"/>
        <w:spacing w:after="0" w:line="277" w:lineRule="auto"/>
        <w:tabs>
          <w:tab w:leader="none" w:pos="140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Restricted Stock Unit Agreement, and (iv) Stock Appreciation Right Agreement</w:t>
      </w:r>
    </w:p>
    <w:p>
      <w:pPr>
        <w:spacing w:after="0" w:line="20" w:lineRule="exact"/>
        <w:rPr>
          <w:sz w:val="20"/>
          <w:szCs w:val="20"/>
          <w:color w:val="auto"/>
        </w:rPr>
      </w:pPr>
      <w:r>
        <w:rPr>
          <w:sz w:val="20"/>
          <w:szCs w:val="20"/>
          <w:color w:val="auto"/>
        </w:rPr>
        <w:br w:type="column"/>
      </w:r>
    </w:p>
    <w:p>
      <w:pPr>
        <w:jc w:val="both"/>
        <w:ind w:right="300"/>
        <w:spacing w:after="0" w:line="261" w:lineRule="auto"/>
        <w:rPr>
          <w:rFonts w:ascii="Arial" w:cs="Arial" w:eastAsia="Arial" w:hAnsi="Arial"/>
          <w:sz w:val="16"/>
          <w:szCs w:val="16"/>
          <w:b w:val="1"/>
          <w:bCs w:val="1"/>
          <w:color w:val="0000EE"/>
        </w:rPr>
      </w:pPr>
      <w:hyperlink r:id="rId335">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3.2 to the Company’s Annual Report on Form</w:t>
        </w:r>
      </w:hyperlink>
      <w:r>
        <w:rPr>
          <w:rFonts w:ascii="Arial" w:cs="Arial" w:eastAsia="Arial" w:hAnsi="Arial"/>
          <w:sz w:val="16"/>
          <w:szCs w:val="16"/>
          <w:color w:val="auto"/>
        </w:rPr>
        <w:t xml:space="preserve"> </w:t>
      </w:r>
      <w:hyperlink r:id="rId335">
        <w:r>
          <w:rPr>
            <w:rFonts w:ascii="Arial" w:cs="Arial" w:eastAsia="Arial" w:hAnsi="Arial"/>
            <w:sz w:val="16"/>
            <w:szCs w:val="16"/>
            <w:b w:val="1"/>
            <w:bCs w:val="1"/>
            <w:u w:val="single" w:color="auto"/>
            <w:color w:val="0000EE"/>
          </w:rPr>
          <w:t>10-K for the year ended December 31, 2017</w:t>
        </w:r>
        <w:r>
          <w:rPr>
            <w:rFonts w:ascii="Arial" w:cs="Arial" w:eastAsia="Arial" w:hAnsi="Arial"/>
            <w:sz w:val="16"/>
            <w:szCs w:val="16"/>
            <w:b w:val="1"/>
            <w:bCs w:val="1"/>
            <w:color w:val="000000"/>
          </w:rPr>
          <w:t>,</w:t>
        </w:r>
        <w:r>
          <w:rPr>
            <w:rFonts w:ascii="Arial" w:cs="Arial" w:eastAsia="Arial" w:hAnsi="Arial"/>
            <w:sz w:val="16"/>
            <w:szCs w:val="16"/>
            <w:b w:val="1"/>
            <w:bCs w:val="1"/>
            <w:color w:val="0000EE"/>
          </w:rPr>
          <w:t xml:space="preserve"> </w:t>
        </w:r>
        <w:r>
          <w:rPr>
            <w:rFonts w:ascii="Arial" w:cs="Arial" w:eastAsia="Arial" w:hAnsi="Arial"/>
            <w:sz w:val="16"/>
            <w:szCs w:val="16"/>
            <w:color w:val="000000"/>
          </w:rPr>
          <w:t>filed on March 16,</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2018 and incorporated herein by reference.</w:t>
      </w:r>
    </w:p>
    <w:p>
      <w:pPr>
        <w:spacing w:after="0" w:line="1" w:lineRule="exact"/>
        <w:rPr>
          <w:sz w:val="20"/>
          <w:szCs w:val="20"/>
          <w:color w:val="auto"/>
        </w:rPr>
      </w:pPr>
    </w:p>
    <w:p>
      <w:pPr>
        <w:ind w:right="260"/>
        <w:spacing w:after="0" w:line="301" w:lineRule="auto"/>
        <w:rPr>
          <w:rFonts w:ascii="Arial" w:cs="Arial" w:eastAsia="Arial" w:hAnsi="Arial"/>
          <w:sz w:val="14"/>
          <w:szCs w:val="14"/>
          <w:b w:val="1"/>
          <w:bCs w:val="1"/>
          <w:color w:val="0000EE"/>
        </w:rPr>
      </w:pPr>
      <w:hyperlink r:id="rId336">
        <w:r>
          <w:rPr>
            <w:rFonts w:ascii="Arial" w:cs="Arial" w:eastAsia="Arial" w:hAnsi="Arial"/>
            <w:sz w:val="14"/>
            <w:szCs w:val="14"/>
            <w:color w:val="auto"/>
          </w:rPr>
          <w:t xml:space="preserve">Filed as </w:t>
        </w:r>
        <w:r>
          <w:rPr>
            <w:rFonts w:ascii="Arial" w:cs="Arial" w:eastAsia="Arial" w:hAnsi="Arial"/>
            <w:sz w:val="14"/>
            <w:szCs w:val="14"/>
            <w:b w:val="1"/>
            <w:bCs w:val="1"/>
            <w:u w:val="single" w:color="auto"/>
            <w:color w:val="0000EE"/>
          </w:rPr>
          <w:t>Exhibit 4.1 to the Company’s report on Form 8-K filed</w:t>
        </w:r>
      </w:hyperlink>
      <w:r>
        <w:rPr>
          <w:rFonts w:ascii="Arial" w:cs="Arial" w:eastAsia="Arial" w:hAnsi="Arial"/>
          <w:sz w:val="14"/>
          <w:szCs w:val="14"/>
          <w:color w:val="auto"/>
        </w:rPr>
        <w:t xml:space="preserve"> </w:t>
      </w:r>
      <w:hyperlink r:id="rId336">
        <w:r>
          <w:rPr>
            <w:rFonts w:ascii="Arial" w:cs="Arial" w:eastAsia="Arial" w:hAnsi="Arial"/>
            <w:sz w:val="14"/>
            <w:szCs w:val="14"/>
            <w:b w:val="1"/>
            <w:bCs w:val="1"/>
            <w:u w:val="single" w:color="auto"/>
            <w:color w:val="0000EE"/>
          </w:rPr>
          <w:t>on February 9, 2007</w:t>
        </w:r>
        <w:r>
          <w:rPr>
            <w:rFonts w:ascii="Arial" w:cs="Arial" w:eastAsia="Arial" w:hAnsi="Arial"/>
            <w:sz w:val="14"/>
            <w:szCs w:val="14"/>
            <w:color w:val="000000"/>
          </w:rPr>
          <w:t>, and incorporated herein by reference.</w:t>
        </w:r>
      </w:hyperlink>
    </w:p>
    <w:p>
      <w:pPr>
        <w:spacing w:after="0" w:line="1" w:lineRule="exact"/>
        <w:rPr>
          <w:sz w:val="20"/>
          <w:szCs w:val="20"/>
          <w:color w:val="auto"/>
        </w:rPr>
      </w:pPr>
    </w:p>
    <w:p>
      <w:pPr>
        <w:ind w:right="260"/>
        <w:spacing w:after="0" w:line="301" w:lineRule="auto"/>
        <w:rPr>
          <w:rFonts w:ascii="Arial" w:cs="Arial" w:eastAsia="Arial" w:hAnsi="Arial"/>
          <w:sz w:val="14"/>
          <w:szCs w:val="14"/>
          <w:b w:val="1"/>
          <w:bCs w:val="1"/>
          <w:color w:val="0000EE"/>
        </w:rPr>
      </w:pPr>
      <w:hyperlink r:id="rId337">
        <w:r>
          <w:rPr>
            <w:rFonts w:ascii="Arial" w:cs="Arial" w:eastAsia="Arial" w:hAnsi="Arial"/>
            <w:sz w:val="14"/>
            <w:szCs w:val="14"/>
            <w:color w:val="auto"/>
          </w:rPr>
          <w:t xml:space="preserve">Filed as </w:t>
        </w:r>
        <w:r>
          <w:rPr>
            <w:rFonts w:ascii="Arial" w:cs="Arial" w:eastAsia="Arial" w:hAnsi="Arial"/>
            <w:sz w:val="14"/>
            <w:szCs w:val="14"/>
            <w:b w:val="1"/>
            <w:bCs w:val="1"/>
            <w:u w:val="single" w:color="auto"/>
            <w:color w:val="0000EE"/>
          </w:rPr>
          <w:t>Exhibit 4.2 to the Company’s report on Form 8-K filed</w:t>
        </w:r>
      </w:hyperlink>
      <w:r>
        <w:rPr>
          <w:rFonts w:ascii="Arial" w:cs="Arial" w:eastAsia="Arial" w:hAnsi="Arial"/>
          <w:sz w:val="14"/>
          <w:szCs w:val="14"/>
          <w:color w:val="auto"/>
        </w:rPr>
        <w:t xml:space="preserve"> </w:t>
      </w:r>
      <w:hyperlink r:id="rId337">
        <w:r>
          <w:rPr>
            <w:rFonts w:ascii="Arial" w:cs="Arial" w:eastAsia="Arial" w:hAnsi="Arial"/>
            <w:sz w:val="14"/>
            <w:szCs w:val="14"/>
            <w:b w:val="1"/>
            <w:bCs w:val="1"/>
            <w:u w:val="single" w:color="auto"/>
            <w:color w:val="0000EE"/>
          </w:rPr>
          <w:t>on February 9, 2007</w:t>
        </w:r>
        <w:r>
          <w:rPr>
            <w:rFonts w:ascii="Arial" w:cs="Arial" w:eastAsia="Arial" w:hAnsi="Arial"/>
            <w:sz w:val="14"/>
            <w:szCs w:val="14"/>
            <w:color w:val="000000"/>
          </w:rPr>
          <w:t>, and incorporated herein by reference.</w:t>
        </w:r>
      </w:hyperlink>
    </w:p>
    <w:p>
      <w:pPr>
        <w:spacing w:after="0" w:line="1" w:lineRule="exact"/>
        <w:rPr>
          <w:sz w:val="20"/>
          <w:szCs w:val="20"/>
          <w:color w:val="auto"/>
        </w:rPr>
      </w:pPr>
    </w:p>
    <w:p>
      <w:pPr>
        <w:ind w:right="260"/>
        <w:spacing w:after="0" w:line="301" w:lineRule="auto"/>
        <w:rPr>
          <w:rFonts w:ascii="Arial" w:cs="Arial" w:eastAsia="Arial" w:hAnsi="Arial"/>
          <w:sz w:val="14"/>
          <w:szCs w:val="14"/>
          <w:b w:val="1"/>
          <w:bCs w:val="1"/>
          <w:color w:val="0000EE"/>
        </w:rPr>
      </w:pPr>
      <w:hyperlink r:id="rId338">
        <w:r>
          <w:rPr>
            <w:rFonts w:ascii="Arial" w:cs="Arial" w:eastAsia="Arial" w:hAnsi="Arial"/>
            <w:sz w:val="14"/>
            <w:szCs w:val="14"/>
            <w:color w:val="auto"/>
          </w:rPr>
          <w:t xml:space="preserve">Filed as </w:t>
        </w:r>
        <w:r>
          <w:rPr>
            <w:rFonts w:ascii="Arial" w:cs="Arial" w:eastAsia="Arial" w:hAnsi="Arial"/>
            <w:sz w:val="14"/>
            <w:szCs w:val="14"/>
            <w:b w:val="1"/>
            <w:bCs w:val="1"/>
            <w:u w:val="single" w:color="auto"/>
            <w:color w:val="0000EE"/>
          </w:rPr>
          <w:t>Exhibit 4.3 to the Company’s report on Form 8-K filed</w:t>
        </w:r>
      </w:hyperlink>
      <w:r>
        <w:rPr>
          <w:rFonts w:ascii="Arial" w:cs="Arial" w:eastAsia="Arial" w:hAnsi="Arial"/>
          <w:sz w:val="14"/>
          <w:szCs w:val="14"/>
          <w:color w:val="auto"/>
        </w:rPr>
        <w:t xml:space="preserve"> </w:t>
      </w:r>
      <w:hyperlink r:id="rId338">
        <w:r>
          <w:rPr>
            <w:rFonts w:ascii="Arial" w:cs="Arial" w:eastAsia="Arial" w:hAnsi="Arial"/>
            <w:sz w:val="14"/>
            <w:szCs w:val="14"/>
            <w:b w:val="1"/>
            <w:bCs w:val="1"/>
            <w:u w:val="single" w:color="auto"/>
            <w:color w:val="0000EE"/>
          </w:rPr>
          <w:t>on February 9, 2007</w:t>
        </w:r>
        <w:r>
          <w:rPr>
            <w:rFonts w:ascii="Arial" w:cs="Arial" w:eastAsia="Arial" w:hAnsi="Arial"/>
            <w:sz w:val="14"/>
            <w:szCs w:val="14"/>
            <w:color w:val="000000"/>
          </w:rPr>
          <w:t>, and incorporated herein by reference.</w:t>
        </w:r>
      </w:hyperlink>
    </w:p>
    <w:p>
      <w:pPr>
        <w:spacing w:after="0" w:line="1" w:lineRule="exact"/>
        <w:rPr>
          <w:sz w:val="20"/>
          <w:szCs w:val="20"/>
          <w:color w:val="auto"/>
        </w:rPr>
      </w:pPr>
    </w:p>
    <w:p>
      <w:pPr>
        <w:jc w:val="both"/>
        <w:ind w:right="480"/>
        <w:spacing w:after="0" w:line="363" w:lineRule="auto"/>
        <w:rPr>
          <w:rFonts w:ascii="Arial" w:cs="Arial" w:eastAsia="Arial" w:hAnsi="Arial"/>
          <w:sz w:val="14"/>
          <w:szCs w:val="14"/>
          <w:b w:val="1"/>
          <w:bCs w:val="1"/>
          <w:color w:val="0000EE"/>
        </w:rPr>
      </w:pPr>
      <w:hyperlink r:id="rId339">
        <w:r>
          <w:rPr>
            <w:rFonts w:ascii="Arial" w:cs="Arial" w:eastAsia="Arial" w:hAnsi="Arial"/>
            <w:sz w:val="14"/>
            <w:szCs w:val="14"/>
            <w:color w:val="auto"/>
          </w:rPr>
          <w:t xml:space="preserve">Filed as </w:t>
        </w:r>
        <w:r>
          <w:rPr>
            <w:rFonts w:ascii="Arial" w:cs="Arial" w:eastAsia="Arial" w:hAnsi="Arial"/>
            <w:sz w:val="14"/>
            <w:szCs w:val="14"/>
            <w:b w:val="1"/>
            <w:bCs w:val="1"/>
            <w:u w:val="single" w:color="auto"/>
            <w:color w:val="0000EE"/>
          </w:rPr>
          <w:t>Exhibit 10.4 to the Company’s report on Form 8-K</w:t>
        </w:r>
      </w:hyperlink>
      <w:r>
        <w:rPr>
          <w:rFonts w:ascii="Arial" w:cs="Arial" w:eastAsia="Arial" w:hAnsi="Arial"/>
          <w:sz w:val="14"/>
          <w:szCs w:val="14"/>
          <w:color w:val="auto"/>
        </w:rPr>
        <w:t xml:space="preserve"> </w:t>
      </w:r>
      <w:hyperlink r:id="rId339">
        <w:r>
          <w:rPr>
            <w:rFonts w:ascii="Arial" w:cs="Arial" w:eastAsia="Arial" w:hAnsi="Arial"/>
            <w:sz w:val="14"/>
            <w:szCs w:val="14"/>
            <w:b w:val="1"/>
            <w:bCs w:val="1"/>
            <w:u w:val="single" w:color="auto"/>
            <w:color w:val="0000EE"/>
          </w:rPr>
          <w:t>dated February 5, 2007</w:t>
        </w:r>
        <w:r>
          <w:rPr>
            <w:rFonts w:ascii="Arial" w:cs="Arial" w:eastAsia="Arial" w:hAnsi="Arial"/>
            <w:sz w:val="14"/>
            <w:szCs w:val="14"/>
            <w:color w:val="000000"/>
          </w:rPr>
          <w:t>, and incorporated herein by reference.</w:t>
        </w:r>
      </w:hyperlink>
    </w:p>
    <w:p>
      <w:pPr>
        <w:spacing w:after="0" w:line="113" w:lineRule="exact"/>
        <w:rPr>
          <w:sz w:val="20"/>
          <w:szCs w:val="20"/>
          <w:color w:val="auto"/>
        </w:rPr>
      </w:pPr>
    </w:p>
    <w:p>
      <w:pPr>
        <w:ind w:right="440"/>
        <w:spacing w:after="0" w:line="281" w:lineRule="auto"/>
        <w:rPr>
          <w:rFonts w:ascii="Arial" w:cs="Arial" w:eastAsia="Arial" w:hAnsi="Arial"/>
          <w:sz w:val="16"/>
          <w:szCs w:val="16"/>
          <w:b w:val="1"/>
          <w:bCs w:val="1"/>
          <w:color w:val="0000EE"/>
        </w:rPr>
      </w:pPr>
      <w:hyperlink r:id="rId340">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4.4 to the Company’s report on Form S-3 on</w:t>
        </w:r>
      </w:hyperlink>
      <w:r>
        <w:rPr>
          <w:rFonts w:ascii="Arial" w:cs="Arial" w:eastAsia="Arial" w:hAnsi="Arial"/>
          <w:sz w:val="16"/>
          <w:szCs w:val="16"/>
          <w:color w:val="auto"/>
        </w:rPr>
        <w:t xml:space="preserve"> </w:t>
      </w:r>
      <w:hyperlink r:id="rId340">
        <w:r>
          <w:rPr>
            <w:rFonts w:ascii="Arial" w:cs="Arial" w:eastAsia="Arial" w:hAnsi="Arial"/>
            <w:sz w:val="16"/>
            <w:szCs w:val="16"/>
            <w:b w:val="1"/>
            <w:bCs w:val="1"/>
            <w:u w:val="single" w:color="auto"/>
            <w:color w:val="0000EE"/>
          </w:rPr>
          <w:t>October 20, 2009</w:t>
        </w:r>
        <w:r>
          <w:rPr>
            <w:rFonts w:ascii="Arial" w:cs="Arial" w:eastAsia="Arial" w:hAnsi="Arial"/>
            <w:sz w:val="16"/>
            <w:szCs w:val="16"/>
            <w:color w:val="000000"/>
          </w:rPr>
          <w:t>, and incorporated herein by reference.</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N/A</w:t>
      </w:r>
    </w:p>
    <w:p>
      <w:pPr>
        <w:spacing w:after="0" w:line="164" w:lineRule="exact"/>
        <w:rPr>
          <w:sz w:val="20"/>
          <w:szCs w:val="20"/>
          <w:color w:val="auto"/>
        </w:rPr>
      </w:pPr>
    </w:p>
    <w:p>
      <w:pPr>
        <w:jc w:val="both"/>
        <w:ind w:right="220"/>
        <w:spacing w:after="0" w:line="267" w:lineRule="auto"/>
        <w:rPr>
          <w:rFonts w:ascii="Arial" w:cs="Arial" w:eastAsia="Arial" w:hAnsi="Arial"/>
          <w:sz w:val="16"/>
          <w:szCs w:val="16"/>
          <w:b w:val="1"/>
          <w:bCs w:val="1"/>
          <w:color w:val="0000EE"/>
        </w:rPr>
      </w:pPr>
      <w:hyperlink r:id="rId341">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10.1 to the Company’s Annual Report on Form</w:t>
        </w:r>
      </w:hyperlink>
      <w:r>
        <w:rPr>
          <w:rFonts w:ascii="Arial" w:cs="Arial" w:eastAsia="Arial" w:hAnsi="Arial"/>
          <w:sz w:val="16"/>
          <w:szCs w:val="16"/>
          <w:color w:val="auto"/>
        </w:rPr>
        <w:t xml:space="preserve"> </w:t>
      </w:r>
      <w:hyperlink r:id="rId341">
        <w:r>
          <w:rPr>
            <w:rFonts w:ascii="Arial" w:cs="Arial" w:eastAsia="Arial" w:hAnsi="Arial"/>
            <w:sz w:val="16"/>
            <w:szCs w:val="16"/>
            <w:b w:val="1"/>
            <w:bCs w:val="1"/>
            <w:u w:val="single" w:color="auto"/>
            <w:color w:val="0000EE"/>
          </w:rPr>
          <w:t>10-K for the year ended December 31, 2017</w:t>
        </w:r>
        <w:r>
          <w:rPr>
            <w:rFonts w:ascii="Arial" w:cs="Arial" w:eastAsia="Arial" w:hAnsi="Arial"/>
            <w:sz w:val="16"/>
            <w:szCs w:val="16"/>
            <w:b w:val="1"/>
            <w:bCs w:val="1"/>
            <w:color w:val="000000"/>
          </w:rPr>
          <w:t>,</w:t>
        </w:r>
        <w:r>
          <w:rPr>
            <w:rFonts w:ascii="Arial" w:cs="Arial" w:eastAsia="Arial" w:hAnsi="Arial"/>
            <w:sz w:val="16"/>
            <w:szCs w:val="16"/>
            <w:b w:val="1"/>
            <w:bCs w:val="1"/>
            <w:color w:val="0000EE"/>
          </w:rPr>
          <w:t xml:space="preserve"> </w:t>
        </w:r>
        <w:r>
          <w:rPr>
            <w:rFonts w:ascii="Arial" w:cs="Arial" w:eastAsia="Arial" w:hAnsi="Arial"/>
            <w:sz w:val="16"/>
            <w:szCs w:val="16"/>
            <w:color w:val="000000"/>
          </w:rPr>
          <w:t>filed on March 16,</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2018 and incorporated herein by reference.</w:t>
      </w:r>
    </w:p>
    <w:p>
      <w:pPr>
        <w:spacing w:after="0" w:line="1" w:lineRule="exact"/>
        <w:rPr>
          <w:sz w:val="20"/>
          <w:szCs w:val="20"/>
          <w:color w:val="auto"/>
        </w:rPr>
      </w:pPr>
    </w:p>
    <w:p>
      <w:pPr>
        <w:ind w:right="240"/>
        <w:spacing w:after="0" w:line="276" w:lineRule="auto"/>
        <w:rPr>
          <w:rFonts w:ascii="Arial" w:cs="Arial" w:eastAsia="Arial" w:hAnsi="Arial"/>
          <w:sz w:val="16"/>
          <w:szCs w:val="16"/>
          <w:color w:val="auto"/>
        </w:rPr>
      </w:pPr>
      <w:r>
        <w:rPr>
          <w:rFonts w:ascii="Arial" w:cs="Arial" w:eastAsia="Arial" w:hAnsi="Arial"/>
          <w:sz w:val="16"/>
          <w:szCs w:val="16"/>
          <w:color w:val="auto"/>
        </w:rPr>
        <w:t xml:space="preserve">Filed as Exhibits </w:t>
      </w:r>
      <w:hyperlink r:id="rId342">
        <w:r>
          <w:rPr>
            <w:rFonts w:ascii="Arial" w:cs="Arial" w:eastAsia="Arial" w:hAnsi="Arial"/>
            <w:sz w:val="16"/>
            <w:szCs w:val="16"/>
            <w:b w:val="1"/>
            <w:bCs w:val="1"/>
            <w:u w:val="single" w:color="auto"/>
            <w:color w:val="0000EE"/>
          </w:rPr>
          <w:t>4.2</w:t>
        </w:r>
      </w:hyperlink>
      <w:r>
        <w:rPr>
          <w:rFonts w:ascii="Arial" w:cs="Arial" w:eastAsia="Arial" w:hAnsi="Arial"/>
          <w:sz w:val="16"/>
          <w:szCs w:val="16"/>
          <w:color w:val="auto"/>
        </w:rPr>
        <w:t xml:space="preserve">, </w:t>
      </w:r>
      <w:hyperlink r:id="rId343">
        <w:r>
          <w:rPr>
            <w:rFonts w:ascii="Arial" w:cs="Arial" w:eastAsia="Arial" w:hAnsi="Arial"/>
            <w:sz w:val="16"/>
            <w:szCs w:val="16"/>
            <w:b w:val="1"/>
            <w:bCs w:val="1"/>
            <w:u w:val="single" w:color="auto"/>
            <w:color w:val="0000EE"/>
          </w:rPr>
          <w:t>4.3</w:t>
        </w:r>
      </w:hyperlink>
      <w:r>
        <w:rPr>
          <w:rFonts w:ascii="Arial" w:cs="Arial" w:eastAsia="Arial" w:hAnsi="Arial"/>
          <w:sz w:val="16"/>
          <w:szCs w:val="16"/>
          <w:color w:val="auto"/>
        </w:rPr>
        <w:t xml:space="preserve">, </w:t>
      </w:r>
      <w:hyperlink r:id="rId344">
        <w:r>
          <w:rPr>
            <w:rFonts w:ascii="Arial" w:cs="Arial" w:eastAsia="Arial" w:hAnsi="Arial"/>
            <w:sz w:val="16"/>
            <w:szCs w:val="16"/>
            <w:b w:val="1"/>
            <w:bCs w:val="1"/>
            <w:u w:val="single" w:color="auto"/>
            <w:color w:val="0000EE"/>
          </w:rPr>
          <w:t>4.4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345">
        <w:r>
          <w:rPr>
            <w:rFonts w:ascii="Arial" w:cs="Arial" w:eastAsia="Arial" w:hAnsi="Arial"/>
            <w:sz w:val="16"/>
            <w:szCs w:val="16"/>
            <w:b w:val="1"/>
            <w:bCs w:val="1"/>
            <w:u w:val="single" w:color="auto"/>
            <w:color w:val="0000EE"/>
          </w:rPr>
          <w:t>4.5</w:t>
        </w:r>
      </w:hyperlink>
      <w:r>
        <w:rPr>
          <w:rFonts w:ascii="Arial" w:cs="Arial" w:eastAsia="Arial" w:hAnsi="Arial"/>
          <w:sz w:val="16"/>
          <w:szCs w:val="16"/>
          <w:color w:val="auto"/>
        </w:rPr>
        <w:t>, respectively, to the Company’s report on Form S-8 on May 26, 2010, and incorporated herein by reference.</w:t>
      </w:r>
    </w:p>
    <w:p>
      <w:pPr>
        <w:spacing w:after="0" w:line="195" w:lineRule="exact"/>
        <w:rPr>
          <w:rFonts w:ascii="Arial" w:cs="Arial" w:eastAsia="Arial" w:hAnsi="Arial"/>
          <w:sz w:val="16"/>
          <w:szCs w:val="16"/>
          <w:color w:val="auto"/>
        </w:rPr>
      </w:pPr>
    </w:p>
    <w:p>
      <w:pPr>
        <w:sectPr>
          <w:pgSz w:w="11900" w:h="16838" w:orient="portrait"/>
          <w:cols w:equalWidth="0" w:num="2">
            <w:col w:w="5100" w:space="260"/>
            <w:col w:w="4580"/>
          </w:cols>
          <w:pgMar w:left="980" w:top="333" w:right="97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840" w:type="dxa"/>
            <w:vAlign w:val="bottom"/>
            <w:shd w:val="clear" w:color="auto" w:fill="CCEEFF"/>
          </w:tcPr>
          <w:p>
            <w:pPr>
              <w:jc w:val="right"/>
              <w:ind w:right="139"/>
              <w:spacing w:after="0" w:line="148" w:lineRule="exact"/>
              <w:rPr>
                <w:sz w:val="20"/>
                <w:szCs w:val="20"/>
                <w:color w:val="auto"/>
              </w:rPr>
            </w:pPr>
            <w:r>
              <w:rPr>
                <w:rFonts w:ascii="Arial" w:cs="Arial" w:eastAsia="Arial" w:hAnsi="Arial"/>
                <w:sz w:val="16"/>
                <w:szCs w:val="16"/>
                <w:color w:val="auto"/>
              </w:rPr>
              <w:t>10.6</w:t>
            </w:r>
          </w:p>
        </w:tc>
        <w:tc>
          <w:tcPr>
            <w:tcW w:w="4520" w:type="dxa"/>
            <w:vAlign w:val="bottom"/>
            <w:shd w:val="clear" w:color="auto" w:fill="CCEEFF"/>
          </w:tcPr>
          <w:p>
            <w:pPr>
              <w:ind w:left="240"/>
              <w:spacing w:after="0" w:line="148" w:lineRule="exact"/>
              <w:rPr>
                <w:sz w:val="20"/>
                <w:szCs w:val="20"/>
                <w:color w:val="auto"/>
              </w:rPr>
            </w:pPr>
            <w:r>
              <w:rPr>
                <w:rFonts w:ascii="Arial" w:cs="Arial" w:eastAsia="Arial" w:hAnsi="Arial"/>
                <w:sz w:val="16"/>
                <w:szCs w:val="16"/>
                <w:color w:val="auto"/>
                <w:w w:val="95"/>
              </w:rPr>
              <w:t>Amended and Restated Lease Agreement, dated as of July 28,</w:t>
            </w:r>
          </w:p>
        </w:tc>
        <w:tc>
          <w:tcPr>
            <w:tcW w:w="4580" w:type="dxa"/>
            <w:vAlign w:val="bottom"/>
            <w:gridSpan w:val="4"/>
            <w:shd w:val="clear" w:color="auto" w:fill="CCEEFF"/>
          </w:tcPr>
          <w:p>
            <w:pPr>
              <w:spacing w:after="0" w:line="148" w:lineRule="exact"/>
              <w:rPr>
                <w:rFonts w:ascii="Arial" w:cs="Arial" w:eastAsia="Arial" w:hAnsi="Arial"/>
                <w:sz w:val="16"/>
                <w:szCs w:val="16"/>
                <w:color w:val="auto"/>
                <w:w w:val="94"/>
              </w:rPr>
            </w:pPr>
            <w:hyperlink r:id="rId346">
              <w:r>
                <w:rPr>
                  <w:rFonts w:ascii="Arial" w:cs="Arial" w:eastAsia="Arial" w:hAnsi="Arial"/>
                  <w:sz w:val="16"/>
                  <w:szCs w:val="16"/>
                  <w:color w:val="auto"/>
                  <w:w w:val="94"/>
                </w:rPr>
                <w:t xml:space="preserve">Filed as </w:t>
              </w:r>
              <w:r>
                <w:rPr>
                  <w:rFonts w:ascii="Arial" w:cs="Arial" w:eastAsia="Arial" w:hAnsi="Arial"/>
                  <w:sz w:val="16"/>
                  <w:szCs w:val="16"/>
                  <w:b w:val="1"/>
                  <w:bCs w:val="1"/>
                  <w:color w:val="0000EE"/>
                  <w:w w:val="94"/>
                </w:rPr>
                <w:t>Exhibit 10.40 to the Company’s Annual Report on Form</w:t>
              </w:r>
            </w:hyperlink>
          </w:p>
        </w:tc>
      </w:tr>
      <w:tr>
        <w:trPr>
          <w:trHeight w:val="20"/>
        </w:trPr>
        <w:tc>
          <w:tcPr>
            <w:tcW w:w="84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840" w:type="dxa"/>
            <w:vAlign w:val="bottom"/>
            <w:shd w:val="clear" w:color="auto" w:fill="CCEEFF"/>
          </w:tcPr>
          <w:p>
            <w:pPr>
              <w:spacing w:after="0"/>
              <w:rPr>
                <w:sz w:val="15"/>
                <w:szCs w:val="15"/>
                <w:color w:val="auto"/>
              </w:rPr>
            </w:pPr>
          </w:p>
        </w:tc>
        <w:tc>
          <w:tcPr>
            <w:tcW w:w="4520" w:type="dxa"/>
            <w:vAlign w:val="bottom"/>
            <w:shd w:val="clear" w:color="auto" w:fill="CCEEFF"/>
          </w:tcPr>
          <w:p>
            <w:pPr>
              <w:ind w:left="240"/>
              <w:spacing w:after="0" w:line="183" w:lineRule="exact"/>
              <w:rPr>
                <w:sz w:val="20"/>
                <w:szCs w:val="20"/>
                <w:color w:val="auto"/>
              </w:rPr>
            </w:pPr>
            <w:r>
              <w:rPr>
                <w:rFonts w:ascii="Arial" w:cs="Arial" w:eastAsia="Arial" w:hAnsi="Arial"/>
                <w:sz w:val="16"/>
                <w:szCs w:val="16"/>
                <w:color w:val="auto"/>
              </w:rPr>
              <w:t>2000, as amended and restated as of January 29, 2002,</w:t>
            </w:r>
          </w:p>
        </w:tc>
        <w:tc>
          <w:tcPr>
            <w:tcW w:w="4580" w:type="dxa"/>
            <w:vAlign w:val="bottom"/>
            <w:gridSpan w:val="4"/>
            <w:shd w:val="clear" w:color="auto" w:fill="CCEEFF"/>
          </w:tcPr>
          <w:p>
            <w:pPr>
              <w:spacing w:after="0" w:line="183" w:lineRule="exact"/>
              <w:rPr>
                <w:rFonts w:ascii="Arial" w:cs="Arial" w:eastAsia="Arial" w:hAnsi="Arial"/>
                <w:sz w:val="16"/>
                <w:szCs w:val="16"/>
                <w:b w:val="1"/>
                <w:bCs w:val="1"/>
                <w:color w:val="0000EE"/>
                <w:w w:val="93"/>
              </w:rPr>
            </w:pPr>
            <w:hyperlink r:id="rId346">
              <w:r>
                <w:rPr>
                  <w:rFonts w:ascii="Arial" w:cs="Arial" w:eastAsia="Arial" w:hAnsi="Arial"/>
                  <w:sz w:val="16"/>
                  <w:szCs w:val="16"/>
                  <w:b w:val="1"/>
                  <w:bCs w:val="1"/>
                  <w:color w:val="0000EE"/>
                  <w:w w:val="93"/>
                </w:rPr>
                <w:t xml:space="preserve">10-K </w:t>
              </w:r>
              <w:r>
                <w:rPr>
                  <w:rFonts w:ascii="Arial" w:cs="Arial" w:eastAsia="Arial" w:hAnsi="Arial"/>
                  <w:sz w:val="16"/>
                  <w:szCs w:val="16"/>
                  <w:color w:val="000000"/>
                  <w:w w:val="93"/>
                </w:rPr>
                <w:t>for the year ended December 31, 2002 and incorporated herein</w:t>
              </w:r>
            </w:hyperlink>
          </w:p>
        </w:tc>
      </w:tr>
      <w:tr>
        <w:trPr>
          <w:trHeight w:val="20"/>
        </w:trPr>
        <w:tc>
          <w:tcPr>
            <w:tcW w:w="84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40" w:type="dxa"/>
            <w:vAlign w:val="bottom"/>
            <w:gridSpan w:val="3"/>
            <w:shd w:val="clear" w:color="auto" w:fill="CCEEFF"/>
          </w:tcPr>
          <w:p>
            <w:pPr>
              <w:spacing w:after="0" w:line="20" w:lineRule="exact"/>
              <w:rPr>
                <w:sz w:val="1"/>
                <w:szCs w:val="1"/>
                <w:color w:val="auto"/>
              </w:rPr>
            </w:pPr>
          </w:p>
        </w:tc>
      </w:tr>
      <w:tr>
        <w:trPr>
          <w:trHeight w:val="223"/>
        </w:trPr>
        <w:tc>
          <w:tcPr>
            <w:tcW w:w="840" w:type="dxa"/>
            <w:vAlign w:val="bottom"/>
            <w:shd w:val="clear" w:color="auto" w:fill="CCEEFF"/>
          </w:tcPr>
          <w:p>
            <w:pPr>
              <w:spacing w:after="0"/>
              <w:rPr>
                <w:sz w:val="19"/>
                <w:szCs w:val="19"/>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8"/>
              </w:rPr>
              <w:t>between Sutton Hill Capital, L.L.C. and Citadel Cinemas, Inc.</w:t>
            </w:r>
          </w:p>
        </w:tc>
        <w:tc>
          <w:tcPr>
            <w:tcW w:w="45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by reference.</w:t>
            </w:r>
          </w:p>
        </w:tc>
      </w:tr>
    </w:tbl>
    <w:p>
      <w:pPr>
        <w:spacing w:after="0" w:line="1" w:lineRule="exact"/>
        <w:rPr>
          <w:sz w:val="20"/>
          <w:szCs w:val="20"/>
          <w:color w:val="auto"/>
        </w:rPr>
      </w:pPr>
    </w:p>
    <w:p>
      <w:pPr>
        <w:sectPr>
          <w:pgSz w:w="11900" w:h="16838" w:orient="portrait"/>
          <w:cols w:equalWidth="0" w:num="1">
            <w:col w:w="9940"/>
          </w:cols>
          <w:pgMar w:left="980" w:top="333" w:right="979" w:bottom="1440" w:gutter="0" w:footer="0" w:header="0"/>
          <w:type w:val="continuous"/>
        </w:sectPr>
      </w:pPr>
    </w:p>
    <w:p>
      <w:pPr>
        <w:ind w:left="1080" w:right="320" w:hanging="737"/>
        <w:spacing w:after="0" w:line="297" w:lineRule="auto"/>
        <w:tabs>
          <w:tab w:leader="none" w:pos="106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4"/>
          <w:szCs w:val="14"/>
          <w:color w:val="auto"/>
        </w:rPr>
        <w:t>Second Amendment to Amended and Restated Master Operating Lease dated as of September 1, 2005</w:t>
      </w:r>
    </w:p>
    <w:p>
      <w:pPr>
        <w:spacing w:after="0" w:line="1" w:lineRule="exact"/>
        <w:rPr>
          <w:sz w:val="20"/>
          <w:szCs w:val="20"/>
          <w:color w:val="auto"/>
        </w:rPr>
      </w:pPr>
    </w:p>
    <w:p>
      <w:pPr>
        <w:jc w:val="both"/>
        <w:ind w:left="1080" w:right="20" w:hanging="737"/>
        <w:spacing w:after="0" w:line="264" w:lineRule="auto"/>
        <w:tabs>
          <w:tab w:leader="none" w:pos="106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Assignment and Assumption of Lease between Sutton Hill Capital L.L.C. and Sutton Hill Properties, LLC dated as of September 19,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-381000</wp:posOffset>
            </wp:positionV>
            <wp:extent cx="6309360" cy="3860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6309360" cy="386080"/>
                    </a:xfrm>
                    <a:prstGeom prst="rect">
                      <a:avLst/>
                    </a:prstGeom>
                    <a:noFill/>
                  </pic:spPr>
                </pic:pic>
              </a:graphicData>
            </a:graphic>
          </wp:anchor>
        </w:drawing>
      </w:r>
    </w:p>
    <w:p>
      <w:pPr>
        <w:ind w:left="1080" w:hanging="737"/>
        <w:spacing w:after="0" w:line="311" w:lineRule="auto"/>
        <w:tabs>
          <w:tab w:leader="none" w:pos="106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4"/>
          <w:szCs w:val="14"/>
          <w:color w:val="auto"/>
        </w:rPr>
        <w:t>Third Amendment to Amended and Restated Master Operating Lease Agreement, dated June 29, 2010, between Sutton Hill Capital, L.L.C. and Citadel Cinemas, Inc.</w:t>
      </w:r>
    </w:p>
    <w:p>
      <w:pPr>
        <w:spacing w:after="0" w:line="20" w:lineRule="exact"/>
        <w:rPr>
          <w:sz w:val="20"/>
          <w:szCs w:val="20"/>
          <w:color w:val="auto"/>
        </w:rPr>
      </w:pPr>
      <w:r>
        <w:rPr>
          <w:sz w:val="20"/>
          <w:szCs w:val="20"/>
          <w:color w:val="auto"/>
        </w:rPr>
        <w:br w:type="column"/>
      </w:r>
    </w:p>
    <w:p>
      <w:pPr>
        <w:ind w:right="180"/>
        <w:spacing w:after="0" w:line="319" w:lineRule="auto"/>
        <w:rPr>
          <w:rFonts w:ascii="Arial" w:cs="Arial" w:eastAsia="Arial" w:hAnsi="Arial"/>
          <w:sz w:val="14"/>
          <w:szCs w:val="14"/>
          <w:b w:val="1"/>
          <w:bCs w:val="1"/>
          <w:color w:val="0000EE"/>
        </w:rPr>
      </w:pPr>
      <w:hyperlink r:id="rId348">
        <w:r>
          <w:rPr>
            <w:rFonts w:ascii="Arial" w:cs="Arial" w:eastAsia="Arial" w:hAnsi="Arial"/>
            <w:sz w:val="14"/>
            <w:szCs w:val="14"/>
            <w:color w:val="auto"/>
          </w:rPr>
          <w:t xml:space="preserve">Filed as </w:t>
        </w:r>
        <w:r>
          <w:rPr>
            <w:rFonts w:ascii="Arial" w:cs="Arial" w:eastAsia="Arial" w:hAnsi="Arial"/>
            <w:sz w:val="14"/>
            <w:szCs w:val="14"/>
            <w:b w:val="1"/>
            <w:bCs w:val="1"/>
            <w:u w:val="single" w:color="auto"/>
            <w:color w:val="0000EE"/>
          </w:rPr>
          <w:t>Exhibit 10.58 to the Company’s report on Form 8-K</w:t>
        </w:r>
      </w:hyperlink>
      <w:r>
        <w:rPr>
          <w:rFonts w:ascii="Arial" w:cs="Arial" w:eastAsia="Arial" w:hAnsi="Arial"/>
          <w:sz w:val="14"/>
          <w:szCs w:val="14"/>
          <w:color w:val="auto"/>
        </w:rPr>
        <w:t xml:space="preserve"> </w:t>
      </w:r>
      <w:hyperlink r:id="rId348">
        <w:r>
          <w:rPr>
            <w:rFonts w:ascii="Arial" w:cs="Arial" w:eastAsia="Arial" w:hAnsi="Arial"/>
            <w:sz w:val="14"/>
            <w:szCs w:val="14"/>
            <w:b w:val="1"/>
            <w:bCs w:val="1"/>
            <w:u w:val="single" w:color="auto"/>
            <w:color w:val="0000EE"/>
          </w:rPr>
          <w:t>filed on September 21, 2005</w:t>
        </w:r>
        <w:r>
          <w:rPr>
            <w:rFonts w:ascii="Arial" w:cs="Arial" w:eastAsia="Arial" w:hAnsi="Arial"/>
            <w:sz w:val="14"/>
            <w:szCs w:val="14"/>
            <w:color w:val="000000"/>
          </w:rPr>
          <w:t xml:space="preserve">, and incorporated herein by </w:t>
        </w:r>
      </w:hyperlink>
      <w:r>
        <w:rPr>
          <w:rFonts w:ascii="Arial" w:cs="Arial" w:eastAsia="Arial" w:hAnsi="Arial"/>
          <w:sz w:val="14"/>
          <w:szCs w:val="14"/>
          <w:b w:val="1"/>
          <w:bCs w:val="1"/>
          <w:color w:val="0000EE"/>
        </w:rPr>
        <w:t xml:space="preserve">reference. </w:t>
      </w:r>
      <w:hyperlink r:id="rId349">
        <w:r>
          <w:rPr>
            <w:rFonts w:ascii="Arial" w:cs="Arial" w:eastAsia="Arial" w:hAnsi="Arial"/>
            <w:sz w:val="14"/>
            <w:szCs w:val="14"/>
            <w:color w:val="000000"/>
          </w:rPr>
          <w:t xml:space="preserve">Filed as </w:t>
        </w:r>
        <w:r>
          <w:rPr>
            <w:rFonts w:ascii="Arial" w:cs="Arial" w:eastAsia="Arial" w:hAnsi="Arial"/>
            <w:sz w:val="14"/>
            <w:szCs w:val="14"/>
            <w:b w:val="1"/>
            <w:bCs w:val="1"/>
            <w:u w:val="single" w:color="auto"/>
            <w:color w:val="0000EE"/>
          </w:rPr>
          <w:t>Exhibit 10.56 to the Company’s report on Form 8-K</w:t>
        </w:r>
      </w:hyperlink>
      <w:r>
        <w:rPr>
          <w:rFonts w:ascii="Arial" w:cs="Arial" w:eastAsia="Arial" w:hAnsi="Arial"/>
          <w:sz w:val="14"/>
          <w:szCs w:val="14"/>
          <w:color w:val="000000"/>
        </w:rPr>
        <w:t xml:space="preserve"> </w:t>
      </w:r>
      <w:hyperlink r:id="rId349">
        <w:r>
          <w:rPr>
            <w:rFonts w:ascii="Arial" w:cs="Arial" w:eastAsia="Arial" w:hAnsi="Arial"/>
            <w:sz w:val="14"/>
            <w:szCs w:val="14"/>
            <w:b w:val="1"/>
            <w:bCs w:val="1"/>
            <w:u w:val="single" w:color="auto"/>
            <w:color w:val="0000EE"/>
          </w:rPr>
          <w:t>filed on September 21, 2005</w:t>
        </w:r>
        <w:r>
          <w:rPr>
            <w:rFonts w:ascii="Arial" w:cs="Arial" w:eastAsia="Arial" w:hAnsi="Arial"/>
            <w:sz w:val="14"/>
            <w:szCs w:val="14"/>
            <w:color w:val="000000"/>
          </w:rPr>
          <w:t xml:space="preserve">, and incorporated herein by </w:t>
        </w:r>
      </w:hyperlink>
      <w:r>
        <w:rPr>
          <w:rFonts w:ascii="Arial" w:cs="Arial" w:eastAsia="Arial" w:hAnsi="Arial"/>
          <w:sz w:val="14"/>
          <w:szCs w:val="14"/>
          <w:b w:val="1"/>
          <w:bCs w:val="1"/>
          <w:color w:val="0000EE"/>
        </w:rPr>
        <w:t>reference.</w:t>
      </w:r>
    </w:p>
    <w:p>
      <w:pPr>
        <w:spacing w:after="0" w:line="143" w:lineRule="exact"/>
        <w:rPr>
          <w:rFonts w:ascii="Arial" w:cs="Arial" w:eastAsia="Arial" w:hAnsi="Arial"/>
          <w:sz w:val="14"/>
          <w:szCs w:val="14"/>
          <w:b w:val="1"/>
          <w:bCs w:val="1"/>
          <w:color w:val="0000EE"/>
        </w:rPr>
      </w:pPr>
    </w:p>
    <w:p>
      <w:pPr>
        <w:ind w:right="160"/>
        <w:spacing w:after="0" w:line="276" w:lineRule="auto"/>
        <w:rPr>
          <w:rFonts w:ascii="Arial" w:cs="Arial" w:eastAsia="Arial" w:hAnsi="Arial"/>
          <w:sz w:val="16"/>
          <w:szCs w:val="16"/>
          <w:b w:val="1"/>
          <w:bCs w:val="1"/>
          <w:color w:val="0000EE"/>
        </w:rPr>
      </w:pPr>
      <w:hyperlink r:id="rId350">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10.21 to the Company’s report on Form 10-K</w:t>
        </w:r>
      </w:hyperlink>
      <w:r>
        <w:rPr>
          <w:rFonts w:ascii="Arial" w:cs="Arial" w:eastAsia="Arial" w:hAnsi="Arial"/>
          <w:sz w:val="16"/>
          <w:szCs w:val="16"/>
          <w:color w:val="auto"/>
        </w:rPr>
        <w:t xml:space="preserve"> </w:t>
      </w:r>
      <w:hyperlink r:id="rId350">
        <w:r>
          <w:rPr>
            <w:rFonts w:ascii="Arial" w:cs="Arial" w:eastAsia="Arial" w:hAnsi="Arial"/>
            <w:sz w:val="16"/>
            <w:szCs w:val="16"/>
            <w:b w:val="1"/>
            <w:bCs w:val="1"/>
            <w:u w:val="single" w:color="auto"/>
            <w:color w:val="0000EE"/>
          </w:rPr>
          <w:t>for the year ended December 31, 2010</w:t>
        </w:r>
        <w:r>
          <w:rPr>
            <w:rFonts w:ascii="Arial" w:cs="Arial" w:eastAsia="Arial" w:hAnsi="Arial"/>
            <w:sz w:val="16"/>
            <w:szCs w:val="16"/>
            <w:color w:val="000000"/>
          </w:rPr>
          <w:t xml:space="preserve">, and incorporated herein </w:t>
        </w:r>
      </w:hyperlink>
      <w:r>
        <w:rPr>
          <w:rFonts w:ascii="Arial" w:cs="Arial" w:eastAsia="Arial" w:hAnsi="Arial"/>
          <w:sz w:val="16"/>
          <w:szCs w:val="16"/>
          <w:b w:val="1"/>
          <w:bCs w:val="1"/>
          <w:color w:val="0000EE"/>
        </w:rPr>
        <w:t xml:space="preserve">by </w:t>
      </w:r>
      <w:r>
        <w:rPr>
          <w:rFonts w:ascii="Arial" w:cs="Arial" w:eastAsia="Arial" w:hAnsi="Arial"/>
          <w:sz w:val="16"/>
          <w:szCs w:val="16"/>
          <w:color w:val="000000"/>
        </w:rPr>
        <w:t>reference.</w:t>
      </w:r>
    </w:p>
    <w:p>
      <w:pPr>
        <w:spacing w:after="0" w:line="1" w:lineRule="exact"/>
        <w:rPr>
          <w:sz w:val="20"/>
          <w:szCs w:val="20"/>
          <w:color w:val="auto"/>
        </w:rPr>
      </w:pPr>
    </w:p>
    <w:p>
      <w:pPr>
        <w:sectPr>
          <w:pgSz w:w="11900" w:h="16838" w:orient="portrait"/>
          <w:cols w:equalWidth="0" w:num="2">
            <w:col w:w="4900" w:space="460"/>
            <w:col w:w="4580"/>
          </w:cols>
          <w:pgMar w:left="980" w:top="333" w:right="97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860" w:type="dxa"/>
            <w:vAlign w:val="bottom"/>
            <w:shd w:val="clear" w:color="auto" w:fill="CCEEFF"/>
          </w:tcPr>
          <w:p>
            <w:pPr>
              <w:jc w:val="right"/>
              <w:ind w:right="119"/>
              <w:spacing w:after="0" w:line="148" w:lineRule="exact"/>
              <w:rPr>
                <w:sz w:val="20"/>
                <w:szCs w:val="20"/>
                <w:color w:val="auto"/>
              </w:rPr>
            </w:pPr>
            <w:r>
              <w:rPr>
                <w:rFonts w:ascii="Arial" w:cs="Arial" w:eastAsia="Arial" w:hAnsi="Arial"/>
                <w:sz w:val="16"/>
                <w:szCs w:val="16"/>
                <w:color w:val="auto"/>
              </w:rPr>
              <w:t>10.10</w:t>
            </w:r>
          </w:p>
        </w:tc>
        <w:tc>
          <w:tcPr>
            <w:tcW w:w="4500" w:type="dxa"/>
            <w:vAlign w:val="bottom"/>
            <w:shd w:val="clear" w:color="auto" w:fill="CCEEFF"/>
          </w:tcPr>
          <w:p>
            <w:pPr>
              <w:ind w:left="220"/>
              <w:spacing w:after="0" w:line="148" w:lineRule="exact"/>
              <w:rPr>
                <w:sz w:val="20"/>
                <w:szCs w:val="20"/>
                <w:color w:val="auto"/>
              </w:rPr>
            </w:pPr>
            <w:r>
              <w:rPr>
                <w:rFonts w:ascii="Arial" w:cs="Arial" w:eastAsia="Arial" w:hAnsi="Arial"/>
                <w:sz w:val="16"/>
                <w:szCs w:val="16"/>
                <w:color w:val="auto"/>
              </w:rPr>
              <w:t>Omnibus Amendment Agreement, dated as of October 22,</w:t>
            </w:r>
          </w:p>
        </w:tc>
        <w:tc>
          <w:tcPr>
            <w:tcW w:w="4580" w:type="dxa"/>
            <w:vAlign w:val="bottom"/>
            <w:gridSpan w:val="4"/>
            <w:shd w:val="clear" w:color="auto" w:fill="CCEEFF"/>
          </w:tcPr>
          <w:p>
            <w:pPr>
              <w:spacing w:after="0" w:line="148" w:lineRule="exact"/>
              <w:rPr>
                <w:rFonts w:ascii="Arial" w:cs="Arial" w:eastAsia="Arial" w:hAnsi="Arial"/>
                <w:sz w:val="16"/>
                <w:szCs w:val="16"/>
                <w:color w:val="auto"/>
                <w:w w:val="99"/>
              </w:rPr>
            </w:pPr>
            <w:hyperlink r:id="rId351">
              <w:r>
                <w:rPr>
                  <w:rFonts w:ascii="Arial" w:cs="Arial" w:eastAsia="Arial" w:hAnsi="Arial"/>
                  <w:sz w:val="16"/>
                  <w:szCs w:val="16"/>
                  <w:color w:val="auto"/>
                  <w:w w:val="99"/>
                </w:rPr>
                <w:t xml:space="preserve">Filed as </w:t>
              </w:r>
              <w:r>
                <w:rPr>
                  <w:rFonts w:ascii="Arial" w:cs="Arial" w:eastAsia="Arial" w:hAnsi="Arial"/>
                  <w:sz w:val="16"/>
                  <w:szCs w:val="16"/>
                  <w:b w:val="1"/>
                  <w:bCs w:val="1"/>
                  <w:color w:val="0000EE"/>
                  <w:w w:val="99"/>
                </w:rPr>
                <w:t>Exhibit 10.49 to the Company’s report on Form 10-Q</w:t>
              </w:r>
            </w:hyperlink>
          </w:p>
        </w:tc>
      </w:tr>
      <w:tr>
        <w:trPr>
          <w:trHeight w:val="20"/>
        </w:trPr>
        <w:tc>
          <w:tcPr>
            <w:tcW w:w="860" w:type="dxa"/>
            <w:vAlign w:val="bottom"/>
            <w:shd w:val="clear" w:color="auto" w:fill="CCEEFF"/>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183"/>
        </w:trPr>
        <w:tc>
          <w:tcPr>
            <w:tcW w:w="860" w:type="dxa"/>
            <w:vAlign w:val="bottom"/>
            <w:shd w:val="clear" w:color="auto" w:fill="CCEEFF"/>
          </w:tcPr>
          <w:p>
            <w:pPr>
              <w:spacing w:after="0"/>
              <w:rPr>
                <w:sz w:val="15"/>
                <w:szCs w:val="15"/>
                <w:color w:val="auto"/>
              </w:rPr>
            </w:pPr>
          </w:p>
        </w:tc>
        <w:tc>
          <w:tcPr>
            <w:tcW w:w="450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2003, between Citadel Cinemas, Inc., Sutton Hill Capital,</w:t>
            </w:r>
          </w:p>
        </w:tc>
        <w:tc>
          <w:tcPr>
            <w:tcW w:w="4580" w:type="dxa"/>
            <w:vAlign w:val="bottom"/>
            <w:gridSpan w:val="4"/>
            <w:shd w:val="clear" w:color="auto" w:fill="CCEEFF"/>
          </w:tcPr>
          <w:p>
            <w:pPr>
              <w:spacing w:after="0" w:line="183" w:lineRule="exact"/>
              <w:rPr>
                <w:rFonts w:ascii="Arial" w:cs="Arial" w:eastAsia="Arial" w:hAnsi="Arial"/>
                <w:sz w:val="16"/>
                <w:szCs w:val="16"/>
                <w:b w:val="1"/>
                <w:bCs w:val="1"/>
                <w:color w:val="0000EE"/>
                <w:w w:val="93"/>
              </w:rPr>
            </w:pPr>
            <w:hyperlink r:id="rId351">
              <w:r>
                <w:rPr>
                  <w:rFonts w:ascii="Arial" w:cs="Arial" w:eastAsia="Arial" w:hAnsi="Arial"/>
                  <w:sz w:val="16"/>
                  <w:szCs w:val="16"/>
                  <w:b w:val="1"/>
                  <w:bCs w:val="1"/>
                  <w:color w:val="0000EE"/>
                  <w:w w:val="93"/>
                </w:rPr>
                <w:t>for the period ended September 30, 2003</w:t>
              </w:r>
              <w:r>
                <w:rPr>
                  <w:rFonts w:ascii="Arial" w:cs="Arial" w:eastAsia="Arial" w:hAnsi="Arial"/>
                  <w:sz w:val="16"/>
                  <w:szCs w:val="16"/>
                  <w:color w:val="000000"/>
                  <w:w w:val="93"/>
                </w:rPr>
                <w:t xml:space="preserve">, and incorporated </w:t>
              </w:r>
            </w:hyperlink>
            <w:r>
              <w:rPr>
                <w:rFonts w:ascii="Arial" w:cs="Arial" w:eastAsia="Arial" w:hAnsi="Arial"/>
                <w:sz w:val="16"/>
                <w:szCs w:val="16"/>
                <w:b w:val="1"/>
                <w:bCs w:val="1"/>
                <w:color w:val="0000EE"/>
                <w:w w:val="93"/>
              </w:rPr>
              <w:t>herein</w:t>
            </w:r>
          </w:p>
        </w:tc>
      </w:tr>
      <w:tr>
        <w:trPr>
          <w:trHeight w:val="213"/>
        </w:trPr>
        <w:tc>
          <w:tcPr>
            <w:tcW w:w="8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L.L.C., Nationwide Theatres Corp., Sutton Hill Associates,</w:t>
            </w:r>
          </w:p>
        </w:tc>
        <w:tc>
          <w:tcPr>
            <w:tcW w:w="280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rPr>
              <w:t>by reference.</w:t>
            </w:r>
          </w:p>
        </w:tc>
        <w:tc>
          <w:tcPr>
            <w:tcW w:w="1780" w:type="dxa"/>
            <w:vAlign w:val="bottom"/>
            <w:tcBorders>
              <w:top w:val="single" w:sz="8" w:color="CCEEFF"/>
            </w:tcBorders>
            <w:gridSpan w:val="2"/>
            <w:shd w:val="clear" w:color="auto" w:fill="CCEEFF"/>
          </w:tcPr>
          <w:p>
            <w:pPr>
              <w:spacing w:after="0"/>
              <w:rPr>
                <w:sz w:val="18"/>
                <w:szCs w:val="18"/>
                <w:color w:val="auto"/>
              </w:rPr>
            </w:pPr>
          </w:p>
        </w:tc>
      </w:tr>
      <w:tr>
        <w:trPr>
          <w:trHeight w:val="212"/>
        </w:trPr>
        <w:tc>
          <w:tcPr>
            <w:tcW w:w="860" w:type="dxa"/>
            <w:vAlign w:val="bottom"/>
            <w:shd w:val="clear" w:color="auto" w:fill="CCEEFF"/>
          </w:tcPr>
          <w:p>
            <w:pPr>
              <w:spacing w:after="0"/>
              <w:rPr>
                <w:sz w:val="18"/>
                <w:szCs w:val="18"/>
                <w:color w:val="auto"/>
              </w:rPr>
            </w:pPr>
          </w:p>
        </w:tc>
        <w:tc>
          <w:tcPr>
            <w:tcW w:w="4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Reading International, Inc.</w:t>
            </w:r>
          </w:p>
        </w:tc>
        <w:tc>
          <w:tcPr>
            <w:tcW w:w="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9940"/>
          </w:cols>
          <w:pgMar w:left="980" w:top="333" w:right="979" w:bottom="1440" w:gutter="0" w:footer="0" w:header="0"/>
          <w:type w:val="continuous"/>
        </w:sectPr>
      </w:pPr>
    </w:p>
    <w:p>
      <w:pPr>
        <w:ind w:left="1080" w:hanging="777"/>
        <w:spacing w:after="0" w:line="267" w:lineRule="auto"/>
        <w:tabs>
          <w:tab w:leader="none" w:pos="106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Amended and Restated Declaration of Trust, dated February 5, 2007, among Reading International Inc., as sponsor, the Administrators named therein, and Wells Fargo Bank, N.A., as property trustee, and Wells Fargo Delaware Trust Company as Delaware trustee</w:t>
      </w:r>
    </w:p>
    <w:p>
      <w:pPr>
        <w:spacing w:after="0" w:line="20" w:lineRule="exact"/>
        <w:rPr>
          <w:sz w:val="20"/>
          <w:szCs w:val="20"/>
          <w:color w:val="auto"/>
        </w:rPr>
      </w:pPr>
      <w:r>
        <w:rPr>
          <w:sz w:val="20"/>
          <w:szCs w:val="20"/>
          <w:color w:val="auto"/>
        </w:rPr>
        <w:br w:type="column"/>
      </w:r>
    </w:p>
    <w:p>
      <w:pPr>
        <w:jc w:val="both"/>
        <w:ind w:right="480"/>
        <w:spacing w:after="0" w:line="354" w:lineRule="auto"/>
        <w:rPr>
          <w:rFonts w:ascii="Arial" w:cs="Arial" w:eastAsia="Arial" w:hAnsi="Arial"/>
          <w:sz w:val="14"/>
          <w:szCs w:val="14"/>
          <w:b w:val="1"/>
          <w:bCs w:val="1"/>
          <w:color w:val="0000EE"/>
        </w:rPr>
      </w:pPr>
      <w:hyperlink r:id="rId352">
        <w:r>
          <w:rPr>
            <w:rFonts w:ascii="Arial" w:cs="Arial" w:eastAsia="Arial" w:hAnsi="Arial"/>
            <w:sz w:val="14"/>
            <w:szCs w:val="14"/>
            <w:color w:val="auto"/>
          </w:rPr>
          <w:t xml:space="preserve">Filed as </w:t>
        </w:r>
        <w:r>
          <w:rPr>
            <w:rFonts w:ascii="Arial" w:cs="Arial" w:eastAsia="Arial" w:hAnsi="Arial"/>
            <w:sz w:val="14"/>
            <w:szCs w:val="14"/>
            <w:b w:val="1"/>
            <w:bCs w:val="1"/>
            <w:u w:val="single" w:color="auto"/>
            <w:color w:val="0000EE"/>
          </w:rPr>
          <w:t>Exhibit 10.2 to the Company’s report on Form 8-K</w:t>
        </w:r>
      </w:hyperlink>
      <w:r>
        <w:rPr>
          <w:rFonts w:ascii="Arial" w:cs="Arial" w:eastAsia="Arial" w:hAnsi="Arial"/>
          <w:sz w:val="14"/>
          <w:szCs w:val="14"/>
          <w:color w:val="auto"/>
        </w:rPr>
        <w:t xml:space="preserve"> </w:t>
      </w:r>
      <w:hyperlink r:id="rId352">
        <w:r>
          <w:rPr>
            <w:rFonts w:ascii="Arial" w:cs="Arial" w:eastAsia="Arial" w:hAnsi="Arial"/>
            <w:sz w:val="14"/>
            <w:szCs w:val="14"/>
            <w:b w:val="1"/>
            <w:bCs w:val="1"/>
            <w:u w:val="single" w:color="auto"/>
            <w:color w:val="0000EE"/>
          </w:rPr>
          <w:t>dated February 5, 2007</w:t>
        </w:r>
        <w:r>
          <w:rPr>
            <w:rFonts w:ascii="Arial" w:cs="Arial" w:eastAsia="Arial" w:hAnsi="Arial"/>
            <w:sz w:val="14"/>
            <w:szCs w:val="14"/>
            <w:color w:val="000000"/>
          </w:rPr>
          <w:t>, and incorporated herein by reference.</w:t>
        </w:r>
      </w:hyperlink>
    </w:p>
    <w:p>
      <w:pPr>
        <w:spacing w:after="0" w:line="549" w:lineRule="exact"/>
        <w:rPr>
          <w:sz w:val="20"/>
          <w:szCs w:val="20"/>
          <w:color w:val="auto"/>
        </w:rPr>
      </w:pPr>
    </w:p>
    <w:p>
      <w:pPr>
        <w:sectPr>
          <w:pgSz w:w="11900" w:h="16838" w:orient="portrait"/>
          <w:cols w:equalWidth="0" w:num="2">
            <w:col w:w="4960" w:space="400"/>
            <w:col w:w="4580"/>
          </w:cols>
          <w:pgMar w:left="980" w:top="333" w:right="97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860" w:type="dxa"/>
            <w:vAlign w:val="bottom"/>
            <w:shd w:val="clear" w:color="auto" w:fill="CCEEFF"/>
          </w:tcPr>
          <w:p>
            <w:pPr>
              <w:jc w:val="right"/>
              <w:ind w:right="119"/>
              <w:spacing w:after="0" w:line="152" w:lineRule="exact"/>
              <w:rPr>
                <w:sz w:val="20"/>
                <w:szCs w:val="20"/>
                <w:color w:val="auto"/>
              </w:rPr>
            </w:pPr>
            <w:r>
              <w:rPr>
                <w:rFonts w:ascii="Arial" w:cs="Arial" w:eastAsia="Arial" w:hAnsi="Arial"/>
                <w:sz w:val="16"/>
                <w:szCs w:val="16"/>
                <w:color w:val="auto"/>
              </w:rPr>
              <w:t>10.13</w:t>
            </w:r>
          </w:p>
        </w:tc>
        <w:tc>
          <w:tcPr>
            <w:tcW w:w="4500" w:type="dxa"/>
            <w:vAlign w:val="bottom"/>
            <w:shd w:val="clear" w:color="auto" w:fill="CCEEFF"/>
          </w:tcPr>
          <w:p>
            <w:pPr>
              <w:ind w:left="220"/>
              <w:spacing w:after="0" w:line="152" w:lineRule="exact"/>
              <w:rPr>
                <w:sz w:val="20"/>
                <w:szCs w:val="20"/>
                <w:color w:val="auto"/>
              </w:rPr>
            </w:pPr>
            <w:r>
              <w:rPr>
                <w:rFonts w:ascii="Arial" w:cs="Arial" w:eastAsia="Arial" w:hAnsi="Arial"/>
                <w:sz w:val="16"/>
                <w:szCs w:val="16"/>
                <w:color w:val="auto"/>
              </w:rPr>
              <w:t>Amended and Restated Corporate Markets Loan &amp; Bank</w:t>
            </w:r>
          </w:p>
        </w:tc>
        <w:tc>
          <w:tcPr>
            <w:tcW w:w="4580" w:type="dxa"/>
            <w:vAlign w:val="bottom"/>
            <w:gridSpan w:val="4"/>
            <w:shd w:val="clear" w:color="auto" w:fill="CCEEFF"/>
          </w:tcPr>
          <w:p>
            <w:pPr>
              <w:spacing w:after="0" w:line="152" w:lineRule="exact"/>
              <w:rPr>
                <w:rFonts w:ascii="Arial" w:cs="Arial" w:eastAsia="Arial" w:hAnsi="Arial"/>
                <w:sz w:val="16"/>
                <w:szCs w:val="16"/>
                <w:color w:val="auto"/>
                <w:w w:val="96"/>
              </w:rPr>
            </w:pPr>
            <w:hyperlink r:id="rId353">
              <w:r>
                <w:rPr>
                  <w:rFonts w:ascii="Arial" w:cs="Arial" w:eastAsia="Arial" w:hAnsi="Arial"/>
                  <w:sz w:val="16"/>
                  <w:szCs w:val="16"/>
                  <w:color w:val="auto"/>
                  <w:w w:val="96"/>
                </w:rPr>
                <w:t xml:space="preserve">Filed as </w:t>
              </w:r>
              <w:r>
                <w:rPr>
                  <w:rFonts w:ascii="Arial" w:cs="Arial" w:eastAsia="Arial" w:hAnsi="Arial"/>
                  <w:sz w:val="16"/>
                  <w:szCs w:val="16"/>
                  <w:b w:val="1"/>
                  <w:bCs w:val="1"/>
                  <w:color w:val="0000EE"/>
                  <w:w w:val="96"/>
                </w:rPr>
                <w:t>Exhibit 10.9 to the Company’s Annual Report on Form</w:t>
              </w:r>
            </w:hyperlink>
          </w:p>
        </w:tc>
      </w:tr>
      <w:tr>
        <w:trPr>
          <w:trHeight w:val="20"/>
        </w:trPr>
        <w:tc>
          <w:tcPr>
            <w:tcW w:w="860" w:type="dxa"/>
            <w:vAlign w:val="bottom"/>
            <w:shd w:val="clear" w:color="auto" w:fill="CCEEFF"/>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860" w:type="dxa"/>
            <w:vAlign w:val="bottom"/>
            <w:shd w:val="clear" w:color="auto" w:fill="CCEEFF"/>
          </w:tcPr>
          <w:p>
            <w:pPr>
              <w:spacing w:after="0"/>
              <w:rPr>
                <w:sz w:val="15"/>
                <w:szCs w:val="15"/>
                <w:color w:val="auto"/>
              </w:rPr>
            </w:pPr>
          </w:p>
        </w:tc>
        <w:tc>
          <w:tcPr>
            <w:tcW w:w="450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Guarantee Facility Agreement dated December 23, 2015,</w:t>
            </w:r>
          </w:p>
        </w:tc>
        <w:tc>
          <w:tcPr>
            <w:tcW w:w="4580" w:type="dxa"/>
            <w:vAlign w:val="bottom"/>
            <w:gridSpan w:val="4"/>
            <w:shd w:val="clear" w:color="auto" w:fill="CCEEFF"/>
          </w:tcPr>
          <w:p>
            <w:pPr>
              <w:spacing w:after="0" w:line="183" w:lineRule="exact"/>
              <w:rPr>
                <w:rFonts w:ascii="Arial" w:cs="Arial" w:eastAsia="Arial" w:hAnsi="Arial"/>
                <w:sz w:val="16"/>
                <w:szCs w:val="16"/>
                <w:b w:val="1"/>
                <w:bCs w:val="1"/>
                <w:color w:val="0000EE"/>
              </w:rPr>
            </w:pPr>
            <w:hyperlink r:id="rId353">
              <w:r>
                <w:rPr>
                  <w:rFonts w:ascii="Arial" w:cs="Arial" w:eastAsia="Arial" w:hAnsi="Arial"/>
                  <w:sz w:val="16"/>
                  <w:szCs w:val="16"/>
                  <w:b w:val="1"/>
                  <w:bCs w:val="1"/>
                  <w:color w:val="0000EE"/>
                </w:rPr>
                <w:t>10-K for the year ended December 31, 2015</w:t>
              </w:r>
              <w:r>
                <w:rPr>
                  <w:rFonts w:ascii="Arial" w:cs="Arial" w:eastAsia="Arial" w:hAnsi="Arial"/>
                  <w:sz w:val="16"/>
                  <w:szCs w:val="16"/>
                  <w:color w:val="000000"/>
                </w:rPr>
                <w:t>, filed on April 29,</w:t>
              </w:r>
            </w:hyperlink>
          </w:p>
        </w:tc>
      </w:tr>
      <w:tr>
        <w:trPr>
          <w:trHeight w:val="213"/>
        </w:trPr>
        <w:tc>
          <w:tcPr>
            <w:tcW w:w="8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8"/>
              </w:rPr>
              <w:t>among Reading Entertainment Australia Pty Ltd and National</w:t>
            </w:r>
          </w:p>
        </w:tc>
        <w:tc>
          <w:tcPr>
            <w:tcW w:w="298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w w:val="96"/>
              </w:rPr>
              <w:t>2016 and incorporated herein by reference.</w:t>
            </w:r>
          </w:p>
        </w:tc>
        <w:tc>
          <w:tcPr>
            <w:tcW w:w="1600" w:type="dxa"/>
            <w:vAlign w:val="bottom"/>
            <w:tcBorders>
              <w:top w:val="single" w:sz="8" w:color="CCEEFF"/>
            </w:tcBorders>
            <w:gridSpan w:val="2"/>
            <w:shd w:val="clear" w:color="auto" w:fill="CCEEFF"/>
          </w:tcPr>
          <w:p>
            <w:pPr>
              <w:spacing w:after="0"/>
              <w:rPr>
                <w:sz w:val="18"/>
                <w:szCs w:val="18"/>
                <w:color w:val="auto"/>
              </w:rPr>
            </w:pPr>
          </w:p>
        </w:tc>
      </w:tr>
      <w:tr>
        <w:trPr>
          <w:trHeight w:val="212"/>
        </w:trPr>
        <w:tc>
          <w:tcPr>
            <w:tcW w:w="860" w:type="dxa"/>
            <w:vAlign w:val="bottom"/>
            <w:shd w:val="clear" w:color="auto" w:fill="CCEEFF"/>
          </w:tcPr>
          <w:p>
            <w:pPr>
              <w:spacing w:after="0"/>
              <w:rPr>
                <w:sz w:val="18"/>
                <w:szCs w:val="18"/>
                <w:color w:val="auto"/>
              </w:rPr>
            </w:pPr>
          </w:p>
        </w:tc>
        <w:tc>
          <w:tcPr>
            <w:tcW w:w="4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Australia Bank Limited</w:t>
            </w:r>
          </w:p>
        </w:tc>
        <w:tc>
          <w:tcPr>
            <w:tcW w:w="5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9940"/>
          </w:cols>
          <w:pgMar w:left="980" w:top="333" w:right="979" w:bottom="1440" w:gutter="0" w:footer="0" w:header="0"/>
          <w:type w:val="continuous"/>
        </w:sectPr>
      </w:pPr>
    </w:p>
    <w:p>
      <w:pPr>
        <w:ind w:left="1080" w:hanging="777"/>
        <w:spacing w:after="0" w:line="270" w:lineRule="auto"/>
        <w:tabs>
          <w:tab w:leader="none" w:pos="106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Wholesale Term Loan Facility dated May 21, 2015, among Reading Courtenay Central Limited and Westpac New Zealand Limited</w:t>
      </w:r>
    </w:p>
    <w:p>
      <w:pPr>
        <w:spacing w:after="0" w:line="20" w:lineRule="exact"/>
        <w:rPr>
          <w:sz w:val="20"/>
          <w:szCs w:val="20"/>
          <w:color w:val="auto"/>
        </w:rPr>
      </w:pPr>
      <w:r>
        <w:rPr>
          <w:sz w:val="20"/>
          <w:szCs w:val="20"/>
          <w:color w:val="auto"/>
        </w:rPr>
        <w:br w:type="column"/>
      </w:r>
    </w:p>
    <w:p>
      <w:pPr>
        <w:ind w:right="140"/>
        <w:spacing w:after="0" w:line="270" w:lineRule="auto"/>
        <w:rPr>
          <w:rFonts w:ascii="Arial" w:cs="Arial" w:eastAsia="Arial" w:hAnsi="Arial"/>
          <w:sz w:val="16"/>
          <w:szCs w:val="16"/>
          <w:b w:val="1"/>
          <w:bCs w:val="1"/>
          <w:color w:val="0000EE"/>
        </w:rPr>
      </w:pPr>
      <w:hyperlink r:id="rId354">
        <w:r>
          <w:rPr>
            <w:rFonts w:ascii="Arial" w:cs="Arial" w:eastAsia="Arial" w:hAnsi="Arial"/>
            <w:sz w:val="16"/>
            <w:szCs w:val="16"/>
            <w:color w:val="auto"/>
          </w:rPr>
          <w:t xml:space="preserve">Filed as </w:t>
        </w:r>
        <w:r>
          <w:rPr>
            <w:rFonts w:ascii="Arial" w:cs="Arial" w:eastAsia="Arial" w:hAnsi="Arial"/>
            <w:sz w:val="16"/>
            <w:szCs w:val="16"/>
            <w:b w:val="1"/>
            <w:bCs w:val="1"/>
            <w:u w:val="single" w:color="auto"/>
            <w:color w:val="0000EE"/>
          </w:rPr>
          <w:t>Exhibit 10.10 to the Company’s Annual Report on Form</w:t>
        </w:r>
      </w:hyperlink>
      <w:r>
        <w:rPr>
          <w:rFonts w:ascii="Arial" w:cs="Arial" w:eastAsia="Arial" w:hAnsi="Arial"/>
          <w:sz w:val="16"/>
          <w:szCs w:val="16"/>
          <w:color w:val="auto"/>
        </w:rPr>
        <w:t xml:space="preserve"> </w:t>
      </w:r>
      <w:hyperlink r:id="rId354">
        <w:r>
          <w:rPr>
            <w:rFonts w:ascii="Arial" w:cs="Arial" w:eastAsia="Arial" w:hAnsi="Arial"/>
            <w:sz w:val="16"/>
            <w:szCs w:val="16"/>
            <w:b w:val="1"/>
            <w:bCs w:val="1"/>
            <w:u w:val="single" w:color="auto"/>
            <w:color w:val="0000EE"/>
          </w:rPr>
          <w:t>10-K for the year ended December 31, 2015</w:t>
        </w:r>
        <w:r>
          <w:rPr>
            <w:rFonts w:ascii="Arial" w:cs="Arial" w:eastAsia="Arial" w:hAnsi="Arial"/>
            <w:sz w:val="16"/>
            <w:szCs w:val="16"/>
            <w:color w:val="000000"/>
          </w:rPr>
          <w:t>, filed on April 29,</w:t>
        </w:r>
      </w:hyperlink>
      <w:r>
        <w:rPr>
          <w:rFonts w:ascii="Arial" w:cs="Arial" w:eastAsia="Arial" w:hAnsi="Arial"/>
          <w:sz w:val="16"/>
          <w:szCs w:val="16"/>
          <w:b w:val="1"/>
          <w:bCs w:val="1"/>
          <w:color w:val="0000EE"/>
        </w:rPr>
        <w:t xml:space="preserve"> </w:t>
      </w:r>
      <w:r>
        <w:rPr>
          <w:rFonts w:ascii="Arial" w:cs="Arial" w:eastAsia="Arial" w:hAnsi="Arial"/>
          <w:sz w:val="16"/>
          <w:szCs w:val="16"/>
          <w:color w:val="000000"/>
        </w:rPr>
        <w:t>2016 and incorporated herein by reference.</w:t>
      </w:r>
    </w:p>
    <w:p>
      <w:pPr>
        <w:spacing w:after="0" w:line="1" w:lineRule="exact"/>
        <w:rPr>
          <w:sz w:val="20"/>
          <w:szCs w:val="20"/>
          <w:color w:val="auto"/>
        </w:rPr>
      </w:pPr>
    </w:p>
    <w:p>
      <w:pPr>
        <w:sectPr>
          <w:pgSz w:w="11900" w:h="16838" w:orient="portrait"/>
          <w:cols w:equalWidth="0" w:num="2">
            <w:col w:w="4900" w:space="460"/>
            <w:col w:w="4580"/>
          </w:cols>
          <w:pgMar w:left="980" w:top="333" w:right="97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880" w:type="dxa"/>
            <w:vAlign w:val="bottom"/>
            <w:shd w:val="clear" w:color="auto" w:fill="CCEEFF"/>
          </w:tcPr>
          <w:p>
            <w:pPr>
              <w:jc w:val="right"/>
              <w:ind w:right="99"/>
              <w:spacing w:after="0" w:line="148" w:lineRule="exact"/>
              <w:rPr>
                <w:sz w:val="20"/>
                <w:szCs w:val="20"/>
                <w:color w:val="auto"/>
              </w:rPr>
            </w:pPr>
            <w:r>
              <w:rPr>
                <w:rFonts w:ascii="Arial" w:cs="Arial" w:eastAsia="Arial" w:hAnsi="Arial"/>
                <w:sz w:val="16"/>
                <w:szCs w:val="16"/>
                <w:color w:val="auto"/>
              </w:rPr>
              <w:t>10.17*</w:t>
            </w:r>
          </w:p>
        </w:tc>
        <w:tc>
          <w:tcPr>
            <w:tcW w:w="4480" w:type="dxa"/>
            <w:vAlign w:val="bottom"/>
            <w:shd w:val="clear" w:color="auto" w:fill="CCEEFF"/>
          </w:tcPr>
          <w:p>
            <w:pPr>
              <w:ind w:left="200"/>
              <w:spacing w:after="0" w:line="148" w:lineRule="exact"/>
              <w:rPr>
                <w:sz w:val="20"/>
                <w:szCs w:val="20"/>
                <w:color w:val="auto"/>
              </w:rPr>
            </w:pPr>
            <w:r>
              <w:rPr>
                <w:rFonts w:ascii="Arial" w:cs="Arial" w:eastAsia="Arial" w:hAnsi="Arial"/>
                <w:sz w:val="16"/>
                <w:szCs w:val="16"/>
                <w:color w:val="auto"/>
              </w:rPr>
              <w:t>Form of Indemnification Agreement, as routinely granted to</w:t>
            </w:r>
          </w:p>
        </w:tc>
        <w:tc>
          <w:tcPr>
            <w:tcW w:w="4580" w:type="dxa"/>
            <w:vAlign w:val="bottom"/>
            <w:gridSpan w:val="4"/>
            <w:shd w:val="clear" w:color="auto" w:fill="CCEEFF"/>
          </w:tcPr>
          <w:p>
            <w:pPr>
              <w:spacing w:after="0" w:line="148" w:lineRule="exact"/>
              <w:rPr>
                <w:rFonts w:ascii="Arial" w:cs="Arial" w:eastAsia="Arial" w:hAnsi="Arial"/>
                <w:sz w:val="16"/>
                <w:szCs w:val="16"/>
                <w:color w:val="auto"/>
                <w:w w:val="99"/>
              </w:rPr>
            </w:pPr>
            <w:hyperlink r:id="rId355">
              <w:r>
                <w:rPr>
                  <w:rFonts w:ascii="Arial" w:cs="Arial" w:eastAsia="Arial" w:hAnsi="Arial"/>
                  <w:sz w:val="16"/>
                  <w:szCs w:val="16"/>
                  <w:color w:val="auto"/>
                  <w:w w:val="99"/>
                </w:rPr>
                <w:t xml:space="preserve">Filed as </w:t>
              </w:r>
              <w:r>
                <w:rPr>
                  <w:rFonts w:ascii="Arial" w:cs="Arial" w:eastAsia="Arial" w:hAnsi="Arial"/>
                  <w:sz w:val="16"/>
                  <w:szCs w:val="16"/>
                  <w:b w:val="1"/>
                  <w:bCs w:val="1"/>
                  <w:color w:val="0000EE"/>
                  <w:w w:val="99"/>
                </w:rPr>
                <w:t>Exhibit 10.77 to the Company’s report on Form 10-Q</w:t>
              </w:r>
            </w:hyperlink>
          </w:p>
        </w:tc>
      </w:tr>
      <w:tr>
        <w:trPr>
          <w:trHeight w:val="20"/>
        </w:trPr>
        <w:tc>
          <w:tcPr>
            <w:tcW w:w="88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182"/>
        </w:trPr>
        <w:tc>
          <w:tcPr>
            <w:tcW w:w="880" w:type="dxa"/>
            <w:vAlign w:val="bottom"/>
            <w:shd w:val="clear" w:color="auto" w:fill="CCEEFF"/>
          </w:tcPr>
          <w:p>
            <w:pPr>
              <w:spacing w:after="0"/>
              <w:rPr>
                <w:sz w:val="15"/>
                <w:szCs w:val="15"/>
                <w:color w:val="auto"/>
              </w:rPr>
            </w:pPr>
          </w:p>
        </w:tc>
        <w:tc>
          <w:tcPr>
            <w:tcW w:w="448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the Company’s Officers and Directors</w:t>
            </w:r>
          </w:p>
        </w:tc>
        <w:tc>
          <w:tcPr>
            <w:tcW w:w="4580" w:type="dxa"/>
            <w:vAlign w:val="bottom"/>
            <w:gridSpan w:val="4"/>
            <w:shd w:val="clear" w:color="auto" w:fill="CCEEFF"/>
          </w:tcPr>
          <w:p>
            <w:pPr>
              <w:spacing w:after="0" w:line="183" w:lineRule="exact"/>
              <w:rPr>
                <w:rFonts w:ascii="Arial" w:cs="Arial" w:eastAsia="Arial" w:hAnsi="Arial"/>
                <w:sz w:val="16"/>
                <w:szCs w:val="16"/>
                <w:b w:val="1"/>
                <w:bCs w:val="1"/>
                <w:color w:val="0000EE"/>
                <w:w w:val="93"/>
              </w:rPr>
            </w:pPr>
            <w:hyperlink r:id="rId355">
              <w:r>
                <w:rPr>
                  <w:rFonts w:ascii="Arial" w:cs="Arial" w:eastAsia="Arial" w:hAnsi="Arial"/>
                  <w:sz w:val="16"/>
                  <w:szCs w:val="16"/>
                  <w:b w:val="1"/>
                  <w:bCs w:val="1"/>
                  <w:color w:val="0000EE"/>
                  <w:w w:val="93"/>
                </w:rPr>
                <w:t>for the period ended September 30, 2008</w:t>
              </w:r>
              <w:r>
                <w:rPr>
                  <w:rFonts w:ascii="Arial" w:cs="Arial" w:eastAsia="Arial" w:hAnsi="Arial"/>
                  <w:sz w:val="16"/>
                  <w:szCs w:val="16"/>
                  <w:color w:val="000000"/>
                  <w:w w:val="93"/>
                </w:rPr>
                <w:t xml:space="preserve">, and incorporated </w:t>
              </w:r>
            </w:hyperlink>
            <w:r>
              <w:rPr>
                <w:rFonts w:ascii="Arial" w:cs="Arial" w:eastAsia="Arial" w:hAnsi="Arial"/>
                <w:sz w:val="16"/>
                <w:szCs w:val="16"/>
                <w:b w:val="1"/>
                <w:bCs w:val="1"/>
                <w:color w:val="0000EE"/>
                <w:w w:val="93"/>
              </w:rPr>
              <w:t>herein</w:t>
            </w:r>
          </w:p>
        </w:tc>
      </w:tr>
      <w:tr>
        <w:trPr>
          <w:trHeight w:val="223"/>
        </w:trPr>
        <w:tc>
          <w:tcPr>
            <w:tcW w:w="880" w:type="dxa"/>
            <w:vAlign w:val="bottom"/>
            <w:tcBorders>
              <w:top w:val="single" w:sz="8" w:color="CCEEFF"/>
            </w:tcBorders>
            <w:shd w:val="clear" w:color="auto" w:fill="CCEEFF"/>
          </w:tcPr>
          <w:p>
            <w:pPr>
              <w:spacing w:after="0"/>
              <w:rPr>
                <w:sz w:val="19"/>
                <w:szCs w:val="19"/>
                <w:color w:val="auto"/>
              </w:rPr>
            </w:pPr>
          </w:p>
        </w:tc>
        <w:tc>
          <w:tcPr>
            <w:tcW w:w="448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rPr>
              <w:t>by reference.</w:t>
            </w:r>
          </w:p>
        </w:tc>
        <w:tc>
          <w:tcPr>
            <w:tcW w:w="1780" w:type="dxa"/>
            <w:vAlign w:val="bottom"/>
            <w:tcBorders>
              <w:top w:val="single" w:sz="8" w:color="CCEEFF"/>
            </w:tcBorders>
            <w:gridSpan w:val="2"/>
            <w:shd w:val="clear" w:color="auto" w:fill="CCEEFF"/>
          </w:tcPr>
          <w:p>
            <w:pPr>
              <w:spacing w:after="0"/>
              <w:rPr>
                <w:sz w:val="19"/>
                <w:szCs w:val="19"/>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33" w:right="97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84"/>
        </w:trPr>
        <w:tc>
          <w:tcPr>
            <w:tcW w:w="1080" w:type="dxa"/>
            <w:vAlign w:val="bottom"/>
          </w:tcPr>
          <w:p>
            <w:pPr>
              <w:jc w:val="center"/>
              <w:ind w:right="39"/>
              <w:spacing w:after="0"/>
              <w:rPr>
                <w:sz w:val="20"/>
                <w:szCs w:val="20"/>
                <w:color w:val="auto"/>
              </w:rPr>
            </w:pPr>
            <w:r>
              <w:rPr>
                <w:rFonts w:ascii="Arial" w:cs="Arial" w:eastAsia="Arial" w:hAnsi="Arial"/>
                <w:sz w:val="16"/>
                <w:szCs w:val="16"/>
                <w:color w:val="auto"/>
                <w:w w:val="89"/>
              </w:rPr>
              <w:t>10.24</w:t>
            </w:r>
          </w:p>
        </w:tc>
        <w:tc>
          <w:tcPr>
            <w:tcW w:w="4280" w:type="dxa"/>
            <w:vAlign w:val="bottom"/>
            <w:gridSpan w:val="11"/>
          </w:tcPr>
          <w:p>
            <w:pPr>
              <w:spacing w:after="0"/>
              <w:rPr>
                <w:sz w:val="20"/>
                <w:szCs w:val="20"/>
                <w:color w:val="auto"/>
              </w:rPr>
            </w:pPr>
            <w:r>
              <w:rPr>
                <w:rFonts w:ascii="Arial" w:cs="Arial" w:eastAsia="Arial" w:hAnsi="Arial"/>
                <w:sz w:val="16"/>
                <w:szCs w:val="16"/>
                <w:color w:val="auto"/>
              </w:rPr>
              <w:t>OBI Termination Agreement and Release</w:t>
            </w:r>
          </w:p>
        </w:tc>
        <w:tc>
          <w:tcPr>
            <w:tcW w:w="4580" w:type="dxa"/>
            <w:vAlign w:val="bottom"/>
            <w:gridSpan w:val="5"/>
          </w:tcPr>
          <w:p>
            <w:pPr>
              <w:spacing w:after="0"/>
              <w:rPr>
                <w:rFonts w:ascii="Arial" w:cs="Arial" w:eastAsia="Arial" w:hAnsi="Arial"/>
                <w:sz w:val="16"/>
                <w:szCs w:val="16"/>
                <w:color w:val="auto"/>
                <w:w w:val="94"/>
              </w:rPr>
            </w:pPr>
            <w:hyperlink r:id="rId357">
              <w:r>
                <w:rPr>
                  <w:rFonts w:ascii="Arial" w:cs="Arial" w:eastAsia="Arial" w:hAnsi="Arial"/>
                  <w:sz w:val="16"/>
                  <w:szCs w:val="16"/>
                  <w:color w:val="auto"/>
                  <w:w w:val="94"/>
                </w:rPr>
                <w:t xml:space="preserve">Filed as </w:t>
              </w:r>
              <w:r>
                <w:rPr>
                  <w:rFonts w:ascii="Arial" w:cs="Arial" w:eastAsia="Arial" w:hAnsi="Arial"/>
                  <w:sz w:val="16"/>
                  <w:szCs w:val="16"/>
                  <w:b w:val="1"/>
                  <w:bCs w:val="1"/>
                  <w:color w:val="0000EE"/>
                  <w:w w:val="94"/>
                </w:rPr>
                <w:t>Exhibit 10.24 to the Company’s Annual Report on Form</w:t>
              </w:r>
            </w:hyperlink>
          </w:p>
        </w:tc>
      </w:tr>
      <w:tr>
        <w:trPr>
          <w:trHeight w:val="20"/>
        </w:trPr>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80" w:type="dxa"/>
            <w:vAlign w:val="bottom"/>
            <w:gridSpan w:val="5"/>
          </w:tcPr>
          <w:p>
            <w:pPr>
              <w:spacing w:after="0" w:line="183" w:lineRule="exact"/>
              <w:rPr>
                <w:rFonts w:ascii="Arial" w:cs="Arial" w:eastAsia="Arial" w:hAnsi="Arial"/>
                <w:sz w:val="16"/>
                <w:szCs w:val="16"/>
                <w:b w:val="1"/>
                <w:bCs w:val="1"/>
                <w:color w:val="0000EE"/>
              </w:rPr>
            </w:pPr>
            <w:hyperlink r:id="rId357">
              <w:r>
                <w:rPr>
                  <w:rFonts w:ascii="Arial" w:cs="Arial" w:eastAsia="Arial" w:hAnsi="Arial"/>
                  <w:sz w:val="16"/>
                  <w:szCs w:val="16"/>
                  <w:b w:val="1"/>
                  <w:bCs w:val="1"/>
                  <w:color w:val="0000EE"/>
                </w:rPr>
                <w:t>10-K for the year ended December 31, 2015</w:t>
              </w:r>
              <w:r>
                <w:rPr>
                  <w:rFonts w:ascii="Arial" w:cs="Arial" w:eastAsia="Arial" w:hAnsi="Arial"/>
                  <w:sz w:val="16"/>
                  <w:szCs w:val="16"/>
                  <w:color w:val="000000"/>
                </w:rPr>
                <w:t>, filed on April 29,</w:t>
              </w:r>
            </w:hyperlink>
          </w:p>
        </w:tc>
      </w:tr>
      <w:tr>
        <w:trPr>
          <w:trHeight w:val="220"/>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w w:val="96"/>
              </w:rPr>
              <w:t>2016 and incorporated herein by reference.</w:t>
            </w:r>
          </w:p>
        </w:tc>
        <w:tc>
          <w:tcPr>
            <w:tcW w:w="1600" w:type="dxa"/>
            <w:vAlign w:val="bottom"/>
            <w:gridSpan w:val="3"/>
          </w:tcPr>
          <w:p>
            <w:pPr>
              <w:spacing w:after="0"/>
              <w:rPr>
                <w:sz w:val="19"/>
                <w:szCs w:val="19"/>
                <w:color w:val="auto"/>
              </w:rPr>
            </w:pPr>
          </w:p>
        </w:tc>
      </w:tr>
      <w:tr>
        <w:trPr>
          <w:trHeight w:val="165"/>
        </w:trPr>
        <w:tc>
          <w:tcPr>
            <w:tcW w:w="1080" w:type="dxa"/>
            <w:vAlign w:val="bottom"/>
            <w:shd w:val="clear" w:color="auto" w:fill="CCEEFF"/>
          </w:tcPr>
          <w:p>
            <w:pPr>
              <w:jc w:val="center"/>
              <w:ind w:right="39"/>
              <w:spacing w:after="0" w:line="165" w:lineRule="exact"/>
              <w:rPr>
                <w:sz w:val="20"/>
                <w:szCs w:val="20"/>
                <w:color w:val="auto"/>
              </w:rPr>
            </w:pPr>
            <w:r>
              <w:rPr>
                <w:rFonts w:ascii="Arial" w:cs="Arial" w:eastAsia="Arial" w:hAnsi="Arial"/>
                <w:sz w:val="16"/>
                <w:szCs w:val="16"/>
                <w:color w:val="auto"/>
                <w:w w:val="89"/>
              </w:rPr>
              <w:t>18</w:t>
            </w:r>
          </w:p>
        </w:tc>
        <w:tc>
          <w:tcPr>
            <w:tcW w:w="4280" w:type="dxa"/>
            <w:vAlign w:val="bottom"/>
            <w:gridSpan w:val="11"/>
            <w:shd w:val="clear" w:color="auto" w:fill="CCEEFF"/>
          </w:tcPr>
          <w:p>
            <w:pPr>
              <w:spacing w:after="0" w:line="165" w:lineRule="exact"/>
              <w:rPr>
                <w:sz w:val="20"/>
                <w:szCs w:val="20"/>
                <w:color w:val="auto"/>
              </w:rPr>
            </w:pPr>
            <w:r>
              <w:rPr>
                <w:rFonts w:ascii="Arial" w:cs="Arial" w:eastAsia="Arial" w:hAnsi="Arial"/>
                <w:sz w:val="16"/>
                <w:szCs w:val="16"/>
                <w:color w:val="auto"/>
              </w:rPr>
              <w:t>Preferability Letter from Independent Registered Public</w:t>
            </w:r>
          </w:p>
        </w:tc>
        <w:tc>
          <w:tcPr>
            <w:tcW w:w="4580" w:type="dxa"/>
            <w:vAlign w:val="bottom"/>
            <w:gridSpan w:val="5"/>
            <w:shd w:val="clear" w:color="auto" w:fill="CCEEFF"/>
          </w:tcPr>
          <w:p>
            <w:pPr>
              <w:spacing w:after="0" w:line="165" w:lineRule="exact"/>
              <w:rPr>
                <w:rFonts w:ascii="Arial" w:cs="Arial" w:eastAsia="Arial" w:hAnsi="Arial"/>
                <w:sz w:val="16"/>
                <w:szCs w:val="16"/>
                <w:color w:val="auto"/>
                <w:w w:val="99"/>
              </w:rPr>
            </w:pPr>
            <w:hyperlink r:id="rId358">
              <w:r>
                <w:rPr>
                  <w:rFonts w:ascii="Arial" w:cs="Arial" w:eastAsia="Arial" w:hAnsi="Arial"/>
                  <w:sz w:val="16"/>
                  <w:szCs w:val="16"/>
                  <w:color w:val="auto"/>
                  <w:w w:val="99"/>
                </w:rPr>
                <w:t xml:space="preserve">Filed as </w:t>
              </w:r>
              <w:r>
                <w:rPr>
                  <w:rFonts w:ascii="Arial" w:cs="Arial" w:eastAsia="Arial" w:hAnsi="Arial"/>
                  <w:sz w:val="16"/>
                  <w:szCs w:val="16"/>
                  <w:b w:val="1"/>
                  <w:bCs w:val="1"/>
                  <w:color w:val="0000EE"/>
                  <w:w w:val="99"/>
                </w:rPr>
                <w:t>Exhibit 18 to the Company’s Annual Report on Form</w:t>
              </w:r>
            </w:hyperlink>
          </w:p>
        </w:tc>
      </w:tr>
      <w:tr>
        <w:trPr>
          <w:trHeight w:val="20"/>
        </w:trPr>
        <w:tc>
          <w:tcPr>
            <w:tcW w:w="10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4280" w:type="dxa"/>
            <w:vAlign w:val="bottom"/>
            <w:gridSpan w:val="11"/>
            <w:shd w:val="clear" w:color="auto" w:fill="CCEEFF"/>
          </w:tcPr>
          <w:p>
            <w:pPr>
              <w:spacing w:after="0" w:line="183" w:lineRule="exact"/>
              <w:rPr>
                <w:sz w:val="20"/>
                <w:szCs w:val="20"/>
                <w:color w:val="auto"/>
              </w:rPr>
            </w:pPr>
            <w:r>
              <w:rPr>
                <w:rFonts w:ascii="Arial" w:cs="Arial" w:eastAsia="Arial" w:hAnsi="Arial"/>
                <w:sz w:val="16"/>
                <w:szCs w:val="16"/>
                <w:color w:val="auto"/>
              </w:rPr>
              <w:t>Accounting Firm, Grant Thornton LLP.</w:t>
            </w:r>
          </w:p>
        </w:tc>
        <w:tc>
          <w:tcPr>
            <w:tcW w:w="4580" w:type="dxa"/>
            <w:vAlign w:val="bottom"/>
            <w:gridSpan w:val="5"/>
            <w:shd w:val="clear" w:color="auto" w:fill="CCEEFF"/>
          </w:tcPr>
          <w:p>
            <w:pPr>
              <w:spacing w:after="0" w:line="183" w:lineRule="exact"/>
              <w:rPr>
                <w:rFonts w:ascii="Arial" w:cs="Arial" w:eastAsia="Arial" w:hAnsi="Arial"/>
                <w:sz w:val="16"/>
                <w:szCs w:val="16"/>
                <w:b w:val="1"/>
                <w:bCs w:val="1"/>
                <w:color w:val="0000EE"/>
                <w:w w:val="99"/>
              </w:rPr>
            </w:pPr>
            <w:hyperlink r:id="rId358">
              <w:r>
                <w:rPr>
                  <w:rFonts w:ascii="Arial" w:cs="Arial" w:eastAsia="Arial" w:hAnsi="Arial"/>
                  <w:sz w:val="16"/>
                  <w:szCs w:val="16"/>
                  <w:b w:val="1"/>
                  <w:bCs w:val="1"/>
                  <w:color w:val="0000EE"/>
                  <w:w w:val="99"/>
                </w:rPr>
                <w:t xml:space="preserve">10-K for the year ended December 31, 2016 </w:t>
              </w:r>
              <w:r>
                <w:rPr>
                  <w:rFonts w:ascii="Arial" w:cs="Arial" w:eastAsia="Arial" w:hAnsi="Arial"/>
                  <w:sz w:val="16"/>
                  <w:szCs w:val="16"/>
                  <w:color w:val="000000"/>
                  <w:w w:val="99"/>
                </w:rPr>
                <w:t>filed on March 13,</w:t>
              </w:r>
            </w:hyperlink>
          </w:p>
        </w:tc>
      </w:tr>
      <w:tr>
        <w:trPr>
          <w:trHeight w:val="223"/>
        </w:trPr>
        <w:tc>
          <w:tcPr>
            <w:tcW w:w="10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auto"/>
                <w:w w:val="97"/>
              </w:rPr>
              <w:t>2017 and incorporated herein by reference</w:t>
            </w:r>
          </w:p>
        </w:tc>
        <w:tc>
          <w:tcPr>
            <w:tcW w:w="1600" w:type="dxa"/>
            <w:vAlign w:val="bottom"/>
            <w:tcBorders>
              <w:top w:val="single" w:sz="8" w:color="CCEEFF"/>
            </w:tcBorders>
            <w:gridSpan w:val="3"/>
            <w:shd w:val="clear" w:color="auto" w:fill="CCEEFF"/>
          </w:tcPr>
          <w:p>
            <w:pPr>
              <w:spacing w:after="0"/>
              <w:rPr>
                <w:sz w:val="19"/>
                <w:szCs w:val="19"/>
                <w:color w:val="auto"/>
              </w:rPr>
            </w:pPr>
          </w:p>
        </w:tc>
      </w:tr>
      <w:tr>
        <w:trPr>
          <w:trHeight w:val="162"/>
        </w:trPr>
        <w:tc>
          <w:tcPr>
            <w:tcW w:w="10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5"/>
              </w:rPr>
              <w:t>21+</w:t>
            </w:r>
          </w:p>
        </w:tc>
        <w:tc>
          <w:tcPr>
            <w:tcW w:w="4280" w:type="dxa"/>
            <w:vAlign w:val="bottom"/>
            <w:gridSpan w:val="11"/>
          </w:tcPr>
          <w:p>
            <w:pPr>
              <w:spacing w:after="0" w:line="162" w:lineRule="exact"/>
              <w:rPr>
                <w:rFonts w:ascii="Arial" w:cs="Arial" w:eastAsia="Arial" w:hAnsi="Arial"/>
                <w:sz w:val="16"/>
                <w:szCs w:val="16"/>
                <w:b w:val="1"/>
                <w:bCs w:val="1"/>
                <w:color w:val="0000EE"/>
              </w:rPr>
            </w:pPr>
            <w:hyperlink w:anchor="page131">
              <w:r>
                <w:rPr>
                  <w:rFonts w:ascii="Arial" w:cs="Arial" w:eastAsia="Arial" w:hAnsi="Arial"/>
                  <w:sz w:val="16"/>
                  <w:szCs w:val="16"/>
                  <w:b w:val="1"/>
                  <w:bCs w:val="1"/>
                  <w:color w:val="0000EE"/>
                </w:rPr>
                <w:t>List of Subsidiaries</w:t>
              </w:r>
            </w:hyperlink>
            <w:r>
              <w:rPr>
                <w:rFonts w:ascii="Arial" w:cs="Arial" w:eastAsia="Arial" w:hAnsi="Arial"/>
                <w:sz w:val="16"/>
                <w:szCs w:val="16"/>
                <w:color w:val="000000"/>
              </w:rPr>
              <w:t>,</w:t>
            </w:r>
          </w:p>
        </w:tc>
        <w:tc>
          <w:tcPr>
            <w:tcW w:w="4580" w:type="dxa"/>
            <w:vAlign w:val="bottom"/>
            <w:gridSpan w:val="5"/>
          </w:tcPr>
          <w:p>
            <w:pPr>
              <w:spacing w:after="0" w:line="162" w:lineRule="exact"/>
              <w:rPr>
                <w:sz w:val="20"/>
                <w:szCs w:val="20"/>
                <w:color w:val="auto"/>
              </w:rPr>
            </w:pPr>
            <w:r>
              <w:rPr>
                <w:rFonts w:ascii="Arial" w:cs="Arial" w:eastAsia="Arial" w:hAnsi="Arial"/>
                <w:sz w:val="16"/>
                <w:szCs w:val="16"/>
                <w:color w:val="auto"/>
              </w:rPr>
              <w:t>N/A</w:t>
            </w:r>
          </w:p>
        </w:tc>
      </w:tr>
      <w:tr>
        <w:trPr>
          <w:trHeight w:val="21"/>
        </w:trPr>
        <w:tc>
          <w:tcPr>
            <w:tcW w:w="108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jc w:val="center"/>
              <w:ind w:right="59"/>
              <w:spacing w:after="0" w:line="162" w:lineRule="exact"/>
              <w:rPr>
                <w:sz w:val="20"/>
                <w:szCs w:val="20"/>
                <w:color w:val="auto"/>
              </w:rPr>
            </w:pPr>
            <w:r>
              <w:rPr>
                <w:rFonts w:ascii="Arial" w:cs="Arial" w:eastAsia="Arial" w:hAnsi="Arial"/>
                <w:sz w:val="16"/>
                <w:szCs w:val="16"/>
                <w:color w:val="auto"/>
                <w:w w:val="93"/>
              </w:rPr>
              <w:t>23.1+</w:t>
            </w:r>
          </w:p>
        </w:tc>
        <w:tc>
          <w:tcPr>
            <w:tcW w:w="3740" w:type="dxa"/>
            <w:vAlign w:val="bottom"/>
            <w:tcBorders>
              <w:bottom w:val="single" w:sz="8" w:color="0000EE"/>
            </w:tcBorders>
            <w:gridSpan w:val="5"/>
            <w:shd w:val="clear" w:color="auto" w:fill="CCEEFF"/>
          </w:tcPr>
          <w:p>
            <w:pPr>
              <w:spacing w:after="0" w:line="162" w:lineRule="exact"/>
              <w:rPr>
                <w:rFonts w:ascii="Arial" w:cs="Arial" w:eastAsia="Arial" w:hAnsi="Arial"/>
                <w:sz w:val="16"/>
                <w:szCs w:val="16"/>
                <w:b w:val="1"/>
                <w:bCs w:val="1"/>
                <w:color w:val="0000EE"/>
                <w:w w:val="89"/>
              </w:rPr>
            </w:pPr>
            <w:hyperlink w:anchor="page135">
              <w:r>
                <w:rPr>
                  <w:rFonts w:ascii="Arial" w:cs="Arial" w:eastAsia="Arial" w:hAnsi="Arial"/>
                  <w:sz w:val="16"/>
                  <w:szCs w:val="16"/>
                  <w:b w:val="1"/>
                  <w:bCs w:val="1"/>
                  <w:color w:val="0000EE"/>
                  <w:w w:val="89"/>
                </w:rPr>
                <w:t>Consent of Independent Registered Public Accounting</w:t>
              </w:r>
            </w:hyperlink>
          </w:p>
        </w:tc>
        <w:tc>
          <w:tcPr>
            <w:tcW w:w="540" w:type="dxa"/>
            <w:vAlign w:val="bottom"/>
            <w:tcBorders>
              <w:bottom w:val="single" w:sz="8" w:color="CCEEFF"/>
            </w:tcBorders>
            <w:gridSpan w:val="6"/>
            <w:shd w:val="clear" w:color="auto" w:fill="CCEEFF"/>
          </w:tcPr>
          <w:p>
            <w:pPr>
              <w:spacing w:after="0"/>
              <w:rPr>
                <w:sz w:val="14"/>
                <w:szCs w:val="14"/>
                <w:color w:val="auto"/>
              </w:rPr>
            </w:pPr>
          </w:p>
        </w:tc>
        <w:tc>
          <w:tcPr>
            <w:tcW w:w="458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shd w:val="clear" w:color="auto" w:fill="CCEEFF"/>
          </w:tcPr>
          <w:p>
            <w:pPr>
              <w:spacing w:after="0"/>
              <w:rPr>
                <w:sz w:val="15"/>
                <w:szCs w:val="15"/>
                <w:color w:val="auto"/>
              </w:rPr>
            </w:pPr>
          </w:p>
        </w:tc>
        <w:tc>
          <w:tcPr>
            <w:tcW w:w="4280" w:type="dxa"/>
            <w:vAlign w:val="bottom"/>
            <w:gridSpan w:val="11"/>
            <w:shd w:val="clear" w:color="auto" w:fill="CCEEFF"/>
          </w:tcPr>
          <w:p>
            <w:pPr>
              <w:spacing w:after="0" w:line="183" w:lineRule="exact"/>
              <w:rPr>
                <w:rFonts w:ascii="Arial" w:cs="Arial" w:eastAsia="Arial" w:hAnsi="Arial"/>
                <w:sz w:val="16"/>
                <w:szCs w:val="16"/>
                <w:b w:val="1"/>
                <w:bCs w:val="1"/>
                <w:color w:val="0000EE"/>
              </w:rPr>
            </w:pPr>
            <w:hyperlink w:anchor="page135">
              <w:r>
                <w:rPr>
                  <w:rFonts w:ascii="Arial" w:cs="Arial" w:eastAsia="Arial" w:hAnsi="Arial"/>
                  <w:sz w:val="16"/>
                  <w:szCs w:val="16"/>
                  <w:b w:val="1"/>
                  <w:bCs w:val="1"/>
                  <w:color w:val="0000EE"/>
                </w:rPr>
                <w:t>Firm, Grant Thornton LLP</w:t>
              </w:r>
              <w:r>
                <w:rPr>
                  <w:rFonts w:ascii="Arial" w:cs="Arial" w:eastAsia="Arial" w:hAnsi="Arial"/>
                  <w:sz w:val="16"/>
                  <w:szCs w:val="16"/>
                  <w:color w:val="000000"/>
                </w:rPr>
                <w:t>.</w:t>
              </w:r>
            </w:hyperlink>
          </w:p>
        </w:tc>
        <w:tc>
          <w:tcPr>
            <w:tcW w:w="5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3"/>
              </w:rPr>
              <w:t>31.1+</w:t>
            </w:r>
          </w:p>
        </w:tc>
        <w:tc>
          <w:tcPr>
            <w:tcW w:w="4280" w:type="dxa"/>
            <w:vAlign w:val="bottom"/>
            <w:gridSpan w:val="11"/>
          </w:tcPr>
          <w:p>
            <w:pPr>
              <w:spacing w:after="0" w:line="162" w:lineRule="exact"/>
              <w:rPr>
                <w:rFonts w:ascii="Arial" w:cs="Arial" w:eastAsia="Arial" w:hAnsi="Arial"/>
                <w:sz w:val="16"/>
                <w:szCs w:val="16"/>
                <w:b w:val="1"/>
                <w:bCs w:val="1"/>
                <w:color w:val="0000EE"/>
              </w:rPr>
            </w:pPr>
            <w:hyperlink w:anchor="page136">
              <w:r>
                <w:rPr>
                  <w:rFonts w:ascii="Arial" w:cs="Arial" w:eastAsia="Arial" w:hAnsi="Arial"/>
                  <w:sz w:val="16"/>
                  <w:szCs w:val="16"/>
                  <w:b w:val="1"/>
                  <w:bCs w:val="1"/>
                  <w:color w:val="0000EE"/>
                </w:rPr>
                <w:t>Certification of Principal Executive Officer pursuant to</w:t>
              </w:r>
            </w:hyperlink>
          </w:p>
        </w:tc>
        <w:tc>
          <w:tcPr>
            <w:tcW w:w="4580" w:type="dxa"/>
            <w:vAlign w:val="bottom"/>
            <w:gridSpan w:val="5"/>
          </w:tcPr>
          <w:p>
            <w:pPr>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tcPr>
          <w:p>
            <w:pPr>
              <w:spacing w:after="0"/>
              <w:rPr>
                <w:sz w:val="15"/>
                <w:szCs w:val="15"/>
                <w:color w:val="auto"/>
              </w:rPr>
            </w:pPr>
          </w:p>
        </w:tc>
        <w:tc>
          <w:tcPr>
            <w:tcW w:w="3820" w:type="dxa"/>
            <w:vAlign w:val="bottom"/>
            <w:tcBorders>
              <w:top w:val="single" w:sz="8" w:color="0000EE"/>
            </w:tcBorders>
            <w:gridSpan w:val="7"/>
          </w:tcPr>
          <w:p>
            <w:pPr>
              <w:spacing w:after="0" w:line="183" w:lineRule="exact"/>
              <w:rPr>
                <w:rFonts w:ascii="Arial" w:cs="Arial" w:eastAsia="Arial" w:hAnsi="Arial"/>
                <w:sz w:val="16"/>
                <w:szCs w:val="16"/>
                <w:b w:val="1"/>
                <w:bCs w:val="1"/>
                <w:color w:val="0000EE"/>
              </w:rPr>
            </w:pPr>
            <w:hyperlink w:anchor="page136">
              <w:r>
                <w:rPr>
                  <w:rFonts w:ascii="Arial" w:cs="Arial" w:eastAsia="Arial" w:hAnsi="Arial"/>
                  <w:sz w:val="16"/>
                  <w:szCs w:val="16"/>
                  <w:b w:val="1"/>
                  <w:bCs w:val="1"/>
                  <w:color w:val="0000EE"/>
                </w:rPr>
                <w:t>Section 302 of the Sarbanes-Oxley Act of 2002</w:t>
              </w:r>
              <w:r>
                <w:rPr>
                  <w:rFonts w:ascii="Arial" w:cs="Arial" w:eastAsia="Arial" w:hAnsi="Arial"/>
                  <w:sz w:val="16"/>
                  <w:szCs w:val="16"/>
                  <w:color w:val="000000"/>
                </w:rPr>
                <w:t>,</w:t>
              </w:r>
            </w:hyperlink>
          </w:p>
        </w:tc>
        <w:tc>
          <w:tcPr>
            <w:tcW w:w="46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
        </w:trPr>
        <w:tc>
          <w:tcPr>
            <w:tcW w:w="108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jc w:val="center"/>
              <w:ind w:right="59"/>
              <w:spacing w:after="0" w:line="162" w:lineRule="exact"/>
              <w:rPr>
                <w:sz w:val="20"/>
                <w:szCs w:val="20"/>
                <w:color w:val="auto"/>
              </w:rPr>
            </w:pPr>
            <w:r>
              <w:rPr>
                <w:rFonts w:ascii="Arial" w:cs="Arial" w:eastAsia="Arial" w:hAnsi="Arial"/>
                <w:sz w:val="16"/>
                <w:szCs w:val="16"/>
                <w:color w:val="auto"/>
                <w:w w:val="93"/>
              </w:rPr>
              <w:t>31.2+</w:t>
            </w:r>
          </w:p>
        </w:tc>
        <w:tc>
          <w:tcPr>
            <w:tcW w:w="3800" w:type="dxa"/>
            <w:vAlign w:val="bottom"/>
            <w:tcBorders>
              <w:bottom w:val="single" w:sz="8" w:color="0000EE"/>
            </w:tcBorders>
            <w:gridSpan w:val="6"/>
            <w:shd w:val="clear" w:color="auto" w:fill="CCEEFF"/>
          </w:tcPr>
          <w:p>
            <w:pPr>
              <w:spacing w:after="0" w:line="162" w:lineRule="exact"/>
              <w:rPr>
                <w:rFonts w:ascii="Arial" w:cs="Arial" w:eastAsia="Arial" w:hAnsi="Arial"/>
                <w:sz w:val="16"/>
                <w:szCs w:val="16"/>
                <w:b w:val="1"/>
                <w:bCs w:val="1"/>
                <w:color w:val="0000EE"/>
                <w:w w:val="92"/>
              </w:rPr>
            </w:pPr>
            <w:hyperlink w:anchor="page137">
              <w:r>
                <w:rPr>
                  <w:rFonts w:ascii="Arial" w:cs="Arial" w:eastAsia="Arial" w:hAnsi="Arial"/>
                  <w:sz w:val="16"/>
                  <w:szCs w:val="16"/>
                  <w:b w:val="1"/>
                  <w:bCs w:val="1"/>
                  <w:color w:val="0000EE"/>
                  <w:w w:val="92"/>
                </w:rPr>
                <w:t>Certification of Principal Financial Officer pursuant to</w:t>
              </w:r>
            </w:hyperlink>
          </w:p>
        </w:tc>
        <w:tc>
          <w:tcPr>
            <w:tcW w:w="480" w:type="dxa"/>
            <w:vAlign w:val="bottom"/>
            <w:tcBorders>
              <w:bottom w:val="single" w:sz="8" w:color="CCEEFF"/>
            </w:tcBorders>
            <w:gridSpan w:val="5"/>
            <w:shd w:val="clear" w:color="auto" w:fill="CCEEFF"/>
          </w:tcPr>
          <w:p>
            <w:pPr>
              <w:spacing w:after="0"/>
              <w:rPr>
                <w:sz w:val="14"/>
                <w:szCs w:val="14"/>
                <w:color w:val="auto"/>
              </w:rPr>
            </w:pPr>
          </w:p>
        </w:tc>
        <w:tc>
          <w:tcPr>
            <w:tcW w:w="458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shd w:val="clear" w:color="auto" w:fill="CCEEFF"/>
          </w:tcPr>
          <w:p>
            <w:pPr>
              <w:spacing w:after="0"/>
              <w:rPr>
                <w:sz w:val="15"/>
                <w:szCs w:val="15"/>
                <w:color w:val="auto"/>
              </w:rPr>
            </w:pPr>
          </w:p>
        </w:tc>
        <w:tc>
          <w:tcPr>
            <w:tcW w:w="4280" w:type="dxa"/>
            <w:vAlign w:val="bottom"/>
            <w:gridSpan w:val="11"/>
            <w:shd w:val="clear" w:color="auto" w:fill="CCEEFF"/>
          </w:tcPr>
          <w:p>
            <w:pPr>
              <w:spacing w:after="0" w:line="183" w:lineRule="exact"/>
              <w:rPr>
                <w:rFonts w:ascii="Arial" w:cs="Arial" w:eastAsia="Arial" w:hAnsi="Arial"/>
                <w:sz w:val="16"/>
                <w:szCs w:val="16"/>
                <w:b w:val="1"/>
                <w:bCs w:val="1"/>
                <w:color w:val="0000EE"/>
              </w:rPr>
            </w:pPr>
            <w:hyperlink w:anchor="page137">
              <w:r>
                <w:rPr>
                  <w:rFonts w:ascii="Arial" w:cs="Arial" w:eastAsia="Arial" w:hAnsi="Arial"/>
                  <w:sz w:val="16"/>
                  <w:szCs w:val="16"/>
                  <w:b w:val="1"/>
                  <w:bCs w:val="1"/>
                  <w:color w:val="0000EE"/>
                </w:rPr>
                <w:t>Section 302 of the Sarbanes-Oxley Act of 2002</w:t>
              </w:r>
              <w:r>
                <w:rPr>
                  <w:rFonts w:ascii="Arial" w:cs="Arial" w:eastAsia="Arial" w:hAnsi="Arial"/>
                  <w:sz w:val="16"/>
                  <w:szCs w:val="16"/>
                  <w:color w:val="000000"/>
                </w:rPr>
                <w:t>,</w:t>
              </w:r>
            </w:hyperlink>
          </w:p>
        </w:tc>
        <w:tc>
          <w:tcPr>
            <w:tcW w:w="5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8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3"/>
              </w:rPr>
              <w:t>32.1+</w:t>
            </w:r>
          </w:p>
        </w:tc>
        <w:tc>
          <w:tcPr>
            <w:tcW w:w="4040" w:type="dxa"/>
            <w:vAlign w:val="bottom"/>
            <w:tcBorders>
              <w:bottom w:val="single" w:sz="8" w:color="0000EE"/>
            </w:tcBorders>
            <w:gridSpan w:val="10"/>
          </w:tcPr>
          <w:p>
            <w:pPr>
              <w:spacing w:after="0" w:line="162" w:lineRule="exact"/>
              <w:rPr>
                <w:rFonts w:ascii="Arial" w:cs="Arial" w:eastAsia="Arial" w:hAnsi="Arial"/>
                <w:sz w:val="16"/>
                <w:szCs w:val="16"/>
                <w:b w:val="1"/>
                <w:bCs w:val="1"/>
                <w:color w:val="0000EE"/>
                <w:w w:val="92"/>
              </w:rPr>
            </w:pPr>
            <w:hyperlink w:anchor="page138">
              <w:r>
                <w:rPr>
                  <w:rFonts w:ascii="Arial" w:cs="Arial" w:eastAsia="Arial" w:hAnsi="Arial"/>
                  <w:sz w:val="16"/>
                  <w:szCs w:val="16"/>
                  <w:b w:val="1"/>
                  <w:bCs w:val="1"/>
                  <w:color w:val="0000EE"/>
                  <w:w w:val="92"/>
                </w:rPr>
                <w:t>Certification of Principal Executive Officer pursuant to 18</w:t>
              </w:r>
            </w:hyperlink>
          </w:p>
        </w:tc>
        <w:tc>
          <w:tcPr>
            <w:tcW w:w="240" w:type="dxa"/>
            <w:vAlign w:val="bottom"/>
          </w:tcPr>
          <w:p>
            <w:pPr>
              <w:spacing w:after="0"/>
              <w:rPr>
                <w:sz w:val="14"/>
                <w:szCs w:val="14"/>
                <w:color w:val="auto"/>
              </w:rPr>
            </w:pPr>
          </w:p>
        </w:tc>
        <w:tc>
          <w:tcPr>
            <w:tcW w:w="4580" w:type="dxa"/>
            <w:vAlign w:val="bottom"/>
            <w:gridSpan w:val="5"/>
          </w:tcPr>
          <w:p>
            <w:pPr>
              <w:spacing w:after="0" w:line="162" w:lineRule="exact"/>
              <w:rPr>
                <w:sz w:val="20"/>
                <w:szCs w:val="20"/>
                <w:color w:val="auto"/>
              </w:rPr>
            </w:pPr>
            <w:r>
              <w:rPr>
                <w:rFonts w:ascii="Arial" w:cs="Arial" w:eastAsia="Arial" w:hAnsi="Arial"/>
                <w:sz w:val="16"/>
                <w:szCs w:val="16"/>
                <w:color w:val="auto"/>
              </w:rPr>
              <w:t>N/A</w:t>
            </w:r>
          </w:p>
        </w:tc>
      </w:tr>
      <w:tr>
        <w:trPr>
          <w:trHeight w:val="183"/>
        </w:trPr>
        <w:tc>
          <w:tcPr>
            <w:tcW w:w="1080" w:type="dxa"/>
            <w:vAlign w:val="bottom"/>
          </w:tcPr>
          <w:p>
            <w:pPr>
              <w:spacing w:after="0"/>
              <w:rPr>
                <w:sz w:val="15"/>
                <w:szCs w:val="15"/>
                <w:color w:val="auto"/>
              </w:rPr>
            </w:pPr>
          </w:p>
        </w:tc>
        <w:tc>
          <w:tcPr>
            <w:tcW w:w="4020" w:type="dxa"/>
            <w:vAlign w:val="bottom"/>
            <w:tcBorders>
              <w:bottom w:val="single" w:sz="8" w:color="0000EE"/>
            </w:tcBorders>
            <w:gridSpan w:val="9"/>
          </w:tcPr>
          <w:p>
            <w:pPr>
              <w:spacing w:after="0" w:line="183" w:lineRule="exact"/>
              <w:rPr>
                <w:rFonts w:ascii="Arial" w:cs="Arial" w:eastAsia="Arial" w:hAnsi="Arial"/>
                <w:sz w:val="16"/>
                <w:szCs w:val="16"/>
                <w:b w:val="1"/>
                <w:bCs w:val="1"/>
                <w:color w:val="0000EE"/>
                <w:w w:val="89"/>
              </w:rPr>
            </w:pPr>
            <w:hyperlink w:anchor="page138">
              <w:r>
                <w:rPr>
                  <w:rFonts w:ascii="Arial" w:cs="Arial" w:eastAsia="Arial" w:hAnsi="Arial"/>
                  <w:sz w:val="16"/>
                  <w:szCs w:val="16"/>
                  <w:b w:val="1"/>
                  <w:bCs w:val="1"/>
                  <w:color w:val="0000EE"/>
                  <w:w w:val="89"/>
                </w:rPr>
                <w:t>U.S.C. Section 1350, as adopted pursuant to Section 906 of</w:t>
              </w:r>
            </w:hyperlink>
          </w:p>
        </w:tc>
        <w:tc>
          <w:tcPr>
            <w:tcW w:w="26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4280" w:type="dxa"/>
            <w:vAlign w:val="bottom"/>
            <w:gridSpan w:val="11"/>
          </w:tcPr>
          <w:p>
            <w:pPr>
              <w:spacing w:after="0" w:line="183" w:lineRule="exact"/>
              <w:rPr>
                <w:rFonts w:ascii="Arial" w:cs="Arial" w:eastAsia="Arial" w:hAnsi="Arial"/>
                <w:sz w:val="16"/>
                <w:szCs w:val="16"/>
                <w:b w:val="1"/>
                <w:bCs w:val="1"/>
                <w:color w:val="0000EE"/>
              </w:rPr>
            </w:pPr>
            <w:hyperlink w:anchor="page138">
              <w:r>
                <w:rPr>
                  <w:rFonts w:ascii="Arial" w:cs="Arial" w:eastAsia="Arial" w:hAnsi="Arial"/>
                  <w:sz w:val="16"/>
                  <w:szCs w:val="16"/>
                  <w:b w:val="1"/>
                  <w:bCs w:val="1"/>
                  <w:color w:val="0000EE"/>
                </w:rPr>
                <w:t>the Sarbanes-Oxley Act of 2002</w:t>
              </w:r>
              <w:r>
                <w:rPr>
                  <w:rFonts w:ascii="Arial" w:cs="Arial" w:eastAsia="Arial" w:hAnsi="Arial"/>
                  <w:sz w:val="16"/>
                  <w:szCs w:val="16"/>
                  <w:color w:val="000000"/>
                </w:rPr>
                <w:t>.</w:t>
              </w:r>
            </w:hyperlink>
          </w:p>
        </w:tc>
        <w:tc>
          <w:tcPr>
            <w:tcW w:w="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
        </w:trPr>
        <w:tc>
          <w:tcPr>
            <w:tcW w:w="108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jc w:val="center"/>
              <w:ind w:right="59"/>
              <w:spacing w:after="0" w:line="162" w:lineRule="exact"/>
              <w:rPr>
                <w:sz w:val="20"/>
                <w:szCs w:val="20"/>
                <w:color w:val="auto"/>
              </w:rPr>
            </w:pPr>
            <w:r>
              <w:rPr>
                <w:rFonts w:ascii="Arial" w:cs="Arial" w:eastAsia="Arial" w:hAnsi="Arial"/>
                <w:sz w:val="16"/>
                <w:szCs w:val="16"/>
                <w:color w:val="auto"/>
                <w:w w:val="93"/>
              </w:rPr>
              <w:t>32.2+</w:t>
            </w:r>
          </w:p>
        </w:tc>
        <w:tc>
          <w:tcPr>
            <w:tcW w:w="4280" w:type="dxa"/>
            <w:vAlign w:val="bottom"/>
            <w:gridSpan w:val="11"/>
            <w:shd w:val="clear" w:color="auto" w:fill="CCEEFF"/>
          </w:tcPr>
          <w:p>
            <w:pPr>
              <w:spacing w:after="0" w:line="162" w:lineRule="exact"/>
              <w:rPr>
                <w:rFonts w:ascii="Arial" w:cs="Arial" w:eastAsia="Arial" w:hAnsi="Arial"/>
                <w:sz w:val="16"/>
                <w:szCs w:val="16"/>
                <w:b w:val="1"/>
                <w:bCs w:val="1"/>
                <w:color w:val="0000EE"/>
                <w:w w:val="99"/>
              </w:rPr>
            </w:pPr>
            <w:hyperlink w:anchor="page139">
              <w:r>
                <w:rPr>
                  <w:rFonts w:ascii="Arial" w:cs="Arial" w:eastAsia="Arial" w:hAnsi="Arial"/>
                  <w:sz w:val="16"/>
                  <w:szCs w:val="16"/>
                  <w:b w:val="1"/>
                  <w:bCs w:val="1"/>
                  <w:color w:val="0000EE"/>
                  <w:w w:val="99"/>
                </w:rPr>
                <w:t>Certification of Principal Financial Officer pursuant to 18</w:t>
              </w:r>
            </w:hyperlink>
          </w:p>
        </w:tc>
        <w:tc>
          <w:tcPr>
            <w:tcW w:w="4580" w:type="dxa"/>
            <w:vAlign w:val="bottom"/>
            <w:gridSpan w:val="5"/>
            <w:shd w:val="clear" w:color="auto" w:fill="CCEEFF"/>
          </w:tcPr>
          <w:p>
            <w:pPr>
              <w:spacing w:after="0" w:line="162" w:lineRule="exact"/>
              <w:rPr>
                <w:sz w:val="20"/>
                <w:szCs w:val="20"/>
                <w:color w:val="auto"/>
              </w:rPr>
            </w:pPr>
            <w:r>
              <w:rPr>
                <w:rFonts w:ascii="Arial" w:cs="Arial" w:eastAsia="Arial" w:hAnsi="Arial"/>
                <w:sz w:val="16"/>
                <w:szCs w:val="16"/>
                <w:color w:val="auto"/>
              </w:rPr>
              <w:t>N/A</w:t>
            </w:r>
          </w:p>
        </w:tc>
      </w:tr>
      <w:tr>
        <w:trPr>
          <w:trHeight w:val="20"/>
        </w:trPr>
        <w:tc>
          <w:tcPr>
            <w:tcW w:w="1080" w:type="dxa"/>
            <w:vAlign w:val="bottom"/>
            <w:shd w:val="clear" w:color="auto" w:fill="CCEEFF"/>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1080" w:type="dxa"/>
            <w:vAlign w:val="bottom"/>
            <w:tcBorders>
              <w:bottom w:val="single" w:sz="8" w:color="CCEEFF"/>
            </w:tcBorders>
            <w:shd w:val="clear" w:color="auto" w:fill="CCEEFF"/>
          </w:tcPr>
          <w:p>
            <w:pPr>
              <w:spacing w:after="0"/>
              <w:rPr>
                <w:sz w:val="15"/>
                <w:szCs w:val="15"/>
                <w:color w:val="auto"/>
              </w:rPr>
            </w:pPr>
          </w:p>
        </w:tc>
        <w:tc>
          <w:tcPr>
            <w:tcW w:w="4020" w:type="dxa"/>
            <w:vAlign w:val="bottom"/>
            <w:tcBorders>
              <w:bottom w:val="single" w:sz="8" w:color="0000EE"/>
            </w:tcBorders>
            <w:gridSpan w:val="9"/>
            <w:shd w:val="clear" w:color="auto" w:fill="CCEEFF"/>
          </w:tcPr>
          <w:p>
            <w:pPr>
              <w:spacing w:after="0" w:line="183" w:lineRule="exact"/>
              <w:rPr>
                <w:rFonts w:ascii="Arial" w:cs="Arial" w:eastAsia="Arial" w:hAnsi="Arial"/>
                <w:sz w:val="16"/>
                <w:szCs w:val="16"/>
                <w:b w:val="1"/>
                <w:bCs w:val="1"/>
                <w:color w:val="0000EE"/>
                <w:w w:val="89"/>
              </w:rPr>
            </w:pPr>
            <w:hyperlink w:anchor="page139">
              <w:r>
                <w:rPr>
                  <w:rFonts w:ascii="Arial" w:cs="Arial" w:eastAsia="Arial" w:hAnsi="Arial"/>
                  <w:sz w:val="16"/>
                  <w:szCs w:val="16"/>
                  <w:b w:val="1"/>
                  <w:bCs w:val="1"/>
                  <w:color w:val="0000EE"/>
                  <w:w w:val="89"/>
                </w:rPr>
                <w:t>U.S.C. Section 1350, as adopted pursuant to Section 906 of</w:t>
              </w:r>
            </w:hyperlink>
          </w:p>
        </w:tc>
        <w:tc>
          <w:tcPr>
            <w:tcW w:w="260" w:type="dxa"/>
            <w:vAlign w:val="bottom"/>
            <w:tcBorders>
              <w:bottom w:val="single" w:sz="8" w:color="CCEEFF"/>
            </w:tcBorders>
            <w:gridSpan w:val="2"/>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r>
      <w:tr>
        <w:trPr>
          <w:trHeight w:val="203"/>
        </w:trPr>
        <w:tc>
          <w:tcPr>
            <w:tcW w:w="1080" w:type="dxa"/>
            <w:vAlign w:val="bottom"/>
            <w:shd w:val="clear" w:color="auto" w:fill="CCEEFF"/>
          </w:tcPr>
          <w:p>
            <w:pPr>
              <w:spacing w:after="0"/>
              <w:rPr>
                <w:sz w:val="17"/>
                <w:szCs w:val="17"/>
                <w:color w:val="auto"/>
              </w:rPr>
            </w:pPr>
          </w:p>
        </w:tc>
        <w:tc>
          <w:tcPr>
            <w:tcW w:w="4280" w:type="dxa"/>
            <w:vAlign w:val="bottom"/>
            <w:gridSpan w:val="11"/>
            <w:shd w:val="clear" w:color="auto" w:fill="CCEEFF"/>
          </w:tcPr>
          <w:p>
            <w:pPr>
              <w:spacing w:after="0" w:line="183" w:lineRule="exact"/>
              <w:rPr>
                <w:rFonts w:ascii="Arial" w:cs="Arial" w:eastAsia="Arial" w:hAnsi="Arial"/>
                <w:sz w:val="16"/>
                <w:szCs w:val="16"/>
                <w:b w:val="1"/>
                <w:bCs w:val="1"/>
                <w:color w:val="0000EE"/>
              </w:rPr>
            </w:pPr>
            <w:hyperlink w:anchor="page139">
              <w:r>
                <w:rPr>
                  <w:rFonts w:ascii="Arial" w:cs="Arial" w:eastAsia="Arial" w:hAnsi="Arial"/>
                  <w:sz w:val="16"/>
                  <w:szCs w:val="16"/>
                  <w:b w:val="1"/>
                  <w:bCs w:val="1"/>
                  <w:color w:val="0000EE"/>
                </w:rPr>
                <w:t>the Sarbanes-Oxley Act of 2002</w:t>
              </w:r>
              <w:r>
                <w:rPr>
                  <w:rFonts w:ascii="Arial" w:cs="Arial" w:eastAsia="Arial" w:hAnsi="Arial"/>
                  <w:sz w:val="16"/>
                  <w:szCs w:val="16"/>
                  <w:color w:val="000000"/>
                </w:rPr>
                <w:t>.</w:t>
              </w:r>
            </w:hyperlink>
          </w:p>
        </w:tc>
        <w:tc>
          <w:tcPr>
            <w:tcW w:w="5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1080" w:type="dxa"/>
            <w:vAlign w:val="bottom"/>
            <w:tcBorders>
              <w:top w:val="single" w:sz="8" w:color="CCEEFF"/>
            </w:tcBorders>
          </w:tcPr>
          <w:p>
            <w:pPr>
              <w:jc w:val="center"/>
              <w:ind w:right="39"/>
              <w:spacing w:after="0"/>
              <w:rPr>
                <w:sz w:val="20"/>
                <w:szCs w:val="20"/>
                <w:color w:val="auto"/>
              </w:rPr>
            </w:pPr>
            <w:r>
              <w:rPr>
                <w:rFonts w:ascii="Arial" w:cs="Arial" w:eastAsia="Arial" w:hAnsi="Arial"/>
                <w:sz w:val="16"/>
                <w:szCs w:val="16"/>
                <w:color w:val="auto"/>
                <w:w w:val="95"/>
              </w:rPr>
              <w:t>101.INS+</w:t>
            </w:r>
          </w:p>
        </w:tc>
        <w:tc>
          <w:tcPr>
            <w:tcW w:w="216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rPr>
              <w:t>XBRL Instance Document</w:t>
            </w:r>
          </w:p>
        </w:tc>
        <w:tc>
          <w:tcPr>
            <w:tcW w:w="2120" w:type="dxa"/>
            <w:vAlign w:val="bottom"/>
            <w:tcBorders>
              <w:top w:val="single" w:sz="8" w:color="CCEEFF"/>
            </w:tcBorders>
            <w:gridSpan w:val="8"/>
          </w:tcPr>
          <w:p>
            <w:pPr>
              <w:spacing w:after="0"/>
              <w:rPr>
                <w:sz w:val="17"/>
                <w:szCs w:val="17"/>
                <w:color w:val="auto"/>
              </w:rPr>
            </w:pPr>
          </w:p>
        </w:tc>
        <w:tc>
          <w:tcPr>
            <w:tcW w:w="4580" w:type="dxa"/>
            <w:vAlign w:val="bottom"/>
            <w:tcBorders>
              <w:top w:val="single" w:sz="8" w:color="CCEEFF"/>
            </w:tcBorders>
            <w:gridSpan w:val="5"/>
          </w:tcPr>
          <w:p>
            <w:pPr>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1"/>
              </w:rPr>
              <w:t>101.SCH+</w:t>
            </w:r>
          </w:p>
        </w:tc>
        <w:tc>
          <w:tcPr>
            <w:tcW w:w="428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Taxonomy Extension Schema</w:t>
            </w:r>
          </w:p>
        </w:tc>
        <w:tc>
          <w:tcPr>
            <w:tcW w:w="45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tcPr>
          <w:p>
            <w:pPr>
              <w:jc w:val="center"/>
              <w:ind w:right="59"/>
              <w:spacing w:after="0"/>
              <w:rPr>
                <w:sz w:val="20"/>
                <w:szCs w:val="20"/>
                <w:color w:val="auto"/>
              </w:rPr>
            </w:pPr>
            <w:r>
              <w:rPr>
                <w:rFonts w:ascii="Arial" w:cs="Arial" w:eastAsia="Arial" w:hAnsi="Arial"/>
                <w:sz w:val="16"/>
                <w:szCs w:val="16"/>
                <w:color w:val="auto"/>
                <w:w w:val="97"/>
              </w:rPr>
              <w:t>101.CAL+</w:t>
            </w:r>
          </w:p>
        </w:tc>
        <w:tc>
          <w:tcPr>
            <w:tcW w:w="4280" w:type="dxa"/>
            <w:vAlign w:val="bottom"/>
            <w:gridSpan w:val="11"/>
          </w:tcPr>
          <w:p>
            <w:pPr>
              <w:spacing w:after="0"/>
              <w:rPr>
                <w:sz w:val="20"/>
                <w:szCs w:val="20"/>
                <w:color w:val="auto"/>
              </w:rPr>
            </w:pPr>
            <w:r>
              <w:rPr>
                <w:rFonts w:ascii="Arial" w:cs="Arial" w:eastAsia="Arial" w:hAnsi="Arial"/>
                <w:sz w:val="16"/>
                <w:szCs w:val="16"/>
                <w:color w:val="auto"/>
              </w:rPr>
              <w:t>XBRL Taxonomy Extension Calculation</w:t>
            </w:r>
          </w:p>
        </w:tc>
        <w:tc>
          <w:tcPr>
            <w:tcW w:w="4580" w:type="dxa"/>
            <w:vAlign w:val="bottom"/>
            <w:gridSpan w:val="5"/>
          </w:tcPr>
          <w:p>
            <w:pPr>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101.DEF+</w:t>
            </w:r>
          </w:p>
        </w:tc>
        <w:tc>
          <w:tcPr>
            <w:tcW w:w="428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Taxonomy Extension Definition</w:t>
            </w:r>
          </w:p>
        </w:tc>
        <w:tc>
          <w:tcPr>
            <w:tcW w:w="45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tcPr>
          <w:p>
            <w:pPr>
              <w:jc w:val="center"/>
              <w:ind w:right="59"/>
              <w:spacing w:after="0"/>
              <w:rPr>
                <w:sz w:val="20"/>
                <w:szCs w:val="20"/>
                <w:color w:val="auto"/>
              </w:rPr>
            </w:pPr>
            <w:r>
              <w:rPr>
                <w:rFonts w:ascii="Arial" w:cs="Arial" w:eastAsia="Arial" w:hAnsi="Arial"/>
                <w:sz w:val="16"/>
                <w:szCs w:val="16"/>
                <w:color w:val="auto"/>
                <w:w w:val="98"/>
              </w:rPr>
              <w:t>101.LAB+</w:t>
            </w:r>
          </w:p>
        </w:tc>
        <w:tc>
          <w:tcPr>
            <w:tcW w:w="4280" w:type="dxa"/>
            <w:vAlign w:val="bottom"/>
            <w:gridSpan w:val="11"/>
          </w:tcPr>
          <w:p>
            <w:pPr>
              <w:spacing w:after="0"/>
              <w:rPr>
                <w:sz w:val="20"/>
                <w:szCs w:val="20"/>
                <w:color w:val="auto"/>
              </w:rPr>
            </w:pPr>
            <w:r>
              <w:rPr>
                <w:rFonts w:ascii="Arial" w:cs="Arial" w:eastAsia="Arial" w:hAnsi="Arial"/>
                <w:sz w:val="16"/>
                <w:szCs w:val="16"/>
                <w:color w:val="auto"/>
              </w:rPr>
              <w:t>XBRL Taxonomy Extension Labels</w:t>
            </w:r>
          </w:p>
        </w:tc>
        <w:tc>
          <w:tcPr>
            <w:tcW w:w="4580" w:type="dxa"/>
            <w:vAlign w:val="bottom"/>
            <w:gridSpan w:val="5"/>
          </w:tcPr>
          <w:p>
            <w:pPr>
              <w:spacing w:after="0"/>
              <w:rPr>
                <w:sz w:val="20"/>
                <w:szCs w:val="20"/>
                <w:color w:val="auto"/>
              </w:rPr>
            </w:pPr>
            <w:r>
              <w:rPr>
                <w:rFonts w:ascii="Arial" w:cs="Arial" w:eastAsia="Arial" w:hAnsi="Arial"/>
                <w:sz w:val="16"/>
                <w:szCs w:val="16"/>
                <w:color w:val="auto"/>
              </w:rPr>
              <w:t>N/A</w:t>
            </w:r>
          </w:p>
        </w:tc>
      </w:tr>
      <w:tr>
        <w:trPr>
          <w:trHeight w:val="203"/>
        </w:trPr>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2"/>
              </w:rPr>
              <w:t>101.PRE+</w:t>
            </w:r>
          </w:p>
        </w:tc>
        <w:tc>
          <w:tcPr>
            <w:tcW w:w="428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Taxonomy Extension Presentation</w:t>
            </w:r>
          </w:p>
        </w:tc>
        <w:tc>
          <w:tcPr>
            <w:tcW w:w="45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351905" cy="508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333" w:right="97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25"/>
          <w:szCs w:val="25"/>
          <w:b w:val="1"/>
          <w:bCs w:val="1"/>
          <w:u w:val="single" w:color="auto"/>
          <w:color w:val="auto"/>
        </w:rPr>
        <w:t>SIGNATURES</w:t>
      </w:r>
    </w:p>
    <w:p>
      <w:pPr>
        <w:spacing w:after="0" w:line="31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380" w:type="dxa"/>
            <w:vAlign w:val="bottom"/>
          </w:tcPr>
          <w:p>
            <w:pPr>
              <w:spacing w:after="0"/>
              <w:rPr>
                <w:sz w:val="24"/>
                <w:szCs w:val="24"/>
                <w:color w:val="auto"/>
              </w:rPr>
            </w:pPr>
          </w:p>
        </w:tc>
        <w:tc>
          <w:tcPr>
            <w:tcW w:w="7560" w:type="dxa"/>
            <w:vAlign w:val="bottom"/>
            <w:gridSpan w:val="2"/>
          </w:tcPr>
          <w:p>
            <w:pPr>
              <w:jc w:val="center"/>
              <w:ind w:right="2310"/>
              <w:spacing w:after="0"/>
              <w:rPr>
                <w:sz w:val="20"/>
                <w:szCs w:val="20"/>
                <w:color w:val="auto"/>
              </w:rPr>
            </w:pPr>
            <w:r>
              <w:rPr>
                <w:rFonts w:ascii="Arial" w:cs="Arial" w:eastAsia="Arial" w:hAnsi="Arial"/>
                <w:sz w:val="25"/>
                <w:szCs w:val="25"/>
                <w:b w:val="1"/>
                <w:bCs w:val="1"/>
                <w:color w:val="auto"/>
              </w:rPr>
              <w:t>READING INTERNATIONAL, INC.</w:t>
            </w:r>
          </w:p>
        </w:tc>
      </w:tr>
      <w:tr>
        <w:trPr>
          <w:trHeight w:val="505"/>
        </w:trPr>
        <w:tc>
          <w:tcPr>
            <w:tcW w:w="2380" w:type="dxa"/>
            <w:vAlign w:val="bottom"/>
          </w:tcPr>
          <w:p>
            <w:pPr>
              <w:spacing w:after="0"/>
              <w:rPr>
                <w:sz w:val="24"/>
                <w:szCs w:val="24"/>
                <w:color w:val="auto"/>
              </w:rPr>
            </w:pPr>
          </w:p>
        </w:tc>
        <w:tc>
          <w:tcPr>
            <w:tcW w:w="7560" w:type="dxa"/>
            <w:vAlign w:val="bottom"/>
            <w:gridSpan w:val="2"/>
          </w:tcPr>
          <w:p>
            <w:pPr>
              <w:jc w:val="center"/>
              <w:ind w:right="2290"/>
              <w:spacing w:after="0"/>
              <w:rPr>
                <w:sz w:val="20"/>
                <w:szCs w:val="20"/>
                <w:color w:val="auto"/>
              </w:rPr>
            </w:pPr>
            <w:r>
              <w:rPr>
                <w:rFonts w:ascii="Arial" w:cs="Arial" w:eastAsia="Arial" w:hAnsi="Arial"/>
                <w:sz w:val="18"/>
                <w:szCs w:val="18"/>
                <w:color w:val="auto"/>
                <w:w w:val="91"/>
              </w:rPr>
              <w:t>(Registrant)</w:t>
            </w:r>
          </w:p>
        </w:tc>
      </w:tr>
      <w:tr>
        <w:trPr>
          <w:trHeight w:val="445"/>
        </w:trPr>
        <w:tc>
          <w:tcPr>
            <w:tcW w:w="2380" w:type="dxa"/>
            <w:vAlign w:val="bottom"/>
          </w:tcPr>
          <w:p>
            <w:pPr>
              <w:spacing w:after="0"/>
              <w:rPr>
                <w:sz w:val="20"/>
                <w:szCs w:val="20"/>
                <w:color w:val="auto"/>
              </w:rPr>
            </w:pPr>
            <w:r>
              <w:rPr>
                <w:rFonts w:ascii="Arial" w:cs="Arial" w:eastAsia="Arial" w:hAnsi="Arial"/>
                <w:sz w:val="18"/>
                <w:szCs w:val="18"/>
                <w:color w:val="auto"/>
              </w:rPr>
              <w:t>Date:   March 16, 2020</w:t>
            </w:r>
          </w:p>
        </w:tc>
        <w:tc>
          <w:tcPr>
            <w:tcW w:w="7560" w:type="dxa"/>
            <w:vAlign w:val="bottom"/>
            <w:gridSpan w:val="2"/>
          </w:tcPr>
          <w:p>
            <w:pPr>
              <w:ind w:left="2120"/>
              <w:spacing w:after="0"/>
              <w:rPr>
                <w:sz w:val="20"/>
                <w:szCs w:val="20"/>
                <w:color w:val="auto"/>
              </w:rPr>
            </w:pPr>
            <w:r>
              <w:rPr>
                <w:rFonts w:ascii="Arial" w:cs="Arial" w:eastAsia="Arial" w:hAnsi="Arial"/>
                <w:sz w:val="18"/>
                <w:szCs w:val="18"/>
                <w:color w:val="auto"/>
              </w:rPr>
              <w:t>By:   /s/ Gilbert Avanes</w:t>
            </w:r>
          </w:p>
        </w:tc>
      </w:tr>
      <w:tr>
        <w:trPr>
          <w:trHeight w:val="195"/>
        </w:trPr>
        <w:tc>
          <w:tcPr>
            <w:tcW w:w="2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Gilbert Avanes</w:t>
            </w:r>
          </w:p>
        </w:tc>
      </w:tr>
      <w:tr>
        <w:trPr>
          <w:trHeight w:val="216"/>
        </w:trPr>
        <w:tc>
          <w:tcPr>
            <w:tcW w:w="2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7"/>
              </w:rPr>
              <w:t>Executive Vice President, Chief Financial Officer and Treasurer</w:t>
            </w:r>
          </w:p>
        </w:tc>
      </w:tr>
      <w:tr>
        <w:trPr>
          <w:trHeight w:val="230"/>
        </w:trPr>
        <w:tc>
          <w:tcPr>
            <w:tcW w:w="2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9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Pursuant to the requirements of the Securities and Exchange Act of 1934, this report has been signed below by the following persons on behalf of Registrant and in capacities and on dates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5860" w:type="dxa"/>
            <w:vAlign w:val="bottom"/>
            <w:gridSpan w:val="3"/>
          </w:tcPr>
          <w:p>
            <w:pPr>
              <w:ind w:left="2800"/>
              <w:spacing w:after="0"/>
              <w:rPr>
                <w:sz w:val="20"/>
                <w:szCs w:val="20"/>
                <w:color w:val="auto"/>
              </w:rPr>
            </w:pPr>
            <w:r>
              <w:rPr>
                <w:rFonts w:ascii="Arial" w:cs="Arial" w:eastAsia="Arial" w:hAnsi="Arial"/>
                <w:sz w:val="18"/>
                <w:szCs w:val="18"/>
                <w:b w:val="1"/>
                <w:bCs w:val="1"/>
                <w:color w:val="auto"/>
              </w:rPr>
              <w:t>Title(s)</w:t>
            </w:r>
          </w:p>
        </w:tc>
        <w:tc>
          <w:tcPr>
            <w:tcW w:w="1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Ellen M. Cotter</w:t>
            </w:r>
          </w:p>
        </w:tc>
        <w:tc>
          <w:tcPr>
            <w:tcW w:w="5860" w:type="dxa"/>
            <w:vAlign w:val="bottom"/>
            <w:gridSpan w:val="3"/>
          </w:tcPr>
          <w:p>
            <w:pPr>
              <w:spacing w:after="0"/>
              <w:rPr>
                <w:sz w:val="20"/>
                <w:szCs w:val="20"/>
                <w:color w:val="auto"/>
              </w:rPr>
            </w:pPr>
            <w:r>
              <w:rPr>
                <w:rFonts w:ascii="Arial" w:cs="Arial" w:eastAsia="Arial" w:hAnsi="Arial"/>
                <w:sz w:val="18"/>
                <w:szCs w:val="18"/>
                <w:color w:val="auto"/>
                <w:w w:val="98"/>
              </w:rPr>
              <w:t>President, Chief Executive Officer and Chairman of the Board and 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Ellen M. Cotter</w:t>
            </w:r>
          </w:p>
        </w:tc>
        <w:tc>
          <w:tcPr>
            <w:tcW w:w="586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0"/>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Gilbert Avanes</w:t>
            </w:r>
          </w:p>
        </w:tc>
        <w:tc>
          <w:tcPr>
            <w:tcW w:w="5860" w:type="dxa"/>
            <w:vAlign w:val="bottom"/>
            <w:gridSpan w:val="3"/>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Gilbert Avanes</w:t>
            </w:r>
          </w:p>
        </w:tc>
        <w:tc>
          <w:tcPr>
            <w:tcW w:w="58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0"/>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 Lucas</w:t>
            </w:r>
          </w:p>
        </w:tc>
        <w:tc>
          <w:tcPr>
            <w:tcW w:w="5860" w:type="dxa"/>
            <w:vAlign w:val="bottom"/>
            <w:gridSpan w:val="3"/>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Steve Lucas</w:t>
            </w:r>
          </w:p>
        </w:tc>
        <w:tc>
          <w:tcPr>
            <w:tcW w:w="5860" w:type="dxa"/>
            <w:vAlign w:val="bottom"/>
            <w:gridSpan w:val="3"/>
          </w:tcPr>
          <w:p>
            <w:pPr>
              <w:spacing w:after="0"/>
              <w:rPr>
                <w:sz w:val="20"/>
                <w:szCs w:val="20"/>
                <w:color w:val="auto"/>
              </w:rPr>
            </w:pPr>
            <w:r>
              <w:rPr>
                <w:rFonts w:ascii="Arial" w:cs="Arial" w:eastAsia="Arial" w:hAnsi="Arial"/>
                <w:sz w:val="18"/>
                <w:szCs w:val="18"/>
                <w:i w:val="1"/>
                <w:iCs w:val="1"/>
                <w:color w:val="auto"/>
              </w:rPr>
              <w:t>(Principal Accounting Officer)</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0"/>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Margaret Cotter</w:t>
            </w:r>
          </w:p>
        </w:tc>
        <w:tc>
          <w:tcPr>
            <w:tcW w:w="5860" w:type="dxa"/>
            <w:vAlign w:val="bottom"/>
            <w:gridSpan w:val="3"/>
          </w:tcPr>
          <w:p>
            <w:pPr>
              <w:spacing w:after="0"/>
              <w:rPr>
                <w:sz w:val="20"/>
                <w:szCs w:val="20"/>
                <w:color w:val="auto"/>
              </w:rPr>
            </w:pPr>
            <w:r>
              <w:rPr>
                <w:rFonts w:ascii="Arial" w:cs="Arial" w:eastAsia="Arial" w:hAnsi="Arial"/>
                <w:sz w:val="18"/>
                <w:szCs w:val="18"/>
                <w:color w:val="auto"/>
              </w:rPr>
              <w:t>EVP Real Estate and Vice Chairman of the Board and 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Margaret Cotter</w:t>
            </w:r>
          </w:p>
        </w:tc>
        <w:tc>
          <w:tcPr>
            <w:tcW w:w="2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0"/>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Guy W. Adams</w:t>
            </w:r>
          </w:p>
        </w:tc>
        <w:tc>
          <w:tcPr>
            <w:tcW w:w="5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Guy W. Adams</w:t>
            </w:r>
          </w:p>
        </w:tc>
        <w:tc>
          <w:tcPr>
            <w:tcW w:w="2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0"/>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L. Kane</w:t>
            </w:r>
          </w:p>
        </w:tc>
        <w:tc>
          <w:tcPr>
            <w:tcW w:w="5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Edward L Kane</w:t>
            </w:r>
          </w:p>
        </w:tc>
        <w:tc>
          <w:tcPr>
            <w:tcW w:w="2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0"/>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J. McEachern</w:t>
            </w:r>
          </w:p>
        </w:tc>
        <w:tc>
          <w:tcPr>
            <w:tcW w:w="5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Douglas J. McEachern</w:t>
            </w:r>
          </w:p>
        </w:tc>
        <w:tc>
          <w:tcPr>
            <w:tcW w:w="2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0"/>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Judy Codding</w:t>
            </w:r>
          </w:p>
        </w:tc>
        <w:tc>
          <w:tcPr>
            <w:tcW w:w="5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Dr. Judy Codding</w:t>
            </w:r>
          </w:p>
        </w:tc>
        <w:tc>
          <w:tcPr>
            <w:tcW w:w="2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0"/>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Wrotniak</w:t>
            </w:r>
          </w:p>
        </w:tc>
        <w:tc>
          <w:tcPr>
            <w:tcW w:w="5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March 16,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Michael Wrotniak</w:t>
            </w:r>
          </w:p>
        </w:tc>
        <w:tc>
          <w:tcPr>
            <w:tcW w:w="2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634"/>
        </w:trPr>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gridSpan w:val="2"/>
          </w:tcPr>
          <w:p>
            <w:pPr>
              <w:ind w:left="2280"/>
              <w:spacing w:after="0"/>
              <w:rPr>
                <w:sz w:val="20"/>
                <w:szCs w:val="20"/>
                <w:color w:val="auto"/>
              </w:rPr>
            </w:pPr>
            <w:r>
              <w:rPr>
                <w:rFonts w:ascii="Arial" w:cs="Arial" w:eastAsia="Arial" w:hAnsi="Arial"/>
                <w:sz w:val="18"/>
                <w:szCs w:val="18"/>
                <w:color w:val="auto"/>
              </w:rPr>
              <w:t>- 125 -</w:t>
            </w:r>
          </w:p>
        </w:tc>
        <w:tc>
          <w:tcPr>
            <w:tcW w:w="2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08"/>
        </w:trPr>
        <w:tc>
          <w:tcPr>
            <w:tcW w:w="7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20"/>
        </w:trPr>
        <w:tc>
          <w:tcPr>
            <w:tcW w:w="74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28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333" w:right="959" w:bottom="1440" w:gutter="0" w:footer="0" w:header="0"/>
        </w:sectPr>
      </w:pPr>
    </w:p>
    <w:bookmarkStart w:id="126" w:name="page127"/>
    <w:bookmarkEnd w:id="126"/>
    <w:p>
      <w:pPr>
        <w:jc w:val="right"/>
        <w:ind w:right="199"/>
        <w:spacing w:after="0"/>
        <w:rPr>
          <w:sz w:val="20"/>
          <w:szCs w:val="20"/>
          <w:color w:val="auto"/>
        </w:rPr>
      </w:pPr>
      <w:r>
        <w:rPr>
          <w:rFonts w:ascii="Arial" w:cs="Arial" w:eastAsia="Arial" w:hAnsi="Arial"/>
          <w:sz w:val="20"/>
          <w:szCs w:val="20"/>
          <w:b w:val="1"/>
          <w:bCs w:val="1"/>
          <w:color w:val="auto"/>
        </w:rPr>
        <w:t>Exhibit 4.6</w:t>
      </w:r>
    </w:p>
    <w:p>
      <w:pPr>
        <w:spacing w:after="0" w:line="23" w:lineRule="exact"/>
        <w:rPr>
          <w:sz w:val="20"/>
          <w:szCs w:val="20"/>
          <w:color w:val="auto"/>
        </w:rPr>
      </w:pPr>
    </w:p>
    <w:p>
      <w:pPr>
        <w:jc w:val="center"/>
        <w:ind w:left="1640" w:right="1320"/>
        <w:spacing w:after="0" w:line="241" w:lineRule="auto"/>
        <w:rPr>
          <w:sz w:val="20"/>
          <w:szCs w:val="20"/>
          <w:color w:val="auto"/>
        </w:rPr>
      </w:pPr>
      <w:r>
        <w:rPr>
          <w:rFonts w:ascii="Arial" w:cs="Arial" w:eastAsia="Arial" w:hAnsi="Arial"/>
          <w:sz w:val="20"/>
          <w:szCs w:val="20"/>
          <w:b w:val="1"/>
          <w:bCs w:val="1"/>
          <w:color w:val="auto"/>
        </w:rPr>
        <w:t>DESCRIPTION OF REGISTRANT'S SECURITIES REGISTERED PURSUANT TO SECTION 12 OF THE SECURITIES EXCHANGE ACT OF 1934</w:t>
      </w:r>
    </w:p>
    <w:p>
      <w:pPr>
        <w:spacing w:after="0" w:line="209"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0"/>
          <w:szCs w:val="20"/>
          <w:color w:val="auto"/>
        </w:rPr>
        <w:t>Reading International, Inc., Nevada corporation ("we," "our," or the "Company"), has two classes of securities registered under Section 12 of the Securities Exchange Act of 1934, as amended: our Class A Common Stock and our Class B Common Stock (each as defined below).</w:t>
      </w:r>
    </w:p>
    <w:p>
      <w:pPr>
        <w:spacing w:after="0" w:line="199" w:lineRule="exact"/>
        <w:rPr>
          <w:sz w:val="20"/>
          <w:szCs w:val="20"/>
          <w:color w:val="auto"/>
        </w:rPr>
      </w:pPr>
    </w:p>
    <w:p>
      <w:pPr>
        <w:jc w:val="both"/>
        <w:ind w:left="180" w:right="199"/>
        <w:spacing w:after="0" w:line="276" w:lineRule="auto"/>
        <w:rPr>
          <w:sz w:val="20"/>
          <w:szCs w:val="20"/>
          <w:color w:val="auto"/>
        </w:rPr>
      </w:pPr>
      <w:r>
        <w:rPr>
          <w:rFonts w:ascii="Arial" w:cs="Arial" w:eastAsia="Arial" w:hAnsi="Arial"/>
          <w:sz w:val="18"/>
          <w:szCs w:val="18"/>
          <w:color w:val="auto"/>
        </w:rPr>
        <w:t>The following description of our Class A Common Stock and our Class B Common Stock is a summary and does not purport to be complete. This summary is subject to and qualified in its entirety by reference to the full text of our amended and restated articles of incorporation ("Articles of Incorporation") and our amended and restates bylaws, as amended ("Bylaws"), each of which is filed as an exhibit to the Annual Report on Form 10-K of which this Exhibit 4.1 is a part. We encourage you to read our Articles of Incorporation, our Bylaws, and the applicable provisions of Nevada law for additional information.</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Authorized Shares</w:t>
      </w:r>
    </w:p>
    <w:p>
      <w:pPr>
        <w:spacing w:after="0" w:line="235" w:lineRule="exact"/>
        <w:rPr>
          <w:sz w:val="20"/>
          <w:szCs w:val="20"/>
          <w:color w:val="auto"/>
        </w:rPr>
      </w:pPr>
    </w:p>
    <w:p>
      <w:pPr>
        <w:jc w:val="both"/>
        <w:ind w:left="180" w:right="199"/>
        <w:spacing w:after="0" w:line="282" w:lineRule="auto"/>
        <w:rPr>
          <w:sz w:val="20"/>
          <w:szCs w:val="20"/>
          <w:color w:val="auto"/>
        </w:rPr>
      </w:pPr>
      <w:r>
        <w:rPr>
          <w:rFonts w:ascii="Arial" w:cs="Arial" w:eastAsia="Arial" w:hAnsi="Arial"/>
          <w:sz w:val="18"/>
          <w:szCs w:val="18"/>
          <w:color w:val="auto"/>
        </w:rPr>
        <w:t>Our capital shares consist of 100,000,000 shares of class A non-voting common stock, $0.01 par value per share ("Class A Common Stock"), 20,000,000 shares of class B voting common stock, $0.01 par value per share ("Class B Common Stock" and together with the Class A Common Stock, the "Common Stock"), and 20,000,000 shares of undesignated preferred stock, $0.01 par value per share (the "Preferred Stock").</w:t>
      </w:r>
    </w:p>
    <w:p>
      <w:pPr>
        <w:spacing w:after="0" w:line="175" w:lineRule="exact"/>
        <w:rPr>
          <w:sz w:val="20"/>
          <w:szCs w:val="20"/>
          <w:color w:val="auto"/>
        </w:rPr>
      </w:pPr>
    </w:p>
    <w:p>
      <w:pPr>
        <w:jc w:val="both"/>
        <w:ind w:left="180" w:right="199"/>
        <w:spacing w:after="0" w:line="311" w:lineRule="auto"/>
        <w:rPr>
          <w:sz w:val="20"/>
          <w:szCs w:val="20"/>
          <w:color w:val="auto"/>
        </w:rPr>
      </w:pPr>
      <w:r>
        <w:rPr>
          <w:rFonts w:ascii="Arial" w:cs="Arial" w:eastAsia="Arial" w:hAnsi="Arial"/>
          <w:sz w:val="16"/>
          <w:szCs w:val="16"/>
          <w:color w:val="auto"/>
        </w:rPr>
        <w:t>No shares of our authorized Preferred Stock have been issued or are currently outstanding. Pursuant to our Articles of Incorporation, our board of directors generally has the authority to designate, from time to time, Preferred Stock in one or more series, and to prescribe with respect to each such series the voting powers, if any, designations, preferences and relative, participating, optional or other special rights and qualifications, limitations or restrictions relating to such series, including liquidation preferences. However, we are required to obtain the approval of the holders of a majority of the outstanding shares of Class B Common Stock relating to the issuance of any class of Preferred Stock having voting rights, other than voting rights with respect to the approval of any change in the rights, privileges or preferences of such class of Preferred Stock.</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Voting Rights</w:t>
      </w:r>
    </w:p>
    <w:p>
      <w:pPr>
        <w:spacing w:after="0" w:line="235" w:lineRule="exact"/>
        <w:rPr>
          <w:sz w:val="20"/>
          <w:szCs w:val="20"/>
          <w:color w:val="auto"/>
        </w:rPr>
      </w:pPr>
    </w:p>
    <w:p>
      <w:pPr>
        <w:jc w:val="both"/>
        <w:ind w:left="180" w:right="199"/>
        <w:spacing w:after="0" w:line="274" w:lineRule="auto"/>
        <w:rPr>
          <w:sz w:val="20"/>
          <w:szCs w:val="20"/>
          <w:color w:val="auto"/>
        </w:rPr>
      </w:pPr>
      <w:r>
        <w:rPr>
          <w:rFonts w:ascii="Arial" w:cs="Arial" w:eastAsia="Arial" w:hAnsi="Arial"/>
          <w:sz w:val="18"/>
          <w:szCs w:val="18"/>
          <w:color w:val="auto"/>
        </w:rPr>
        <w:t>Holders of our Class A Common Stock have no voting rights, except that the holders of Class A Common Stock will be entitled to vote as a separate class on any amendments to our Articles of Incorporation or any merger that would adversely affect the rights, privileges or preferences of Class A Common Stock, or on any liquidation or dissolution in which such holders would receive securities with lesser rights, preferences and privileges than those attributable to Class A Common Stock. Holders of our Class B Common Stock are entitled to one vote per share on all matters voted on generally by the stockholders, including the election of directors. Holders of our Class B Common Stock do not have cumulative voting rights.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Dividends</w:t>
      </w:r>
    </w:p>
    <w:p>
      <w:pPr>
        <w:spacing w:after="0" w:line="235" w:lineRule="exact"/>
        <w:rPr>
          <w:sz w:val="20"/>
          <w:szCs w:val="20"/>
          <w:color w:val="auto"/>
        </w:rPr>
      </w:pPr>
    </w:p>
    <w:p>
      <w:pPr>
        <w:jc w:val="both"/>
        <w:ind w:left="180" w:right="199"/>
        <w:spacing w:after="0" w:line="278" w:lineRule="auto"/>
        <w:rPr>
          <w:sz w:val="20"/>
          <w:szCs w:val="20"/>
          <w:color w:val="auto"/>
        </w:rPr>
      </w:pPr>
      <w:r>
        <w:rPr>
          <w:rFonts w:ascii="Arial" w:cs="Arial" w:eastAsia="Arial" w:hAnsi="Arial"/>
          <w:sz w:val="18"/>
          <w:szCs w:val="18"/>
          <w:color w:val="auto"/>
        </w:rPr>
        <w:t>Subject to any preferential rights of any class or series of Preferred Stock, if any, holders of shares of our Common Stock are entitled to receive dividends on the stock out of assets legally available for distribution if, when and as declared by our board of directors. The declaration and payment of dividends on our Common Stock is a business decision to be made by our board of directors from time to time based upon results of our operations and our financial condition and any other factors as our board of directors considers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27" w:name="page128"/>
    <w:bookmarkEnd w:id="127"/>
    <w:p>
      <w:pPr>
        <w:jc w:val="both"/>
        <w:ind w:left="180" w:right="199"/>
        <w:spacing w:after="0" w:line="250" w:lineRule="auto"/>
        <w:rPr>
          <w:sz w:val="20"/>
          <w:szCs w:val="20"/>
          <w:color w:val="auto"/>
        </w:rPr>
      </w:pPr>
      <w:r>
        <w:rPr>
          <w:rFonts w:ascii="Arial" w:cs="Arial" w:eastAsia="Arial" w:hAnsi="Arial"/>
          <w:sz w:val="20"/>
          <w:szCs w:val="20"/>
          <w:color w:val="auto"/>
        </w:rPr>
        <w:t>relevant. Payment of dividends on Common Stock may be restricted by applicable Nevada law, and by loan agreements, indentures and other transactions entered into by us from time to time. We have never paid a cash dividend on either class of our Common Stock.</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Liquidation Rights</w:t>
      </w:r>
    </w:p>
    <w:p>
      <w:pPr>
        <w:spacing w:after="0" w:line="235" w:lineRule="exact"/>
        <w:rPr>
          <w:sz w:val="20"/>
          <w:szCs w:val="20"/>
          <w:color w:val="auto"/>
        </w:rPr>
      </w:pPr>
    </w:p>
    <w:p>
      <w:pPr>
        <w:jc w:val="both"/>
        <w:ind w:left="180" w:right="199"/>
        <w:spacing w:after="0" w:line="260" w:lineRule="auto"/>
        <w:rPr>
          <w:sz w:val="20"/>
          <w:szCs w:val="20"/>
          <w:color w:val="auto"/>
        </w:rPr>
      </w:pPr>
      <w:r>
        <w:rPr>
          <w:rFonts w:ascii="Arial" w:cs="Arial" w:eastAsia="Arial" w:hAnsi="Arial"/>
          <w:sz w:val="19"/>
          <w:szCs w:val="19"/>
          <w:color w:val="auto"/>
        </w:rPr>
        <w:t>In the event of our liquidation, dissolution or winding up, the holders of our Common Stock are entitled to share ratably in all assets legally available for distribution after payment of all debts and other liabilities and subject to the prior rights of any holders of Preferred Stock, if any, then outstanding. Holders of our Common Stock have no preemptive, redemption or other subscription or conversion rights. There are no redemption or sinking fund provisions applicable to our common stock.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 Conversion, Redemption or Preemptive Rights</w:t>
      </w:r>
    </w:p>
    <w:p>
      <w:pPr>
        <w:spacing w:after="0" w:line="235" w:lineRule="exact"/>
        <w:rPr>
          <w:sz w:val="20"/>
          <w:szCs w:val="20"/>
          <w:color w:val="auto"/>
        </w:rPr>
      </w:pPr>
    </w:p>
    <w:p>
      <w:pPr>
        <w:jc w:val="both"/>
        <w:ind w:left="180" w:right="199"/>
        <w:spacing w:after="0" w:line="260" w:lineRule="auto"/>
        <w:rPr>
          <w:sz w:val="20"/>
          <w:szCs w:val="20"/>
          <w:color w:val="auto"/>
        </w:rPr>
      </w:pPr>
      <w:r>
        <w:rPr>
          <w:rFonts w:ascii="Arial" w:cs="Arial" w:eastAsia="Arial" w:hAnsi="Arial"/>
          <w:sz w:val="20"/>
          <w:szCs w:val="20"/>
          <w:color w:val="auto"/>
        </w:rPr>
        <w:t>Holders of our Common Stock have no preemptive or other subscription or conversion rights. There are no redemption or sinking fund provisions applicable to our Common Stock.</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Consideration for Shares</w:t>
      </w:r>
    </w:p>
    <w:p>
      <w:pPr>
        <w:spacing w:after="0" w:line="235" w:lineRule="exact"/>
        <w:rPr>
          <w:sz w:val="20"/>
          <w:szCs w:val="20"/>
          <w:color w:val="auto"/>
        </w:rPr>
      </w:pPr>
    </w:p>
    <w:p>
      <w:pPr>
        <w:jc w:val="both"/>
        <w:ind w:left="180" w:right="199"/>
        <w:spacing w:after="0" w:line="260" w:lineRule="auto"/>
        <w:rPr>
          <w:sz w:val="20"/>
          <w:szCs w:val="20"/>
          <w:color w:val="auto"/>
        </w:rPr>
      </w:pPr>
      <w:r>
        <w:rPr>
          <w:rFonts w:ascii="Arial" w:cs="Arial" w:eastAsia="Arial" w:hAnsi="Arial"/>
          <w:sz w:val="20"/>
          <w:szCs w:val="20"/>
          <w:color w:val="auto"/>
        </w:rPr>
        <w:t>The Common Stock authorized by the Articles of Incorporation may be issued from time to time for such consideration as is determined by our board of directors.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Miscellaneous</w:t>
      </w:r>
    </w:p>
    <w:p>
      <w:pPr>
        <w:spacing w:after="0" w:line="235" w:lineRule="exact"/>
        <w:rPr>
          <w:sz w:val="20"/>
          <w:szCs w:val="20"/>
          <w:color w:val="auto"/>
        </w:rPr>
      </w:pPr>
    </w:p>
    <w:p>
      <w:pPr>
        <w:jc w:val="both"/>
        <w:ind w:left="180" w:right="199"/>
        <w:spacing w:after="0" w:line="246" w:lineRule="auto"/>
        <w:rPr>
          <w:sz w:val="20"/>
          <w:szCs w:val="20"/>
          <w:color w:val="auto"/>
        </w:rPr>
      </w:pPr>
      <w:r>
        <w:rPr>
          <w:rFonts w:ascii="Arial" w:cs="Arial" w:eastAsia="Arial" w:hAnsi="Arial"/>
          <w:sz w:val="20"/>
          <w:szCs w:val="20"/>
          <w:color w:val="auto"/>
        </w:rPr>
        <w:t>All outstanding shares of our Common Stock are fully paid and nonassessable. Except as otherwise specifically set forth in the Articles of Incorporation with respect to voting, all shares of our Class A Common Stock and Class B Common Stock have the same rights, preferences and privileges with respect to dividends, distributions, or any liquidation or dissolution of us.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Certain Anti-Takeover Effects of our Articles of Incorporation and Bylaws and Nevada Law</w:t>
      </w:r>
    </w:p>
    <w:p>
      <w:pPr>
        <w:spacing w:after="0" w:line="235" w:lineRule="exact"/>
        <w:rPr>
          <w:sz w:val="20"/>
          <w:szCs w:val="20"/>
          <w:color w:val="auto"/>
        </w:rPr>
      </w:pPr>
    </w:p>
    <w:p>
      <w:pPr>
        <w:jc w:val="both"/>
        <w:ind w:left="180" w:right="199"/>
        <w:spacing w:after="0" w:line="257"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Certain provisions of our Articles of Incorporation and our Bylaws, and certain provisions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Nevada Revised Statutes ("NRS") could make our acquisition by a third party, a change in our incumbent management, or a similar change of control more difficult. These provisions, which are summarized below, are likely to reduce our vulnerability to an unsolicited proposal for the restructuring or sale of all or substantially all of our assets or an unsolicited takeover attempt. The summary of the provisions set forth below does not purport to be complete and is qualified in its entirety by reference to our Articles of Incorporation and our Bylaws and the applicable provisions of Nevada law.</w:t>
      </w:r>
    </w:p>
    <w:p>
      <w:pPr>
        <w:spacing w:after="0" w:line="198" w:lineRule="exact"/>
        <w:rPr>
          <w:sz w:val="20"/>
          <w:szCs w:val="20"/>
          <w:color w:val="auto"/>
        </w:rPr>
      </w:pPr>
    </w:p>
    <w:p>
      <w:pPr>
        <w:jc w:val="both"/>
        <w:ind w:left="180" w:right="199"/>
        <w:spacing w:after="0" w:line="242" w:lineRule="auto"/>
        <w:rPr>
          <w:sz w:val="20"/>
          <w:szCs w:val="20"/>
          <w:color w:val="auto"/>
        </w:rPr>
      </w:pPr>
      <w:r>
        <w:rPr>
          <w:rFonts w:ascii="Arial" w:cs="Arial" w:eastAsia="Arial" w:hAnsi="Arial"/>
          <w:sz w:val="20"/>
          <w:szCs w:val="20"/>
          <w:i w:val="1"/>
          <w:iCs w:val="1"/>
          <w:color w:val="auto"/>
        </w:rPr>
        <w:t>Dual Class Stock</w:t>
      </w:r>
      <w:r>
        <w:rPr>
          <w:rFonts w:ascii="Arial" w:cs="Arial" w:eastAsia="Arial" w:hAnsi="Arial"/>
          <w:sz w:val="20"/>
          <w:szCs w:val="20"/>
          <w:color w:val="auto"/>
        </w:rPr>
        <w:t>. Our Articles of Incorporation provide for a dual class common stock structure, which</w:t>
      </w:r>
      <w:r>
        <w:rPr>
          <w:rFonts w:ascii="Arial" w:cs="Arial" w:eastAsia="Arial" w:hAnsi="Arial"/>
          <w:sz w:val="20"/>
          <w:szCs w:val="20"/>
          <w:i w:val="1"/>
          <w:iCs w:val="1"/>
          <w:color w:val="auto"/>
        </w:rPr>
        <w:t xml:space="preserve"> </w:t>
      </w:r>
      <w:r>
        <w:rPr>
          <w:rFonts w:ascii="Arial" w:cs="Arial" w:eastAsia="Arial" w:hAnsi="Arial"/>
          <w:sz w:val="20"/>
          <w:szCs w:val="20"/>
          <w:color w:val="auto"/>
        </w:rPr>
        <w:t>provides our Class B Common Stock with all of our voting power, except that the holders of Class A Common Stock will be entitled to vote as a separate class on any amendments to our Articles of Incorporation or any merger that would adversely affect the rights, privileges or preferences of Class A Common Stock, or on any liquidation or dissolution in which such holders would receive securities with lesser rights, preferences and privileges than those attributable to Class A Common Stock. Accordingly, subject to the foregoing limitations, holders of our Class B Common Stock have the ability to control the outcome of matters requiring stockholder approval, including the election or removal of directors and significant corporate transactions.</w:t>
      </w:r>
    </w:p>
    <w:p>
      <w:pPr>
        <w:spacing w:after="0" w:line="208" w:lineRule="exact"/>
        <w:rPr>
          <w:sz w:val="20"/>
          <w:szCs w:val="20"/>
          <w:color w:val="auto"/>
        </w:rPr>
      </w:pPr>
    </w:p>
    <w:p>
      <w:pPr>
        <w:jc w:val="both"/>
        <w:ind w:left="180" w:right="199"/>
        <w:spacing w:after="0" w:line="316" w:lineRule="auto"/>
        <w:rPr>
          <w:sz w:val="20"/>
          <w:szCs w:val="20"/>
          <w:color w:val="auto"/>
        </w:rPr>
      </w:pPr>
      <w:r>
        <w:rPr>
          <w:rFonts w:ascii="Arial" w:cs="Arial" w:eastAsia="Arial" w:hAnsi="Arial"/>
          <w:sz w:val="18"/>
          <w:szCs w:val="18"/>
          <w:i w:val="1"/>
          <w:iCs w:val="1"/>
          <w:color w:val="auto"/>
        </w:rPr>
        <w:t>Certain Issuances Class B Common Stock</w:t>
      </w:r>
      <w:r>
        <w:rPr>
          <w:rFonts w:ascii="Arial" w:cs="Arial" w:eastAsia="Arial" w:hAnsi="Arial"/>
          <w:sz w:val="18"/>
          <w:szCs w:val="18"/>
          <w:color w:val="auto"/>
        </w:rPr>
        <w:t>. Our Articles of Incorporation require that we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holders of a majority of the outstanding shares of Class B Common Stock before selling or issuing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8" w:name="page129"/>
    <w:bookmarkEnd w:id="128"/>
    <w:p>
      <w:pPr>
        <w:jc w:val="both"/>
        <w:ind w:left="180" w:right="199"/>
        <w:spacing w:after="0" w:line="257" w:lineRule="auto"/>
        <w:rPr>
          <w:sz w:val="20"/>
          <w:szCs w:val="20"/>
          <w:color w:val="auto"/>
        </w:rPr>
      </w:pPr>
      <w:r>
        <w:rPr>
          <w:rFonts w:ascii="Arial" w:cs="Arial" w:eastAsia="Arial" w:hAnsi="Arial"/>
          <w:sz w:val="19"/>
          <w:szCs w:val="19"/>
          <w:color w:val="auto"/>
        </w:rPr>
        <w:t>additional shares of Class B Common Stock representing 5% or more of the then-outstanding Class B Common Stock. This means, among other things, that our board of directors cannot authorize a transaction involving the sale or issuance of Class B Common Stock that would cause a change of control of the Company without the approval of the holders of a majority of the outstanding shares of Class B Common Stock. The foregoing provision of our Articles of Incorporation may have the effect of discouraging, delaying or preventing someone from acquiring us or merging with us, which might cause the market price of our Class A Common Stock to decline or prevent the holders of our Class A Common Stock from realizing a premium over the market price of their shares.</w:t>
      </w:r>
    </w:p>
    <w:p>
      <w:pPr>
        <w:spacing w:after="0" w:line="195" w:lineRule="exact"/>
        <w:rPr>
          <w:sz w:val="20"/>
          <w:szCs w:val="20"/>
          <w:color w:val="auto"/>
        </w:rPr>
      </w:pPr>
    </w:p>
    <w:p>
      <w:pPr>
        <w:jc w:val="both"/>
        <w:ind w:left="180" w:right="199"/>
        <w:spacing w:after="0" w:line="271" w:lineRule="auto"/>
        <w:rPr>
          <w:sz w:val="20"/>
          <w:szCs w:val="20"/>
          <w:color w:val="auto"/>
        </w:rPr>
      </w:pPr>
      <w:r>
        <w:rPr>
          <w:rFonts w:ascii="Arial" w:cs="Arial" w:eastAsia="Arial" w:hAnsi="Arial"/>
          <w:sz w:val="18"/>
          <w:szCs w:val="18"/>
          <w:i w:val="1"/>
          <w:iCs w:val="1"/>
          <w:color w:val="auto"/>
        </w:rPr>
        <w:t>Certain Issuances of Preferred Stock</w:t>
      </w:r>
      <w:r>
        <w:rPr>
          <w:rFonts w:ascii="Arial" w:cs="Arial" w:eastAsia="Arial" w:hAnsi="Arial"/>
          <w:sz w:val="18"/>
          <w:szCs w:val="18"/>
          <w:color w:val="auto"/>
        </w:rPr>
        <w:t>. Our Articles of Incorporation require that we obtain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a majority of the outstanding shares of Class B Common Stock relating to the issuance of any class of Preferred Stock having voting rights, other than voting rights with respect to the approval of any change in the rights, privileges or preferences of such class of Preferred Stock. This means, among other things, that our board of directors cannot authorize a transaction involving the sale or issuance of Preferred Stock that would cause a change of control of the Company without the approval of the holders of a majority of the outstanding shares of Class B Common Stock. The foregoing provision of our Articles of Incorporation may have the effect of discouraging, delaying or preventing someone from acquiring us or merging with us, which might cause the market price of our Class A Common Stock to decline or prevent the holders of our Class A Common Stock from realizing a premium over the market price of their shares.</w:t>
      </w:r>
    </w:p>
    <w:p>
      <w:pPr>
        <w:spacing w:after="0" w:line="187" w:lineRule="exact"/>
        <w:rPr>
          <w:sz w:val="20"/>
          <w:szCs w:val="20"/>
          <w:color w:val="auto"/>
        </w:rPr>
      </w:pPr>
    </w:p>
    <w:p>
      <w:pPr>
        <w:jc w:val="both"/>
        <w:ind w:left="180" w:right="199"/>
        <w:spacing w:after="0" w:line="246" w:lineRule="auto"/>
        <w:rPr>
          <w:sz w:val="20"/>
          <w:szCs w:val="20"/>
          <w:color w:val="auto"/>
        </w:rPr>
      </w:pPr>
      <w:r>
        <w:rPr>
          <w:rFonts w:ascii="Arial" w:cs="Arial" w:eastAsia="Arial" w:hAnsi="Arial"/>
          <w:sz w:val="20"/>
          <w:szCs w:val="20"/>
          <w:i w:val="1"/>
          <w:iCs w:val="1"/>
          <w:color w:val="auto"/>
        </w:rPr>
        <w:t xml:space="preserve">Special Meetings. </w:t>
      </w:r>
      <w:r>
        <w:rPr>
          <w:rFonts w:ascii="Arial" w:cs="Arial" w:eastAsia="Arial" w:hAnsi="Arial"/>
          <w:sz w:val="20"/>
          <w:szCs w:val="20"/>
          <w:color w:val="auto"/>
        </w:rPr>
        <w:t>Our Bylaws provide that special meetings of stockholders may only be called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chairman or vice chairman of our board of directors or the president, by the resolution of a majority of our board of directors, or at the written request of the holders of a majority of the voting power of the stock entitled to vote.</w:t>
      </w:r>
    </w:p>
    <w:p>
      <w:pPr>
        <w:spacing w:after="0" w:line="205"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0"/>
          <w:szCs w:val="20"/>
          <w:i w:val="1"/>
          <w:iCs w:val="1"/>
          <w:color w:val="auto"/>
        </w:rPr>
        <w:t>Number of Directors</w:t>
      </w:r>
      <w:r>
        <w:rPr>
          <w:rFonts w:ascii="Arial" w:cs="Arial" w:eastAsia="Arial" w:hAnsi="Arial"/>
          <w:sz w:val="20"/>
          <w:szCs w:val="20"/>
          <w:color w:val="auto"/>
        </w:rPr>
        <w:t>. Our Articles of Incorporation and our Bylaws provide that the number of directors</w:t>
      </w:r>
      <w:r>
        <w:rPr>
          <w:rFonts w:ascii="Arial" w:cs="Arial" w:eastAsia="Arial" w:hAnsi="Arial"/>
          <w:sz w:val="20"/>
          <w:szCs w:val="20"/>
          <w:i w:val="1"/>
          <w:iCs w:val="1"/>
          <w:color w:val="auto"/>
        </w:rPr>
        <w:t xml:space="preserve"> </w:t>
      </w:r>
      <w:r>
        <w:rPr>
          <w:rFonts w:ascii="Arial" w:cs="Arial" w:eastAsia="Arial" w:hAnsi="Arial"/>
          <w:sz w:val="20"/>
          <w:szCs w:val="20"/>
          <w:color w:val="auto"/>
        </w:rPr>
        <w:t>may from time to time be increased or decreased to not less than one or more than ten by action of our board of directors. Currently, the number of our directors is fixed at seven.</w:t>
      </w:r>
    </w:p>
    <w:p>
      <w:pPr>
        <w:spacing w:after="0" w:line="199" w:lineRule="exact"/>
        <w:rPr>
          <w:sz w:val="20"/>
          <w:szCs w:val="20"/>
          <w:color w:val="auto"/>
        </w:rPr>
      </w:pPr>
    </w:p>
    <w:p>
      <w:pPr>
        <w:jc w:val="both"/>
        <w:ind w:left="180" w:right="199"/>
        <w:spacing w:after="0" w:line="246" w:lineRule="auto"/>
        <w:rPr>
          <w:sz w:val="20"/>
          <w:szCs w:val="20"/>
          <w:color w:val="auto"/>
        </w:rPr>
      </w:pPr>
      <w:r>
        <w:rPr>
          <w:rFonts w:ascii="Arial" w:cs="Arial" w:eastAsia="Arial" w:hAnsi="Arial"/>
          <w:sz w:val="20"/>
          <w:szCs w:val="20"/>
          <w:i w:val="1"/>
          <w:iCs w:val="1"/>
          <w:color w:val="auto"/>
        </w:rPr>
        <w:t xml:space="preserve">Board Vacancies. </w:t>
      </w:r>
      <w:r>
        <w:rPr>
          <w:rFonts w:ascii="Arial" w:cs="Arial" w:eastAsia="Arial" w:hAnsi="Arial"/>
          <w:sz w:val="20"/>
          <w:szCs w:val="20"/>
          <w:color w:val="auto"/>
        </w:rPr>
        <w:t>Any vacancy on our board of directors may be filled by a majority vote of the remaining</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even if less than a quorum. Any director elected to fill a vacancy shall hold office until his or her successor is elected at an annual or a special meeting of the stockholders, or until his or her earlier resignation or removal.</w:t>
      </w:r>
    </w:p>
    <w:p>
      <w:pPr>
        <w:spacing w:after="0" w:line="205" w:lineRule="exact"/>
        <w:rPr>
          <w:sz w:val="20"/>
          <w:szCs w:val="20"/>
          <w:color w:val="auto"/>
        </w:rPr>
      </w:pPr>
    </w:p>
    <w:p>
      <w:pPr>
        <w:jc w:val="both"/>
        <w:ind w:left="180" w:right="199"/>
        <w:spacing w:after="0" w:line="244" w:lineRule="auto"/>
        <w:rPr>
          <w:sz w:val="20"/>
          <w:szCs w:val="20"/>
          <w:color w:val="auto"/>
        </w:rPr>
      </w:pPr>
      <w:r>
        <w:rPr>
          <w:rFonts w:ascii="Arial" w:cs="Arial" w:eastAsia="Arial" w:hAnsi="Arial"/>
          <w:sz w:val="20"/>
          <w:szCs w:val="20"/>
          <w:i w:val="1"/>
          <w:iCs w:val="1"/>
          <w:color w:val="auto"/>
        </w:rPr>
        <w:t>Removal of Directors</w:t>
      </w:r>
      <w:r>
        <w:rPr>
          <w:rFonts w:ascii="Arial" w:cs="Arial" w:eastAsia="Arial" w:hAnsi="Arial"/>
          <w:sz w:val="20"/>
          <w:szCs w:val="20"/>
          <w:color w:val="auto"/>
        </w:rPr>
        <w:t>. Our Bylaws provide that any or all of the directors may be removed from office at</w:t>
      </w:r>
      <w:r>
        <w:rPr>
          <w:rFonts w:ascii="Arial" w:cs="Arial" w:eastAsia="Arial" w:hAnsi="Arial"/>
          <w:sz w:val="20"/>
          <w:szCs w:val="20"/>
          <w:i w:val="1"/>
          <w:iCs w:val="1"/>
          <w:color w:val="auto"/>
        </w:rPr>
        <w:t xml:space="preserve"> </w:t>
      </w:r>
      <w:r>
        <w:rPr>
          <w:rFonts w:ascii="Arial" w:cs="Arial" w:eastAsia="Arial" w:hAnsi="Arial"/>
          <w:sz w:val="20"/>
          <w:szCs w:val="20"/>
          <w:color w:val="auto"/>
        </w:rPr>
        <w:t>any time by the affirmative vote of the holders of not less than two-thirds of our outstanding shares of stock entitled to vote on such removal. In addition, NRS 78.335 generally requires the vote of stockholders representing not less than two-thirds of the voting power of the issued and outstanding stock entitled to vote in order to remove an incumbent director.</w:t>
      </w:r>
    </w:p>
    <w:p>
      <w:pPr>
        <w:spacing w:after="0" w:line="208" w:lineRule="exact"/>
        <w:rPr>
          <w:sz w:val="20"/>
          <w:szCs w:val="20"/>
          <w:color w:val="auto"/>
        </w:rPr>
      </w:pPr>
    </w:p>
    <w:p>
      <w:pPr>
        <w:jc w:val="both"/>
        <w:ind w:left="180" w:right="199"/>
        <w:spacing w:after="0" w:line="271" w:lineRule="auto"/>
        <w:rPr>
          <w:sz w:val="20"/>
          <w:szCs w:val="20"/>
          <w:color w:val="auto"/>
        </w:rPr>
      </w:pPr>
      <w:r>
        <w:rPr>
          <w:rFonts w:ascii="Arial" w:cs="Arial" w:eastAsia="Arial" w:hAnsi="Arial"/>
          <w:sz w:val="18"/>
          <w:szCs w:val="18"/>
          <w:i w:val="1"/>
          <w:iCs w:val="1"/>
          <w:color w:val="auto"/>
        </w:rPr>
        <w:t>Nevada Anti-Takeover Statutes</w:t>
      </w:r>
      <w:r>
        <w:rPr>
          <w:rFonts w:ascii="Arial" w:cs="Arial" w:eastAsia="Arial" w:hAnsi="Arial"/>
          <w:sz w:val="18"/>
          <w:szCs w:val="18"/>
          <w:color w:val="auto"/>
        </w:rPr>
        <w:t>. The Nevada Revised Statutes contain provisions governing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controlling interest in certain Nevada corporations. 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9" w:name="page130"/>
    <w:bookmarkEnd w:id="129"/>
    <w:p>
      <w:pPr>
        <w:jc w:val="both"/>
        <w:ind w:left="180" w:right="199"/>
        <w:spacing w:after="0" w:line="272" w:lineRule="auto"/>
        <w:rPr>
          <w:sz w:val="20"/>
          <w:szCs w:val="20"/>
          <w:color w:val="auto"/>
        </w:rPr>
      </w:pPr>
      <w:r>
        <w:rPr>
          <w:rFonts w:ascii="Arial" w:cs="Arial" w:eastAsia="Arial" w:hAnsi="Arial"/>
          <w:sz w:val="18"/>
          <w:szCs w:val="18"/>
          <w:color w:val="auto"/>
        </w:rPr>
        <w:t>"controlling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These laws and provisions may have a chilling effect on certain transactions. We have opted out of Nevada's "acquisition of controlling interest" statutes (NRS 78.411 through 78.444, inclusive) in our Articles of Incorporation.</w:t>
      </w:r>
    </w:p>
    <w:p>
      <w:pPr>
        <w:spacing w:after="0" w:line="185" w:lineRule="exact"/>
        <w:rPr>
          <w:sz w:val="20"/>
          <w:szCs w:val="20"/>
          <w:color w:val="auto"/>
        </w:rPr>
      </w:pPr>
    </w:p>
    <w:p>
      <w:pPr>
        <w:jc w:val="both"/>
        <w:ind w:left="180" w:right="199"/>
        <w:spacing w:after="0" w:line="269" w:lineRule="auto"/>
        <w:rPr>
          <w:sz w:val="20"/>
          <w:szCs w:val="20"/>
          <w:color w:val="auto"/>
        </w:rPr>
      </w:pPr>
      <w:r>
        <w:rPr>
          <w:rFonts w:ascii="Arial" w:cs="Arial" w:eastAsia="Arial" w:hAnsi="Arial"/>
          <w:sz w:val="18"/>
          <w:szCs w:val="18"/>
          <w:color w:val="auto"/>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 We have opted out of Nevada "combinations with interested stockholders" statutes (NRS 78.411 through 78.444, inclusive) in our Articles of Incorporation.</w:t>
      </w:r>
    </w:p>
    <w:p>
      <w:pPr>
        <w:spacing w:after="0" w:line="190" w:lineRule="exact"/>
        <w:rPr>
          <w:sz w:val="20"/>
          <w:szCs w:val="20"/>
          <w:color w:val="auto"/>
        </w:rPr>
      </w:pPr>
    </w:p>
    <w:p>
      <w:pPr>
        <w:jc w:val="both"/>
        <w:ind w:left="180" w:right="199"/>
        <w:spacing w:after="0" w:line="246" w:lineRule="auto"/>
        <w:rPr>
          <w:sz w:val="20"/>
          <w:szCs w:val="20"/>
          <w:color w:val="auto"/>
        </w:rPr>
      </w:pPr>
      <w:r>
        <w:rPr>
          <w:rFonts w:ascii="Arial" w:cs="Arial" w:eastAsia="Arial" w:hAnsi="Arial"/>
          <w:sz w:val="20"/>
          <w:szCs w:val="20"/>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0" w:name="page131"/>
    <w:bookmarkEnd w:id="130"/>
    <w:tbl>
      <w:tblPr>
        <w:tblLayout w:type="fixed"/>
        <w:tblInd w:w="180" w:type="dxa"/>
        <w:tblCellMar>
          <w:top w:w="0" w:type="dxa"/>
          <w:left w:w="0" w:type="dxa"/>
          <w:bottom w:w="0" w:type="dxa"/>
          <w:right w:w="0" w:type="dxa"/>
        </w:tblCellMar>
      </w:tblPr>
      <w:tr>
        <w:trPr>
          <w:trHeight w:val="257"/>
        </w:trPr>
        <w:tc>
          <w:tcPr>
            <w:tcW w:w="6040" w:type="dxa"/>
            <w:vAlign w:val="bottom"/>
          </w:tcPr>
          <w:p>
            <w:pPr>
              <w:spacing w:after="0"/>
              <w:rPr>
                <w:sz w:val="20"/>
                <w:szCs w:val="20"/>
                <w:color w:val="auto"/>
              </w:rPr>
            </w:pPr>
            <w:r>
              <w:rPr>
                <w:rFonts w:ascii="Arial" w:cs="Arial" w:eastAsia="Arial" w:hAnsi="Arial"/>
                <w:sz w:val="20"/>
                <w:szCs w:val="20"/>
                <w:b w:val="1"/>
                <w:bCs w:val="1"/>
                <w:color w:val="auto"/>
              </w:rPr>
              <w:t>READING INTERNATIONAL, INC. – LIST OF SUBSIDIARIES</w:t>
            </w:r>
          </w:p>
        </w:tc>
        <w:tc>
          <w:tcPr>
            <w:tcW w:w="2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29"/>
        </w:trPr>
        <w:tc>
          <w:tcPr>
            <w:tcW w:w="60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Subsidiary</w:t>
            </w:r>
          </w:p>
        </w:tc>
        <w:tc>
          <w:tcPr>
            <w:tcW w:w="260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Jurisdiction of Incorporation</w:t>
            </w:r>
          </w:p>
        </w:tc>
        <w:tc>
          <w:tcPr>
            <w:tcW w:w="40" w:type="dxa"/>
            <w:vAlign w:val="bottom"/>
          </w:tcPr>
          <w:p>
            <w:pPr>
              <w:spacing w:after="0"/>
              <w:rPr>
                <w:sz w:val="24"/>
                <w:szCs w:val="24"/>
                <w:color w:val="auto"/>
              </w:rPr>
            </w:pPr>
          </w:p>
        </w:tc>
      </w:tr>
      <w:tr>
        <w:trPr>
          <w:trHeight w:val="250"/>
        </w:trPr>
        <w:tc>
          <w:tcPr>
            <w:tcW w:w="6040" w:type="dxa"/>
            <w:vAlign w:val="bottom"/>
          </w:tcPr>
          <w:p>
            <w:pPr>
              <w:ind w:left="120"/>
              <w:spacing w:after="0"/>
              <w:rPr>
                <w:sz w:val="20"/>
                <w:szCs w:val="20"/>
                <w:color w:val="auto"/>
              </w:rPr>
            </w:pPr>
            <w:r>
              <w:rPr>
                <w:rFonts w:ascii="Arial" w:cs="Arial" w:eastAsia="Arial" w:hAnsi="Arial"/>
                <w:sz w:val="20"/>
                <w:szCs w:val="20"/>
                <w:color w:val="auto"/>
              </w:rPr>
              <w:t>A.C.N. 143 633 096 Pty Ltd</w:t>
            </w:r>
          </w:p>
        </w:tc>
        <w:tc>
          <w:tcPr>
            <w:tcW w:w="2600" w:type="dxa"/>
            <w:vAlign w:val="bottom"/>
          </w:tcPr>
          <w:p>
            <w:pPr>
              <w:ind w:left="12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1"/>
                <w:szCs w:val="21"/>
                <w:color w:val="auto"/>
              </w:rPr>
            </w:pPr>
          </w:p>
        </w:tc>
      </w:tr>
      <w:tr>
        <w:trPr>
          <w:trHeight w:val="267"/>
        </w:trPr>
        <w:tc>
          <w:tcPr>
            <w:tcW w:w="6040" w:type="dxa"/>
            <w:vAlign w:val="bottom"/>
          </w:tcPr>
          <w:p>
            <w:pPr>
              <w:ind w:left="120"/>
              <w:spacing w:after="0"/>
              <w:rPr>
                <w:sz w:val="20"/>
                <w:szCs w:val="20"/>
                <w:color w:val="auto"/>
              </w:rPr>
            </w:pPr>
            <w:r>
              <w:rPr>
                <w:rFonts w:ascii="Arial" w:cs="Arial" w:eastAsia="Arial" w:hAnsi="Arial"/>
                <w:sz w:val="20"/>
                <w:szCs w:val="20"/>
                <w:color w:val="auto"/>
              </w:rPr>
              <w:t>AHGP, Inc.</w:t>
            </w:r>
          </w:p>
        </w:tc>
        <w:tc>
          <w:tcPr>
            <w:tcW w:w="2600" w:type="dxa"/>
            <w:vAlign w:val="bottom"/>
          </w:tcPr>
          <w:p>
            <w:pPr>
              <w:ind w:left="12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AHLP, Inc.</w:t>
            </w:r>
          </w:p>
        </w:tc>
        <w:tc>
          <w:tcPr>
            <w:tcW w:w="2600" w:type="dxa"/>
            <w:vAlign w:val="bottom"/>
          </w:tcPr>
          <w:p>
            <w:pPr>
              <w:ind w:left="12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Angelika Film Centers, LLC</w:t>
            </w:r>
          </w:p>
        </w:tc>
        <w:tc>
          <w:tcPr>
            <w:tcW w:w="2600" w:type="dxa"/>
            <w:vAlign w:val="bottom"/>
          </w:tcPr>
          <w:p>
            <w:pPr>
              <w:ind w:left="12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Angelika Film Center Mosaic,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Angelika Film Centers (Dallas), Inc.</w:t>
            </w:r>
          </w:p>
        </w:tc>
        <w:tc>
          <w:tcPr>
            <w:tcW w:w="2600" w:type="dxa"/>
            <w:vAlign w:val="bottom"/>
          </w:tcPr>
          <w:p>
            <w:pPr>
              <w:ind w:left="120"/>
              <w:spacing w:after="0"/>
              <w:rPr>
                <w:sz w:val="20"/>
                <w:szCs w:val="20"/>
                <w:color w:val="auto"/>
              </w:rPr>
            </w:pPr>
            <w:r>
              <w:rPr>
                <w:rFonts w:ascii="Arial" w:cs="Arial" w:eastAsia="Arial" w:hAnsi="Arial"/>
                <w:sz w:val="20"/>
                <w:szCs w:val="20"/>
                <w:color w:val="auto"/>
              </w:rPr>
              <w:t>Texas</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Angelika Film Center Union Market,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Angelika Film Centers (Plano) LP</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Angelika Plano Beverage LLC</w:t>
            </w:r>
          </w:p>
        </w:tc>
        <w:tc>
          <w:tcPr>
            <w:tcW w:w="2600" w:type="dxa"/>
            <w:vAlign w:val="bottom"/>
          </w:tcPr>
          <w:p>
            <w:pPr>
              <w:ind w:left="120"/>
              <w:spacing w:after="0"/>
              <w:rPr>
                <w:sz w:val="20"/>
                <w:szCs w:val="20"/>
                <w:color w:val="auto"/>
              </w:rPr>
            </w:pPr>
            <w:r>
              <w:rPr>
                <w:rFonts w:ascii="Arial" w:cs="Arial" w:eastAsia="Arial" w:hAnsi="Arial"/>
                <w:sz w:val="20"/>
                <w:szCs w:val="20"/>
                <w:color w:val="auto"/>
              </w:rPr>
              <w:t>Texas</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Angelika Plano Holdings,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Australia Country Cinemas Pty Ltd</w:t>
            </w:r>
          </w:p>
        </w:tc>
        <w:tc>
          <w:tcPr>
            <w:tcW w:w="2600" w:type="dxa"/>
            <w:vAlign w:val="bottom"/>
          </w:tcPr>
          <w:p>
            <w:pPr>
              <w:ind w:left="12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Australian Equipment Supply Pty Ltd</w:t>
            </w:r>
          </w:p>
        </w:tc>
        <w:tc>
          <w:tcPr>
            <w:tcW w:w="2600" w:type="dxa"/>
            <w:vAlign w:val="bottom"/>
          </w:tcPr>
          <w:p>
            <w:pPr>
              <w:ind w:left="12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Bayou Cinemas LP</w:t>
            </w:r>
          </w:p>
        </w:tc>
        <w:tc>
          <w:tcPr>
            <w:tcW w:w="2600" w:type="dxa"/>
            <w:vAlign w:val="bottom"/>
          </w:tcPr>
          <w:p>
            <w:pPr>
              <w:ind w:left="12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Bogart Holdings Ltd</w:t>
            </w:r>
          </w:p>
        </w:tc>
        <w:tc>
          <w:tcPr>
            <w:tcW w:w="2600" w:type="dxa"/>
            <w:vAlign w:val="bottom"/>
          </w:tcPr>
          <w:p>
            <w:pPr>
              <w:ind w:left="12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Burwood Developments Pty Ltd</w:t>
            </w:r>
          </w:p>
        </w:tc>
        <w:tc>
          <w:tcPr>
            <w:tcW w:w="2600" w:type="dxa"/>
            <w:vAlign w:val="bottom"/>
          </w:tcPr>
          <w:p>
            <w:pPr>
              <w:ind w:left="12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Carmel Theatres,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Citadel Agriculture, Inc.</w:t>
            </w:r>
          </w:p>
        </w:tc>
        <w:tc>
          <w:tcPr>
            <w:tcW w:w="2600" w:type="dxa"/>
            <w:vAlign w:val="bottom"/>
          </w:tcPr>
          <w:p>
            <w:pPr>
              <w:ind w:left="120"/>
              <w:spacing w:after="0"/>
              <w:rPr>
                <w:sz w:val="20"/>
                <w:szCs w:val="20"/>
                <w:color w:val="auto"/>
              </w:rPr>
            </w:pPr>
            <w:r>
              <w:rPr>
                <w:rFonts w:ascii="Arial" w:cs="Arial" w:eastAsia="Arial" w:hAnsi="Arial"/>
                <w:sz w:val="20"/>
                <w:szCs w:val="20"/>
                <w:color w:val="auto"/>
              </w:rPr>
              <w:t>California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Citadel Cinemas, Inc.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Citadel Realty, Inc.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City Cinemas,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Consolidated Amusement Holdings,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Consolidated Cinema Services,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Consolidated Cinemas Kapolei,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w w:val="92"/>
              </w:rPr>
              <w:t>Consolidated Entertainment, Inc. (fka Consolidated Entertainment,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Courtenay Car Park Ltd</w:t>
            </w:r>
          </w:p>
        </w:tc>
        <w:tc>
          <w:tcPr>
            <w:tcW w:w="2600" w:type="dxa"/>
            <w:vAlign w:val="bottom"/>
          </w:tcPr>
          <w:p>
            <w:pPr>
              <w:ind w:left="12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Craig Corporation</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Darnelle Enterprises Ltd</w:t>
            </w:r>
          </w:p>
        </w:tc>
        <w:tc>
          <w:tcPr>
            <w:tcW w:w="2600" w:type="dxa"/>
            <w:vAlign w:val="bottom"/>
          </w:tcPr>
          <w:p>
            <w:pPr>
              <w:ind w:left="12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Dimension Specialty, Inc.</w:t>
            </w:r>
          </w:p>
        </w:tc>
        <w:tc>
          <w:tcPr>
            <w:tcW w:w="2600" w:type="dxa"/>
            <w:vAlign w:val="bottom"/>
          </w:tcPr>
          <w:p>
            <w:pPr>
              <w:ind w:left="12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Epping Cinemas Pty Ltd</w:t>
            </w:r>
          </w:p>
        </w:tc>
        <w:tc>
          <w:tcPr>
            <w:tcW w:w="2600" w:type="dxa"/>
            <w:vAlign w:val="bottom"/>
          </w:tcPr>
          <w:p>
            <w:pPr>
              <w:ind w:left="12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Gaslamp Theatres,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Hope Street Hospitality, LLC</w:t>
            </w:r>
          </w:p>
        </w:tc>
        <w:tc>
          <w:tcPr>
            <w:tcW w:w="2600" w:type="dxa"/>
            <w:vAlign w:val="bottom"/>
          </w:tcPr>
          <w:p>
            <w:pPr>
              <w:ind w:left="12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Hotel Newmarket Pty Ltd</w:t>
            </w:r>
          </w:p>
        </w:tc>
        <w:tc>
          <w:tcPr>
            <w:tcW w:w="2600" w:type="dxa"/>
            <w:vAlign w:val="bottom"/>
          </w:tcPr>
          <w:p>
            <w:pPr>
              <w:ind w:left="12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Kaahumanu Cinemas,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Kahala Cinema Company,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KMA Cinemas,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Landplan Property Partners Manukau Trust</w:t>
            </w:r>
          </w:p>
        </w:tc>
        <w:tc>
          <w:tcPr>
            <w:tcW w:w="2600" w:type="dxa"/>
            <w:vAlign w:val="bottom"/>
          </w:tcPr>
          <w:p>
            <w:pPr>
              <w:ind w:left="12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Landplan Property Partners Pty Limited</w:t>
            </w:r>
          </w:p>
        </w:tc>
        <w:tc>
          <w:tcPr>
            <w:tcW w:w="2600" w:type="dxa"/>
            <w:vAlign w:val="bottom"/>
          </w:tcPr>
          <w:p>
            <w:pPr>
              <w:ind w:left="12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Liberty Live,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Liberty Theaters,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Liberty Theatricals,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Liberty Theatres Properties,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20"/>
                <w:szCs w:val="20"/>
                <w:color w:val="auto"/>
              </w:rPr>
              <w:t>Minetta Live, LLC</w:t>
            </w:r>
          </w:p>
        </w:tc>
        <w:tc>
          <w:tcPr>
            <w:tcW w:w="2600" w:type="dxa"/>
            <w:vAlign w:val="bottom"/>
          </w:tcPr>
          <w:p>
            <w:pPr>
              <w:ind w:left="12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26"/>
        </w:trPr>
        <w:tc>
          <w:tcPr>
            <w:tcW w:w="6040" w:type="dxa"/>
            <w:vAlign w:val="bottom"/>
            <w:tcBorders>
              <w:bottom w:val="single" w:sz="8" w:color="9A9A9A"/>
            </w:tcBorders>
          </w:tcPr>
          <w:p>
            <w:pPr>
              <w:spacing w:after="0"/>
              <w:rPr>
                <w:sz w:val="19"/>
                <w:szCs w:val="19"/>
                <w:color w:val="auto"/>
              </w:rPr>
            </w:pPr>
          </w:p>
        </w:tc>
        <w:tc>
          <w:tcPr>
            <w:tcW w:w="26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r>
      <w:tr>
        <w:trPr>
          <w:trHeight w:val="20"/>
        </w:trPr>
        <w:tc>
          <w:tcPr>
            <w:tcW w:w="604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31" w:name="page132"/>
    <w:bookmarkEnd w:id="131"/>
    <w:tbl>
      <w:tblPr>
        <w:tblLayout w:type="fixed"/>
        <w:tblInd w:w="180" w:type="dxa"/>
        <w:tblCellMar>
          <w:top w:w="0" w:type="dxa"/>
          <w:left w:w="0" w:type="dxa"/>
          <w:bottom w:w="0" w:type="dxa"/>
          <w:right w:w="0" w:type="dxa"/>
        </w:tblCellMar>
      </w:tblPr>
      <w:tr>
        <w:trPr>
          <w:trHeight w:val="250"/>
        </w:trPr>
        <w:tc>
          <w:tcPr>
            <w:tcW w:w="5980" w:type="dxa"/>
            <w:vAlign w:val="bottom"/>
          </w:tcPr>
          <w:p>
            <w:pPr>
              <w:ind w:left="120"/>
              <w:spacing w:after="0"/>
              <w:rPr>
                <w:sz w:val="20"/>
                <w:szCs w:val="20"/>
                <w:color w:val="auto"/>
              </w:rPr>
            </w:pPr>
            <w:r>
              <w:rPr>
                <w:rFonts w:ascii="Arial" w:cs="Arial" w:eastAsia="Arial" w:hAnsi="Arial"/>
                <w:sz w:val="20"/>
                <w:szCs w:val="20"/>
                <w:color w:val="auto"/>
              </w:rPr>
              <w:t>Movieland Cinemas (NZ)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New Zealand Equipment Supply Limited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Newmarket Properties #3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Newmarket Properties No. 2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Newmarket Properties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Orpheum Live,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Queenstown Land Holdings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RCPA LLC (fka Reading Company)</w:t>
            </w:r>
          </w:p>
        </w:tc>
        <w:tc>
          <w:tcPr>
            <w:tcW w:w="2700" w:type="dxa"/>
            <w:vAlign w:val="bottom"/>
          </w:tcPr>
          <w:p>
            <w:pPr>
              <w:ind w:left="18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RDI Employee Investment Fund LLC</w:t>
            </w:r>
          </w:p>
        </w:tc>
        <w:tc>
          <w:tcPr>
            <w:tcW w:w="2700" w:type="dxa"/>
            <w:vAlign w:val="bottom"/>
          </w:tcPr>
          <w:p>
            <w:pPr>
              <w:ind w:left="18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Alphington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Arthouse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Altona Pty Limited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Auburn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Australia Leasing (E&amp;R)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Belmont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Beverages (California)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Bundaberg 2012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Burwood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Cannon Park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Capital Corporation</w:t>
            </w:r>
          </w:p>
        </w:tc>
        <w:tc>
          <w:tcPr>
            <w:tcW w:w="2700" w:type="dxa"/>
            <w:vAlign w:val="bottom"/>
          </w:tcPr>
          <w:p>
            <w:pPr>
              <w:ind w:left="18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Center Development Corporation</w:t>
            </w:r>
          </w:p>
        </w:tc>
        <w:tc>
          <w:tcPr>
            <w:tcW w:w="2700" w:type="dxa"/>
            <w:vAlign w:val="bottom"/>
          </w:tcPr>
          <w:p>
            <w:pPr>
              <w:ind w:left="18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Charlestown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Courtenay Central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49"/>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Management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192"/>
        </w:trPr>
        <w:tc>
          <w:tcPr>
            <w:tcW w:w="5980" w:type="dxa"/>
            <w:vAlign w:val="bottom"/>
          </w:tcPr>
          <w:p>
            <w:pPr>
              <w:ind w:left="120"/>
              <w:spacing w:after="0" w:line="192" w:lineRule="exact"/>
              <w:rPr>
                <w:sz w:val="20"/>
                <w:szCs w:val="20"/>
                <w:color w:val="auto"/>
              </w:rPr>
            </w:pPr>
            <w:r>
              <w:rPr>
                <w:rFonts w:ascii="Arial" w:cs="Arial" w:eastAsia="Arial" w:hAnsi="Arial"/>
                <w:sz w:val="20"/>
                <w:szCs w:val="20"/>
                <w:color w:val="auto"/>
                <w:w w:val="92"/>
              </w:rPr>
              <w:t>Reading Cinemas New Zealand Trust (fka - Landplan Property Partners</w:t>
            </w:r>
          </w:p>
        </w:tc>
        <w:tc>
          <w:tcPr>
            <w:tcW w:w="2700" w:type="dxa"/>
            <w:vAlign w:val="bottom"/>
            <w:vMerge w:val="restart"/>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153"/>
        </w:trPr>
        <w:tc>
          <w:tcPr>
            <w:tcW w:w="5980" w:type="dxa"/>
            <w:vAlign w:val="bottom"/>
            <w:vMerge w:val="restart"/>
          </w:tcPr>
          <w:p>
            <w:pPr>
              <w:ind w:left="120"/>
              <w:spacing w:after="0" w:line="189" w:lineRule="exact"/>
              <w:rPr>
                <w:sz w:val="20"/>
                <w:szCs w:val="20"/>
                <w:color w:val="auto"/>
              </w:rPr>
            </w:pPr>
            <w:r>
              <w:rPr>
                <w:rFonts w:ascii="Arial" w:cs="Arial" w:eastAsia="Arial" w:hAnsi="Arial"/>
                <w:sz w:val="20"/>
                <w:szCs w:val="20"/>
                <w:color w:val="auto"/>
              </w:rPr>
              <w:t>Taupo Trust)</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980" w:type="dxa"/>
            <w:vAlign w:val="bottom"/>
            <w:vMerge w:val="continue"/>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tcPr>
          <w:p>
            <w:pPr>
              <w:ind w:left="120"/>
              <w:spacing w:after="0" w:line="189" w:lineRule="exact"/>
              <w:rPr>
                <w:sz w:val="20"/>
                <w:szCs w:val="20"/>
                <w:color w:val="auto"/>
              </w:rPr>
            </w:pPr>
            <w:r>
              <w:rPr>
                <w:rFonts w:ascii="Arial" w:cs="Arial" w:eastAsia="Arial" w:hAnsi="Arial"/>
                <w:sz w:val="20"/>
                <w:szCs w:val="20"/>
                <w:color w:val="auto"/>
              </w:rPr>
              <w:t>Reading Cinemas New Zealand Trustee Limited (fka - Reading</w:t>
            </w:r>
          </w:p>
        </w:tc>
        <w:tc>
          <w:tcPr>
            <w:tcW w:w="2700" w:type="dxa"/>
            <w:vAlign w:val="bottom"/>
            <w:vMerge w:val="restart"/>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153"/>
        </w:trPr>
        <w:tc>
          <w:tcPr>
            <w:tcW w:w="5980" w:type="dxa"/>
            <w:vAlign w:val="bottom"/>
            <w:vMerge w:val="restart"/>
          </w:tcPr>
          <w:p>
            <w:pPr>
              <w:ind w:left="120"/>
              <w:spacing w:after="0" w:line="227" w:lineRule="exact"/>
              <w:rPr>
                <w:sz w:val="20"/>
                <w:szCs w:val="20"/>
                <w:color w:val="auto"/>
              </w:rPr>
            </w:pPr>
            <w:r>
              <w:rPr>
                <w:rFonts w:ascii="Arial" w:cs="Arial" w:eastAsia="Arial" w:hAnsi="Arial"/>
                <w:sz w:val="20"/>
                <w:szCs w:val="20"/>
                <w:color w:val="auto"/>
              </w:rPr>
              <w:t>Properties Lake Taupo Ltd)</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5980" w:type="dxa"/>
            <w:vAlign w:val="bottom"/>
            <w:vMerge w:val="continue"/>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NJ, Inc.</w:t>
            </w:r>
          </w:p>
        </w:tc>
        <w:tc>
          <w:tcPr>
            <w:tcW w:w="2700" w:type="dxa"/>
            <w:vAlign w:val="bottom"/>
          </w:tcPr>
          <w:p>
            <w:pPr>
              <w:ind w:left="18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Puerto Rico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USA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Consolidated Holdings, Inc.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Consolidated Holdings (Hawaii), Inc.</w:t>
            </w:r>
          </w:p>
        </w:tc>
        <w:tc>
          <w:tcPr>
            <w:tcW w:w="2700" w:type="dxa"/>
            <w:vAlign w:val="bottom"/>
          </w:tcPr>
          <w:p>
            <w:pPr>
              <w:ind w:left="180"/>
              <w:spacing w:after="0"/>
              <w:rPr>
                <w:sz w:val="20"/>
                <w:szCs w:val="20"/>
                <w:color w:val="auto"/>
              </w:rPr>
            </w:pPr>
            <w:r>
              <w:rPr>
                <w:rFonts w:ascii="Arial" w:cs="Arial" w:eastAsia="Arial" w:hAnsi="Arial"/>
                <w:sz w:val="20"/>
                <w:szCs w:val="20"/>
                <w:color w:val="auto"/>
              </w:rPr>
              <w:t>Hawaii</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Courtenay Central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Dandenong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Devonport Pty Limited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Dunedin Limited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Elizabeth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Entertainment Australia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Exhibition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Foundation,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Holdings, Inc.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International,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International Cinemas LLC</w:t>
            </w:r>
          </w:p>
        </w:tc>
        <w:tc>
          <w:tcPr>
            <w:tcW w:w="2700" w:type="dxa"/>
            <w:vAlign w:val="bottom"/>
          </w:tcPr>
          <w:p>
            <w:pPr>
              <w:ind w:left="18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International Services Company</w:t>
            </w:r>
          </w:p>
        </w:tc>
        <w:tc>
          <w:tcPr>
            <w:tcW w:w="2700" w:type="dxa"/>
            <w:vAlign w:val="bottom"/>
          </w:tcPr>
          <w:p>
            <w:pPr>
              <w:ind w:left="18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IP,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26"/>
        </w:trPr>
        <w:tc>
          <w:tcPr>
            <w:tcW w:w="5980" w:type="dxa"/>
            <w:vAlign w:val="bottom"/>
            <w:tcBorders>
              <w:bottom w:val="single" w:sz="8" w:color="9A9A9A"/>
            </w:tcBorders>
          </w:tcPr>
          <w:p>
            <w:pPr>
              <w:spacing w:after="0"/>
              <w:rPr>
                <w:sz w:val="19"/>
                <w:szCs w:val="19"/>
                <w:color w:val="auto"/>
              </w:rPr>
            </w:pPr>
          </w:p>
        </w:tc>
        <w:tc>
          <w:tcPr>
            <w:tcW w:w="27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EEEEEE"/>
            </w:tcBorders>
          </w:tcPr>
          <w:p>
            <w:pPr>
              <w:spacing w:after="0" w:line="20" w:lineRule="exact"/>
              <w:rPr>
                <w:sz w:val="1"/>
                <w:szCs w:val="1"/>
                <w:color w:val="auto"/>
              </w:rPr>
            </w:pPr>
          </w:p>
        </w:tc>
        <w:tc>
          <w:tcPr>
            <w:tcW w:w="2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32" w:name="page133"/>
    <w:bookmarkEnd w:id="132"/>
    <w:tbl>
      <w:tblPr>
        <w:tblLayout w:type="fixed"/>
        <w:tblInd w:w="180" w:type="dxa"/>
        <w:tblCellMar>
          <w:top w:w="0" w:type="dxa"/>
          <w:left w:w="0" w:type="dxa"/>
          <w:bottom w:w="0" w:type="dxa"/>
          <w:right w:w="0" w:type="dxa"/>
        </w:tblCellMar>
      </w:tblPr>
      <w:tr>
        <w:trPr>
          <w:trHeight w:val="250"/>
        </w:trPr>
        <w:tc>
          <w:tcPr>
            <w:tcW w:w="5500" w:type="dxa"/>
            <w:vAlign w:val="bottom"/>
          </w:tcPr>
          <w:p>
            <w:pPr>
              <w:ind w:left="120"/>
              <w:spacing w:after="0"/>
              <w:rPr>
                <w:sz w:val="20"/>
                <w:szCs w:val="20"/>
                <w:color w:val="auto"/>
              </w:rPr>
            </w:pPr>
            <w:r>
              <w:rPr>
                <w:rFonts w:ascii="Arial" w:cs="Arial" w:eastAsia="Arial" w:hAnsi="Arial"/>
                <w:sz w:val="20"/>
                <w:szCs w:val="20"/>
                <w:color w:val="auto"/>
              </w:rPr>
              <w:t>Reading Jindalee Pty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Licenses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Maitland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Malulani,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Management NZ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Melton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Murrieta Theater,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New Lynn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New Zealand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Pacific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Productions,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LLC (fka - GardenWalk Cinemas,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Indooroopilly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Manukau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New Zealand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Taringa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Property Holdings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Queenstown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RREC LLC (Reading Real Estate Company)</w:t>
            </w:r>
          </w:p>
        </w:tc>
        <w:tc>
          <w:tcPr>
            <w:tcW w:w="3180" w:type="dxa"/>
            <w:vAlign w:val="bottom"/>
          </w:tcPr>
          <w:p>
            <w:pPr>
              <w:ind w:left="660"/>
              <w:spacing w:after="0"/>
              <w:rPr>
                <w:sz w:val="20"/>
                <w:szCs w:val="20"/>
                <w:color w:val="auto"/>
              </w:rPr>
            </w:pPr>
            <w:r>
              <w:rPr>
                <w:rFonts w:ascii="Arial" w:cs="Arial" w:eastAsia="Arial" w:hAnsi="Arial"/>
                <w:sz w:val="20"/>
                <w:szCs w:val="20"/>
                <w:color w:val="auto"/>
              </w:rPr>
              <w:t>Pennsylvania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Restaurants NZ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Rouse Hill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Royal George, LLC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South City Square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Sunbury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Tammany Mezz, LLC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Tammany Owner, LLC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Theaters, Inc.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Traralgon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Wellington Properties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Rhodes Peninsula Cinema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Rialto Cinemas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Rialto Entertainment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Ronwood Investments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Rydal Equipment Co.</w:t>
            </w:r>
          </w:p>
        </w:tc>
        <w:tc>
          <w:tcPr>
            <w:tcW w:w="3180" w:type="dxa"/>
            <w:vAlign w:val="bottom"/>
          </w:tcPr>
          <w:p>
            <w:pPr>
              <w:ind w:left="660"/>
              <w:spacing w:after="0"/>
              <w:rPr>
                <w:sz w:val="20"/>
                <w:szCs w:val="20"/>
                <w:color w:val="auto"/>
              </w:rPr>
            </w:pPr>
            <w:r>
              <w:rPr>
                <w:rFonts w:ascii="Arial" w:cs="Arial" w:eastAsia="Arial" w:hAnsi="Arial"/>
                <w:sz w:val="20"/>
                <w:szCs w:val="20"/>
                <w:color w:val="auto"/>
              </w:rPr>
              <w:t>Pennsylvania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 Note Liquidation Company,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Sails Apartments Management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Shadow View Land and Farming,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Southern Gateway (Manukau)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State Cinema Hobart Pty Ltd (fka - Reading Colac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Sutton Hill Properties,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The Theatre At Legacy L.P.</w:t>
            </w:r>
          </w:p>
        </w:tc>
        <w:tc>
          <w:tcPr>
            <w:tcW w:w="3180" w:type="dxa"/>
            <w:vAlign w:val="bottom"/>
          </w:tcPr>
          <w:p>
            <w:pPr>
              <w:ind w:left="660"/>
              <w:spacing w:after="0"/>
              <w:rPr>
                <w:sz w:val="20"/>
                <w:szCs w:val="20"/>
                <w:color w:val="auto"/>
              </w:rPr>
            </w:pPr>
            <w:r>
              <w:rPr>
                <w:rFonts w:ascii="Arial" w:cs="Arial" w:eastAsia="Arial" w:hAnsi="Arial"/>
                <w:sz w:val="20"/>
                <w:szCs w:val="20"/>
                <w:color w:val="auto"/>
              </w:rPr>
              <w:t>Texas</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Tobrooke Holdings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Trans-Pacific Finance Fund I, LLC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Trenton-Princeton Traction Company</w:t>
            </w:r>
          </w:p>
        </w:tc>
        <w:tc>
          <w:tcPr>
            <w:tcW w:w="3180" w:type="dxa"/>
            <w:vAlign w:val="bottom"/>
          </w:tcPr>
          <w:p>
            <w:pPr>
              <w:ind w:left="660"/>
              <w:spacing w:after="0"/>
              <w:rPr>
                <w:sz w:val="20"/>
                <w:szCs w:val="20"/>
                <w:color w:val="auto"/>
              </w:rPr>
            </w:pPr>
            <w:r>
              <w:rPr>
                <w:rFonts w:ascii="Arial" w:cs="Arial" w:eastAsia="Arial" w:hAnsi="Arial"/>
                <w:sz w:val="20"/>
                <w:szCs w:val="20"/>
                <w:color w:val="auto"/>
              </w:rPr>
              <w:t>New Jersey</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Twin Cities Cinemas, Inc.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25"/>
        </w:trPr>
        <w:tc>
          <w:tcPr>
            <w:tcW w:w="5500" w:type="dxa"/>
            <w:vAlign w:val="bottom"/>
            <w:tcBorders>
              <w:bottom w:val="single" w:sz="8" w:color="9A9A9A"/>
            </w:tcBorders>
          </w:tcPr>
          <w:p>
            <w:pPr>
              <w:spacing w:after="0"/>
              <w:rPr>
                <w:sz w:val="19"/>
                <w:szCs w:val="19"/>
                <w:color w:val="auto"/>
              </w:rPr>
            </w:pPr>
          </w:p>
        </w:tc>
        <w:tc>
          <w:tcPr>
            <w:tcW w:w="3180" w:type="dxa"/>
            <w:vAlign w:val="bottom"/>
            <w:tcBorders>
              <w:bottom w:val="single" w:sz="8" w:color="9A9A9A"/>
            </w:tcBorders>
          </w:tcPr>
          <w:p>
            <w:pPr>
              <w:spacing w:after="0"/>
              <w:rPr>
                <w:sz w:val="19"/>
                <w:szCs w:val="19"/>
                <w:color w:val="auto"/>
              </w:rPr>
            </w:pPr>
          </w:p>
        </w:tc>
      </w:tr>
      <w:tr>
        <w:trPr>
          <w:trHeight w:val="20"/>
        </w:trPr>
        <w:tc>
          <w:tcPr>
            <w:tcW w:w="5500" w:type="dxa"/>
            <w:vAlign w:val="bottom"/>
            <w:tcBorders>
              <w:bottom w:val="single" w:sz="8" w:color="EEEEEE"/>
            </w:tcBorders>
          </w:tcPr>
          <w:p>
            <w:pPr>
              <w:spacing w:after="0" w:line="20" w:lineRule="exact"/>
              <w:rPr>
                <w:sz w:val="1"/>
                <w:szCs w:val="1"/>
                <w:color w:val="auto"/>
              </w:rPr>
            </w:pPr>
          </w:p>
        </w:tc>
        <w:tc>
          <w:tcPr>
            <w:tcW w:w="3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33" w:name="page134"/>
    <w:bookmarkEnd w:id="133"/>
    <w:tbl>
      <w:tblPr>
        <w:tblLayout w:type="fixed"/>
        <w:tblInd w:w="180" w:type="dxa"/>
        <w:tblCellMar>
          <w:top w:w="0" w:type="dxa"/>
          <w:left w:w="0" w:type="dxa"/>
          <w:bottom w:w="0" w:type="dxa"/>
          <w:right w:w="0" w:type="dxa"/>
        </w:tblCellMar>
      </w:tblPr>
      <w:tr>
        <w:trPr>
          <w:trHeight w:val="250"/>
        </w:trPr>
        <w:tc>
          <w:tcPr>
            <w:tcW w:w="4940" w:type="dxa"/>
            <w:vAlign w:val="bottom"/>
          </w:tcPr>
          <w:p>
            <w:pPr>
              <w:ind w:left="120"/>
              <w:spacing w:after="0"/>
              <w:rPr>
                <w:sz w:val="20"/>
                <w:szCs w:val="20"/>
                <w:color w:val="auto"/>
              </w:rPr>
            </w:pPr>
            <w:r>
              <w:rPr>
                <w:rFonts w:ascii="Arial" w:cs="Arial" w:eastAsia="Arial" w:hAnsi="Arial"/>
                <w:sz w:val="20"/>
                <w:szCs w:val="20"/>
                <w:color w:val="auto"/>
              </w:rPr>
              <w:t>US Agricultural Investors, LLC</w:t>
            </w:r>
          </w:p>
        </w:tc>
        <w:tc>
          <w:tcPr>
            <w:tcW w:w="3740" w:type="dxa"/>
            <w:vAlign w:val="bottom"/>
          </w:tcPr>
          <w:p>
            <w:pPr>
              <w:ind w:left="1220"/>
              <w:spacing w:after="0"/>
              <w:rPr>
                <w:sz w:val="20"/>
                <w:szCs w:val="20"/>
                <w:color w:val="auto"/>
              </w:rPr>
            </w:pPr>
            <w:r>
              <w:rPr>
                <w:rFonts w:ascii="Arial" w:cs="Arial" w:eastAsia="Arial" w:hAnsi="Arial"/>
                <w:sz w:val="20"/>
                <w:szCs w:val="20"/>
                <w:color w:val="auto"/>
              </w:rPr>
              <w:t>Delaware</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US Development, LLC</w:t>
            </w:r>
          </w:p>
        </w:tc>
        <w:tc>
          <w:tcPr>
            <w:tcW w:w="3740" w:type="dxa"/>
            <w:vAlign w:val="bottom"/>
          </w:tcPr>
          <w:p>
            <w:pPr>
              <w:ind w:left="1220"/>
              <w:spacing w:after="0"/>
              <w:rPr>
                <w:sz w:val="20"/>
                <w:szCs w:val="20"/>
                <w:color w:val="auto"/>
              </w:rPr>
            </w:pPr>
            <w:r>
              <w:rPr>
                <w:rFonts w:ascii="Arial" w:cs="Arial" w:eastAsia="Arial" w:hAnsi="Arial"/>
                <w:sz w:val="20"/>
                <w:szCs w:val="20"/>
                <w:color w:val="auto"/>
              </w:rPr>
              <w:t>Nevada</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US International Property Finance Pty Ltd</w:t>
            </w:r>
          </w:p>
        </w:tc>
        <w:tc>
          <w:tcPr>
            <w:tcW w:w="3740" w:type="dxa"/>
            <w:vAlign w:val="bottom"/>
          </w:tcPr>
          <w:p>
            <w:pPr>
              <w:ind w:left="1220"/>
              <w:spacing w:after="0"/>
              <w:rPr>
                <w:sz w:val="20"/>
                <w:szCs w:val="20"/>
                <w:color w:val="auto"/>
              </w:rPr>
            </w:pPr>
            <w:r>
              <w:rPr>
                <w:rFonts w:ascii="Arial" w:cs="Arial" w:eastAsia="Arial" w:hAnsi="Arial"/>
                <w:sz w:val="20"/>
                <w:szCs w:val="20"/>
                <w:color w:val="auto"/>
              </w:rPr>
              <w:t>Australia</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Washington and Franklin Railway Company</w:t>
            </w:r>
          </w:p>
        </w:tc>
        <w:tc>
          <w:tcPr>
            <w:tcW w:w="3740" w:type="dxa"/>
            <w:vAlign w:val="bottom"/>
          </w:tcPr>
          <w:p>
            <w:pPr>
              <w:ind w:left="1220"/>
              <w:spacing w:after="0"/>
              <w:rPr>
                <w:sz w:val="20"/>
                <w:szCs w:val="20"/>
                <w:color w:val="auto"/>
              </w:rPr>
            </w:pPr>
            <w:r>
              <w:rPr>
                <w:rFonts w:ascii="Arial" w:cs="Arial" w:eastAsia="Arial" w:hAnsi="Arial"/>
                <w:sz w:val="20"/>
                <w:szCs w:val="20"/>
                <w:color w:val="auto"/>
              </w:rPr>
              <w:t>Pennsylvania</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Westlakes Cinema Pty Ltd</w:t>
            </w:r>
          </w:p>
        </w:tc>
        <w:tc>
          <w:tcPr>
            <w:tcW w:w="3740" w:type="dxa"/>
            <w:vAlign w:val="bottom"/>
          </w:tcPr>
          <w:p>
            <w:pPr>
              <w:ind w:left="1220"/>
              <w:spacing w:after="0"/>
              <w:rPr>
                <w:sz w:val="20"/>
                <w:szCs w:val="20"/>
                <w:color w:val="auto"/>
              </w:rPr>
            </w:pPr>
            <w:r>
              <w:rPr>
                <w:rFonts w:ascii="Arial" w:cs="Arial" w:eastAsia="Arial" w:hAnsi="Arial"/>
                <w:sz w:val="20"/>
                <w:szCs w:val="20"/>
                <w:color w:val="auto"/>
              </w:rPr>
              <w:t>Australia</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Wilmington and Northern Railroad Company</w:t>
            </w:r>
          </w:p>
        </w:tc>
        <w:tc>
          <w:tcPr>
            <w:tcW w:w="3740" w:type="dxa"/>
            <w:vAlign w:val="bottom"/>
          </w:tcPr>
          <w:p>
            <w:pPr>
              <w:ind w:left="1220"/>
              <w:spacing w:after="0"/>
              <w:rPr>
                <w:sz w:val="20"/>
                <w:szCs w:val="20"/>
                <w:color w:val="auto"/>
              </w:rPr>
            </w:pPr>
            <w:r>
              <w:rPr>
                <w:rFonts w:ascii="Arial" w:cs="Arial" w:eastAsia="Arial" w:hAnsi="Arial"/>
                <w:sz w:val="20"/>
                <w:szCs w:val="20"/>
                <w:color w:val="auto"/>
              </w:rPr>
              <w:t>Pennsylvania</w:t>
            </w:r>
          </w:p>
        </w:tc>
      </w:tr>
      <w:tr>
        <w:trPr>
          <w:trHeight w:val="495"/>
        </w:trPr>
        <w:tc>
          <w:tcPr>
            <w:tcW w:w="49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r>
        <w:trPr>
          <w:trHeight w:val="20"/>
        </w:trPr>
        <w:tc>
          <w:tcPr>
            <w:tcW w:w="4940" w:type="dxa"/>
            <w:vAlign w:val="bottom"/>
            <w:tcBorders>
              <w:bottom w:val="single" w:sz="8" w:color="EEEEEE"/>
            </w:tcBorders>
          </w:tcPr>
          <w:p>
            <w:pPr>
              <w:spacing w:after="0" w:line="20" w:lineRule="exact"/>
              <w:rPr>
                <w:sz w:val="1"/>
                <w:szCs w:val="1"/>
                <w:color w:val="auto"/>
              </w:rPr>
            </w:pPr>
          </w:p>
        </w:tc>
        <w:tc>
          <w:tcPr>
            <w:tcW w:w="3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123" w:lineRule="exact"/>
        <w:rPr>
          <w:sz w:val="20"/>
          <w:szCs w:val="20"/>
          <w:color w:val="auto"/>
        </w:rPr>
      </w:pPr>
    </w:p>
    <w:p>
      <w:pPr>
        <w:ind w:left="180" w:right="259"/>
        <w:spacing w:after="0" w:line="247" w:lineRule="auto"/>
        <w:rPr>
          <w:sz w:val="20"/>
          <w:szCs w:val="20"/>
          <w:color w:val="auto"/>
        </w:rPr>
      </w:pPr>
      <w:r>
        <w:rPr>
          <w:rFonts w:ascii="Arial" w:cs="Arial" w:eastAsia="Arial" w:hAnsi="Arial"/>
          <w:sz w:val="18"/>
          <w:szCs w:val="18"/>
          <w:color w:val="auto"/>
        </w:rPr>
        <w:t>We have issued our reports dated March 16, 2020 with respect to the consolidated financial statements and internal control over financial reporting included in the Annual Report of Reading International, Inc. on Form 10-K for the year ended December 31, 2019. We consent to the incorporation by reference of the said reports in the Registration Statements of Reading International, Inc. on Forms S-8 (File No. 333-36277, File No. 333-53684, File No. 333-112069, File No. 333-167101, and File No. 333-225471).</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GRANT THORNTON LLP</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Los Angeles, CA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340360</wp:posOffset>
            </wp:positionV>
            <wp:extent cx="5528945" cy="514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5" w:name="page136"/>
    <w:bookmarkEnd w:id="135"/>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CERTIFICATION OF PRINCIPAL EXECUTIVE OFFICER PURSUANT TO EXCHANGE ACT RULE 13a-</w:t>
      </w:r>
    </w:p>
    <w:p>
      <w:pPr>
        <w:ind w:left="680"/>
        <w:spacing w:after="0"/>
        <w:rPr>
          <w:sz w:val="20"/>
          <w:szCs w:val="20"/>
          <w:color w:val="auto"/>
        </w:rPr>
      </w:pPr>
      <w:r>
        <w:rPr>
          <w:rFonts w:ascii="Arial" w:cs="Arial" w:eastAsia="Arial" w:hAnsi="Arial"/>
          <w:sz w:val="18"/>
          <w:szCs w:val="18"/>
          <w:b w:val="1"/>
          <w:bCs w:val="1"/>
          <w:color w:val="auto"/>
        </w:rPr>
        <w:t>14(a) AS ADOPTED PURSUANT TO SECTION 302 OF THE SARBANES-OXLEY ACT OF 2002</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Ellen M. Cotter, certify that:</w:t>
      </w:r>
    </w:p>
    <w:p>
      <w:pPr>
        <w:spacing w:after="0" w:line="158" w:lineRule="exact"/>
        <w:rPr>
          <w:sz w:val="20"/>
          <w:szCs w:val="20"/>
          <w:color w:val="auto"/>
        </w:rPr>
      </w:pPr>
    </w:p>
    <w:p>
      <w:pPr>
        <w:ind w:left="500" w:hanging="316"/>
        <w:spacing w:after="0"/>
        <w:tabs>
          <w:tab w:leader="none" w:pos="5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Reading International, Inc.;</w:t>
      </w:r>
    </w:p>
    <w:p>
      <w:pPr>
        <w:spacing w:after="0" w:line="144"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500" w:right="199" w:hanging="316"/>
        <w:spacing w:after="0" w:line="237" w:lineRule="auto"/>
        <w:tabs>
          <w:tab w:leader="none" w:pos="5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jc w:val="both"/>
        <w:ind w:left="840" w:right="199" w:hanging="332"/>
        <w:spacing w:after="0" w:line="219" w:lineRule="auto"/>
        <w:tabs>
          <w:tab w:leader="none" w:pos="8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840" w:right="199" w:hanging="332"/>
        <w:spacing w:after="0" w:line="219" w:lineRule="auto"/>
        <w:tabs>
          <w:tab w:leader="none" w:pos="8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199" w:hanging="332"/>
        <w:spacing w:after="0" w:line="224" w:lineRule="auto"/>
        <w:tabs>
          <w:tab w:leader="none" w:pos="8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840" w:right="199" w:hanging="332"/>
        <w:spacing w:after="0" w:line="219" w:lineRule="auto"/>
        <w:tabs>
          <w:tab w:leader="none" w:pos="8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840" w:right="199" w:hanging="332"/>
        <w:spacing w:after="0" w:line="224" w:lineRule="auto"/>
        <w:tabs>
          <w:tab w:leader="none" w:pos="8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199" w:hanging="332"/>
        <w:spacing w:after="0" w:line="235" w:lineRule="auto"/>
        <w:tabs>
          <w:tab w:leader="none" w:pos="8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Ellen M. Cotter</w:t>
      </w:r>
    </w:p>
    <w:p>
      <w:pPr>
        <w:ind w:left="180"/>
        <w:spacing w:after="0" w:line="200" w:lineRule="auto"/>
        <w:rPr>
          <w:sz w:val="20"/>
          <w:szCs w:val="20"/>
          <w:color w:val="auto"/>
        </w:rPr>
      </w:pPr>
      <w:r>
        <w:rPr>
          <w:rFonts w:ascii="Arial" w:cs="Arial" w:eastAsia="Arial" w:hAnsi="Arial"/>
          <w:sz w:val="18"/>
          <w:szCs w:val="18"/>
          <w:color w:val="auto"/>
        </w:rPr>
        <w:t>Ellen M. Cotter</w:t>
      </w:r>
    </w:p>
    <w:p>
      <w:pPr>
        <w:ind w:left="180"/>
        <w:spacing w:after="0" w:line="197" w:lineRule="auto"/>
        <w:rPr>
          <w:sz w:val="20"/>
          <w:szCs w:val="20"/>
          <w:color w:val="auto"/>
        </w:rPr>
      </w:pPr>
      <w:r>
        <w:rPr>
          <w:rFonts w:ascii="Arial" w:cs="Arial" w:eastAsia="Arial" w:hAnsi="Arial"/>
          <w:sz w:val="20"/>
          <w:szCs w:val="20"/>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(Principal Executive Officer)</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310515</wp:posOffset>
            </wp:positionV>
            <wp:extent cx="5528945" cy="508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6" w:name="page137"/>
    <w:bookmarkEnd w:id="136"/>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CERTIFICATION OF PRINCIPAL FINANCIAL OFFICER PURSUANT TO EXCHANGE ACT RULE 13a-</w:t>
      </w:r>
    </w:p>
    <w:p>
      <w:pPr>
        <w:ind w:left="680"/>
        <w:spacing w:after="0"/>
        <w:rPr>
          <w:sz w:val="20"/>
          <w:szCs w:val="20"/>
          <w:color w:val="auto"/>
        </w:rPr>
      </w:pPr>
      <w:r>
        <w:rPr>
          <w:rFonts w:ascii="Arial" w:cs="Arial" w:eastAsia="Arial" w:hAnsi="Arial"/>
          <w:sz w:val="18"/>
          <w:szCs w:val="18"/>
          <w:b w:val="1"/>
          <w:bCs w:val="1"/>
          <w:color w:val="auto"/>
        </w:rPr>
        <w:t>14(a) AS ADOPTED PURSUANT TO SECTION 302 OF THE SARBANES-OXLEY ACT OF 2002</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Gilbert Avanes, certify that:</w:t>
      </w:r>
    </w:p>
    <w:p>
      <w:pPr>
        <w:spacing w:after="0" w:line="158" w:lineRule="exact"/>
        <w:rPr>
          <w:sz w:val="20"/>
          <w:szCs w:val="20"/>
          <w:color w:val="auto"/>
        </w:rPr>
      </w:pPr>
    </w:p>
    <w:p>
      <w:pPr>
        <w:ind w:left="500" w:hanging="316"/>
        <w:spacing w:after="0"/>
        <w:tabs>
          <w:tab w:leader="none" w:pos="5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Reading International, Inc.;</w:t>
      </w:r>
    </w:p>
    <w:p>
      <w:pPr>
        <w:spacing w:after="0" w:line="144"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500" w:right="199" w:hanging="316"/>
        <w:spacing w:after="0" w:line="237" w:lineRule="auto"/>
        <w:tabs>
          <w:tab w:leader="none" w:pos="5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jc w:val="both"/>
        <w:ind w:left="840" w:right="199" w:hanging="332"/>
        <w:spacing w:after="0" w:line="219" w:lineRule="auto"/>
        <w:tabs>
          <w:tab w:leader="none" w:pos="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840" w:right="199" w:hanging="332"/>
        <w:spacing w:after="0" w:line="219" w:lineRule="auto"/>
        <w:tabs>
          <w:tab w:leader="none" w:pos="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199" w:hanging="332"/>
        <w:spacing w:after="0" w:line="224" w:lineRule="auto"/>
        <w:tabs>
          <w:tab w:leader="none" w:pos="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840" w:right="199" w:hanging="332"/>
        <w:spacing w:after="0" w:line="219" w:lineRule="auto"/>
        <w:tabs>
          <w:tab w:leader="none" w:pos="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840" w:right="199" w:hanging="332"/>
        <w:spacing w:after="0" w:line="224" w:lineRule="auto"/>
        <w:tabs>
          <w:tab w:leader="none" w:pos="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199" w:hanging="332"/>
        <w:spacing w:after="0" w:line="235" w:lineRule="auto"/>
        <w:tabs>
          <w:tab w:leader="none" w:pos="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Gilbert Avanes</w:t>
      </w:r>
    </w:p>
    <w:p>
      <w:pPr>
        <w:ind w:left="180"/>
        <w:spacing w:after="0" w:line="203" w:lineRule="auto"/>
        <w:rPr>
          <w:sz w:val="20"/>
          <w:szCs w:val="20"/>
          <w:color w:val="auto"/>
        </w:rPr>
      </w:pPr>
      <w:r>
        <w:rPr>
          <w:rFonts w:ascii="Arial" w:cs="Arial" w:eastAsia="Arial" w:hAnsi="Arial"/>
          <w:sz w:val="18"/>
          <w:szCs w:val="18"/>
          <w:color w:val="auto"/>
        </w:rPr>
        <w:t>Gilbert Avanes</w:t>
      </w:r>
    </w:p>
    <w:p>
      <w:pPr>
        <w:ind w:left="180" w:right="4239"/>
        <w:spacing w:after="0" w:line="226" w:lineRule="auto"/>
        <w:rPr>
          <w:sz w:val="20"/>
          <w:szCs w:val="20"/>
          <w:color w:val="auto"/>
        </w:rPr>
      </w:pPr>
      <w:r>
        <w:rPr>
          <w:rFonts w:ascii="Arial" w:cs="Arial" w:eastAsia="Arial" w:hAnsi="Arial"/>
          <w:sz w:val="18"/>
          <w:szCs w:val="18"/>
          <w:color w:val="auto"/>
        </w:rPr>
        <w:t xml:space="preserve">Executive Vice President, Chief Financial Officer and Treasurer </w:t>
      </w:r>
      <w:r>
        <w:rPr>
          <w:rFonts w:ascii="Arial" w:cs="Arial" w:eastAsia="Arial" w:hAnsi="Arial"/>
          <w:sz w:val="18"/>
          <w:szCs w:val="18"/>
          <w:i w:val="1"/>
          <w:iCs w:val="1"/>
          <w:color w:val="auto"/>
        </w:rPr>
        <w:t>(Principal Financial Officer)</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310515</wp:posOffset>
            </wp:positionV>
            <wp:extent cx="5528945" cy="508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7" w:name="page138"/>
    <w:bookmarkEnd w:id="137"/>
    <w:p>
      <w:pPr>
        <w:ind w:left="7700"/>
        <w:spacing w:after="0"/>
        <w:rPr>
          <w:sz w:val="20"/>
          <w:szCs w:val="20"/>
          <w:color w:val="auto"/>
        </w:rPr>
      </w:pPr>
      <w:r>
        <w:rPr>
          <w:rFonts w:ascii="Arial" w:cs="Arial" w:eastAsia="Arial" w:hAnsi="Arial"/>
          <w:sz w:val="18"/>
          <w:szCs w:val="18"/>
          <w:b w:val="1"/>
          <w:bCs w:val="1"/>
          <w:color w:val="auto"/>
        </w:rPr>
        <w:t>EXHIBIT 32.1</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 AS</w:t>
      </w:r>
    </w:p>
    <w:p>
      <w:pPr>
        <w:jc w:val="center"/>
        <w:ind w:right="19"/>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34" w:lineRule="exact"/>
        <w:rPr>
          <w:sz w:val="20"/>
          <w:szCs w:val="20"/>
          <w:color w:val="auto"/>
        </w:rPr>
      </w:pPr>
    </w:p>
    <w:p>
      <w:pPr>
        <w:jc w:val="both"/>
        <w:ind w:left="180" w:right="199" w:firstLine="648"/>
        <w:spacing w:after="0" w:line="219"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2019 (the “Report”), I, Ellen M. Cotter, Chief Executive Officer of the Company, certify, pursuant to 18 U.S.C. Section 1350, as adopted pursuant to Section 906 of the Sarbanes-Oxley Act of 2002, that to my knowledge:</w:t>
      </w:r>
    </w:p>
    <w:p>
      <w:pPr>
        <w:spacing w:after="0" w:line="136" w:lineRule="exact"/>
        <w:rPr>
          <w:sz w:val="20"/>
          <w:szCs w:val="20"/>
          <w:color w:val="auto"/>
        </w:rPr>
      </w:pPr>
    </w:p>
    <w:p>
      <w:pPr>
        <w:ind w:left="840" w:right="199" w:hanging="332"/>
        <w:spacing w:after="0" w:line="235" w:lineRule="auto"/>
        <w:tabs>
          <w:tab w:leader="none" w:pos="8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199" w:hanging="332"/>
        <w:spacing w:after="0" w:line="235" w:lineRule="auto"/>
        <w:tabs>
          <w:tab w:leader="none" w:pos="8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Ellen M. Cotter</w:t>
      </w:r>
    </w:p>
    <w:p>
      <w:pPr>
        <w:ind w:left="180"/>
        <w:spacing w:after="0" w:line="200" w:lineRule="auto"/>
        <w:rPr>
          <w:sz w:val="20"/>
          <w:szCs w:val="20"/>
          <w:color w:val="auto"/>
        </w:rPr>
      </w:pPr>
      <w:r>
        <w:rPr>
          <w:rFonts w:ascii="Arial" w:cs="Arial" w:eastAsia="Arial" w:hAnsi="Arial"/>
          <w:sz w:val="18"/>
          <w:szCs w:val="18"/>
          <w:color w:val="auto"/>
        </w:rPr>
        <w:t>Ellen M. Cotter</w:t>
      </w:r>
    </w:p>
    <w:p>
      <w:pPr>
        <w:ind w:left="180"/>
        <w:spacing w:after="0" w:line="197" w:lineRule="auto"/>
        <w:rPr>
          <w:sz w:val="20"/>
          <w:szCs w:val="20"/>
          <w:color w:val="auto"/>
        </w:rPr>
      </w:pPr>
      <w:r>
        <w:rPr>
          <w:rFonts w:ascii="Arial" w:cs="Arial" w:eastAsia="Arial" w:hAnsi="Arial"/>
          <w:sz w:val="20"/>
          <w:szCs w:val="20"/>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(Principal Executive Officer)</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259080</wp:posOffset>
            </wp:positionV>
            <wp:extent cx="5528945" cy="51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8" w:name="page139"/>
    <w:bookmarkEnd w:id="138"/>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CERTIFICATION OF PRINCIPAL FINANCIAL OFFICER PURSUANT 18 U.S.C. SECTION 1350 AS</w:t>
      </w:r>
    </w:p>
    <w:p>
      <w:pPr>
        <w:jc w:val="center"/>
        <w:ind w:right="19"/>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34" w:lineRule="exact"/>
        <w:rPr>
          <w:sz w:val="20"/>
          <w:szCs w:val="20"/>
          <w:color w:val="auto"/>
        </w:rPr>
      </w:pPr>
    </w:p>
    <w:p>
      <w:pPr>
        <w:jc w:val="both"/>
        <w:ind w:left="180" w:right="199" w:firstLine="648"/>
        <w:spacing w:after="0" w:line="219"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2019 (the “Report”), I, Gilbert Avanes, Chief Financial Officer of the Company, certify, pursuant to 18 U.S.C. Section 1350, as adopted pursuant to Section 906 of the Sarbanes-Oxley Act of 2002, that to my knowledge:</w:t>
      </w:r>
    </w:p>
    <w:p>
      <w:pPr>
        <w:spacing w:after="0" w:line="136" w:lineRule="exact"/>
        <w:rPr>
          <w:sz w:val="20"/>
          <w:szCs w:val="20"/>
          <w:color w:val="auto"/>
        </w:rPr>
      </w:pPr>
    </w:p>
    <w:p>
      <w:pPr>
        <w:ind w:left="840" w:right="199" w:hanging="332"/>
        <w:spacing w:after="0" w:line="235" w:lineRule="auto"/>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199" w:hanging="332"/>
        <w:spacing w:after="0" w:line="235" w:lineRule="auto"/>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Gilbert Avanes</w:t>
      </w:r>
    </w:p>
    <w:p>
      <w:pPr>
        <w:ind w:left="180"/>
        <w:spacing w:after="0" w:line="203" w:lineRule="auto"/>
        <w:rPr>
          <w:sz w:val="20"/>
          <w:szCs w:val="20"/>
          <w:color w:val="auto"/>
        </w:rPr>
      </w:pPr>
      <w:r>
        <w:rPr>
          <w:rFonts w:ascii="Arial" w:cs="Arial" w:eastAsia="Arial" w:hAnsi="Arial"/>
          <w:sz w:val="18"/>
          <w:szCs w:val="18"/>
          <w:color w:val="auto"/>
        </w:rPr>
        <w:t>Gilbert Avanes</w:t>
      </w:r>
    </w:p>
    <w:p>
      <w:pPr>
        <w:ind w:left="180" w:right="4239"/>
        <w:spacing w:after="0" w:line="226" w:lineRule="auto"/>
        <w:rPr>
          <w:sz w:val="20"/>
          <w:szCs w:val="20"/>
          <w:color w:val="auto"/>
        </w:rPr>
      </w:pPr>
      <w:r>
        <w:rPr>
          <w:rFonts w:ascii="Arial" w:cs="Arial" w:eastAsia="Arial" w:hAnsi="Arial"/>
          <w:sz w:val="18"/>
          <w:szCs w:val="18"/>
          <w:color w:val="auto"/>
        </w:rPr>
        <w:t xml:space="preserve">Executive Vice President, Chief Financial Officer and Treasurer </w:t>
      </w:r>
      <w:r>
        <w:rPr>
          <w:rFonts w:ascii="Arial" w:cs="Arial" w:eastAsia="Arial" w:hAnsi="Arial"/>
          <w:sz w:val="18"/>
          <w:szCs w:val="18"/>
          <w:i w:val="1"/>
          <w:iCs w:val="1"/>
          <w:color w:val="auto"/>
        </w:rPr>
        <w:t>(Principal Financial Officer)</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259080</wp:posOffset>
            </wp:positionV>
            <wp:extent cx="5528945" cy="508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lvl w:ilvl="1">
      <w:lvlJc w:val="left"/>
      <w:lvlText w:val="☑"/>
      <w:numFmt w:val="bullet"/>
      <w:start w:val="1"/>
    </w:lvl>
  </w:abstractNum>
  <w:abstractNum w:abstractNumId="1">
    <w:nsid w:val="49DA307D"/>
    <w:multiLevelType w:val="hybridMultilevel"/>
    <w:lvl w:ilvl="0">
      <w:lvlJc w:val="left"/>
      <w:lvlText w:val="·"/>
      <w:numFmt w:val="bullet"/>
      <w:start w:val="1"/>
    </w:lvl>
    <w:lvl w:ilvl="1">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1)"/>
      <w:numFmt w:val="decimal"/>
      <w:start w:val="1"/>
    </w:lvl>
  </w:abstractNum>
  <w:abstractNum w:abstractNumId="4">
    <w:nsid w:val="50801EE1"/>
    <w:multiLevelType w:val="hybridMultilevel"/>
    <w:lvl w:ilvl="0">
      <w:lvlJc w:val="left"/>
      <w:lvlText w:val="(%1)"/>
      <w:numFmt w:val="lowerRoman"/>
      <w:start w:val="4"/>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lvl w:ilvl="3">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1)"/>
      <w:numFmt w:val="lowerRoman"/>
      <w:start w:val="6"/>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lvl w:ilvl="1">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1)"/>
      <w:numFmt w:val="decimal"/>
      <w:start w:val="1"/>
    </w:lvl>
    <w:lvl w:ilvl="1">
      <w:lvlJc w:val="left"/>
      <w:lvlText w:val="-"/>
      <w:numFmt w:val="bullet"/>
      <w:start w:val="1"/>
    </w:lvl>
  </w:abstractNum>
  <w:abstractNum w:abstractNumId="15">
    <w:nsid w:val="555C55B5"/>
    <w:multiLevelType w:val="hybridMultilevel"/>
    <w:lvl w:ilvl="0">
      <w:lvlJc w:val="left"/>
      <w:lvlText w:val="(%1)"/>
      <w:numFmt w:val="decimal"/>
      <w:start w:val="1"/>
    </w:lvl>
  </w:abstractNum>
  <w:abstractNum w:abstractNumId="16">
    <w:nsid w:val="3FA62ACA"/>
    <w:multiLevelType w:val="hybridMultilevel"/>
    <w:lvl w:ilvl="0">
      <w:lvlJc w:val="left"/>
      <w:lvlText w:val="(%1)"/>
      <w:numFmt w:val="decimal"/>
      <w:start w:val="1"/>
    </w:lvl>
    <w:lvl w:ilvl="1">
      <w:lvlJc w:val="left"/>
      <w:lvlText w:val="-"/>
      <w:numFmt w:val="bullet"/>
      <w:start w:val="1"/>
    </w:lvl>
  </w:abstractNum>
  <w:abstractNum w:abstractNumId="17">
    <w:nsid w:val="14FCE74E"/>
    <w:multiLevelType w:val="hybridMultilevel"/>
    <w:lvl w:ilvl="0">
      <w:lvlJc w:val="left"/>
      <w:lvlText w:val="(%1)"/>
      <w:numFmt w:val="decimal"/>
      <w:start w:val="1"/>
    </w:lvl>
  </w:abstractNum>
  <w:abstractNum w:abstractNumId="18">
    <w:nsid w:val="6A3DD3E8"/>
    <w:multiLevelType w:val="hybridMultilevel"/>
    <w:lvl w:ilvl="0">
      <w:lvlJc w:val="left"/>
      <w:lvlText w:val="·"/>
      <w:numFmt w:val="bullet"/>
      <w:start w:val="1"/>
    </w:lvl>
    <w:lvl w:ilvl="1">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1)"/>
      <w:numFmt w:val="decimal"/>
      <w:start w:val="1"/>
    </w:lvl>
    <w:lvl w:ilvl="1">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lvl w:ilvl="1">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1)"/>
      <w:numFmt w:val="decimal"/>
      <w:start w:val="1"/>
    </w:lvl>
  </w:abstractNum>
  <w:abstractNum w:abstractNumId="37">
    <w:nsid w:val="5C10FE21"/>
    <w:multiLevelType w:val="hybridMultilevel"/>
    <w:lvl w:ilvl="0">
      <w:lvlJc w:val="left"/>
      <w:lvlText w:val="(%1)"/>
      <w:numFmt w:val="lowerRoman"/>
      <w:start w:val="4"/>
    </w:lvl>
  </w:abstractNum>
  <w:abstractNum w:abstractNumId="38">
    <w:nsid w:val="E7FFA2B"/>
    <w:multiLevelType w:val="hybridMultilevel"/>
    <w:lvl w:ilvl="0">
      <w:lvlJc w:val="left"/>
      <w:lvlText w:val="(%1)"/>
      <w:numFmt w:val="decimal"/>
      <w:start w:val="1"/>
    </w:lvl>
    <w:lvl w:ilvl="1">
      <w:lvlJc w:val="left"/>
      <w:lvlText w:val="-"/>
      <w:numFmt w:val="bullet"/>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
      <w:numFmt w:val="bullet"/>
      <w:start w:val="1"/>
    </w:lvl>
  </w:abstractNum>
  <w:abstractNum w:abstractNumId="41">
    <w:nsid w:val="78DF6A55"/>
    <w:multiLevelType w:val="hybridMultilevel"/>
    <w:lvl w:ilvl="0">
      <w:lvlJc w:val="left"/>
      <w:lvlText w:val="$"/>
      <w:numFmt w:val="bullet"/>
      <w:start w:val="1"/>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abstractNum>
  <w:abstractNum w:abstractNumId="48">
    <w:nsid w:val="4C9B0904"/>
    <w:multiLevelType w:val="hybridMultilevel"/>
    <w:lvl w:ilvl="0">
      <w:lvlJc w:val="left"/>
      <w:lvlText w:val="$"/>
      <w:numFmt w:val="bullet"/>
      <w:start w:val="1"/>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
      <w:numFmt w:val="bullet"/>
      <w:start w:val="1"/>
    </w:lvl>
  </w:abstractNum>
  <w:abstractNum w:abstractNumId="51">
    <w:nsid w:val="5675FF36"/>
    <w:multiLevelType w:val="hybridMultilevel"/>
    <w:lvl w:ilvl="0">
      <w:lvlJc w:val="left"/>
      <w:lvlText w:val="$"/>
      <w:numFmt w:val="bullet"/>
      <w:start w:val="1"/>
    </w:lvl>
  </w:abstractNum>
  <w:abstractNum w:abstractNumId="52">
    <w:nsid w:val="3DD15094"/>
    <w:multiLevelType w:val="hybridMultilevel"/>
    <w:lvl w:ilvl="0">
      <w:lvlJc w:val="left"/>
      <w:lvlText w:val="$"/>
      <w:numFmt w:val="bullet"/>
      <w:start w:val="1"/>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
      <w:numFmt w:val="bullet"/>
      <w:start w:val="1"/>
    </w:lvl>
  </w:abstractNum>
  <w:abstractNum w:abstractNumId="56">
    <w:nsid w:val="175DFCF0"/>
    <w:multiLevelType w:val="hybridMultilevel"/>
    <w:lvl w:ilvl="0">
      <w:lvlJc w:val="left"/>
      <w:lvlText w:val="$"/>
      <w:numFmt w:val="bullet"/>
      <w:start w:val="1"/>
    </w:lvl>
  </w:abstractNum>
  <w:abstractNum w:abstractNumId="57">
    <w:nsid w:val="4F97E3E4"/>
    <w:multiLevelType w:val="hybridMultilevel"/>
    <w:lvl w:ilvl="0">
      <w:lvlJc w:val="left"/>
      <w:lvlText w:val="$"/>
      <w:numFmt w:val="bullet"/>
      <w:start w:val="1"/>
    </w:lvl>
  </w:abstractNum>
  <w:abstractNum w:abstractNumId="58">
    <w:nsid w:val="53B0A9E"/>
    <w:multiLevelType w:val="hybridMultilevel"/>
    <w:lvl w:ilvl="0">
      <w:lvlJc w:val="left"/>
      <w:lvlText w:val="$"/>
      <w:numFmt w:val="bullet"/>
      <w:start w:val="1"/>
    </w:lvl>
  </w:abstractNum>
  <w:abstractNum w:abstractNumId="59">
    <w:nsid w:val="34FD6B4F"/>
    <w:multiLevelType w:val="hybridMultilevel"/>
    <w:lvl w:ilvl="0">
      <w:lvlJc w:val="left"/>
      <w:lvlText w:val="$"/>
      <w:numFmt w:val="bullet"/>
      <w:start w:val="1"/>
    </w:lvl>
  </w:abstractNum>
  <w:abstractNum w:abstractNumId="60">
    <w:nsid w:val="5915FF32"/>
    <w:multiLevelType w:val="hybridMultilevel"/>
    <w:lvl w:ilvl="0">
      <w:lvlJc w:val="left"/>
      <w:lvlText w:val="$"/>
      <w:numFmt w:val="bullet"/>
      <w:start w:val="1"/>
    </w:lvl>
  </w:abstractNum>
  <w:abstractNum w:abstractNumId="61">
    <w:nsid w:val="56438D15"/>
    <w:multiLevelType w:val="hybridMultilevel"/>
    <w:lvl w:ilvl="0">
      <w:lvlJc w:val="left"/>
      <w:lvlText w:val="$"/>
      <w:numFmt w:val="bullet"/>
      <w:start w:val="1"/>
    </w:lvl>
  </w:abstractNum>
  <w:abstractNum w:abstractNumId="62">
    <w:nsid w:val="519E3149"/>
    <w:multiLevelType w:val="hybridMultilevel"/>
    <w:lvl w:ilvl="0">
      <w:lvlJc w:val="left"/>
      <w:lvlText w:val="$"/>
      <w:numFmt w:val="bullet"/>
      <w:start w:val="1"/>
    </w:lvl>
  </w:abstractNum>
  <w:abstractNum w:abstractNumId="63">
    <w:nsid w:val="2C6E4AFD"/>
    <w:multiLevelType w:val="hybridMultilevel"/>
    <w:lvl w:ilvl="0">
      <w:lvlJc w:val="left"/>
      <w:lvlText w:val="$"/>
      <w:numFmt w:val="bullet"/>
      <w:start w:val="1"/>
    </w:lvl>
  </w:abstractNum>
  <w:abstractNum w:abstractNumId="64">
    <w:nsid w:val="17A1B582"/>
    <w:multiLevelType w:val="hybridMultilevel"/>
    <w:lvl w:ilvl="0">
      <w:lvlJc w:val="left"/>
      <w:lvlText w:val="$"/>
      <w:numFmt w:val="bullet"/>
      <w:start w:val="1"/>
    </w:lvl>
  </w:abstractNum>
  <w:abstractNum w:abstractNumId="65">
    <w:nsid w:val="4DF72E4E"/>
    <w:multiLevelType w:val="hybridMultilevel"/>
    <w:lvl w:ilvl="0">
      <w:lvlJc w:val="left"/>
      <w:lvlText w:val="$"/>
      <w:numFmt w:val="bullet"/>
      <w:start w:val="1"/>
    </w:lvl>
  </w:abstractNum>
  <w:abstractNum w:abstractNumId="66">
    <w:nsid w:val="5046B5A9"/>
    <w:multiLevelType w:val="hybridMultilevel"/>
    <w:lvl w:ilvl="0">
      <w:lvlJc w:val="left"/>
      <w:lvlText w:val="$"/>
      <w:numFmt w:val="bullet"/>
      <w:start w:val="1"/>
    </w:lvl>
  </w:abstractNum>
  <w:abstractNum w:abstractNumId="67">
    <w:nsid w:val="5D888A08"/>
    <w:multiLevelType w:val="hybridMultilevel"/>
    <w:lvl w:ilvl="0">
      <w:lvlJc w:val="left"/>
      <w:lvlText w:val="$"/>
      <w:numFmt w:val="bullet"/>
      <w:start w:val="1"/>
    </w:lvl>
  </w:abstractNum>
  <w:abstractNum w:abstractNumId="68">
    <w:nsid w:val="2A082C70"/>
    <w:multiLevelType w:val="hybridMultilevel"/>
    <w:lvl w:ilvl="0">
      <w:lvlJc w:val="left"/>
      <w:lvlText w:val="$"/>
      <w:numFmt w:val="bullet"/>
      <w:start w:val="1"/>
    </w:lvl>
  </w:abstractNum>
  <w:abstractNum w:abstractNumId="69">
    <w:nsid w:val="5EC6AFD4"/>
    <w:multiLevelType w:val="hybridMultilevel"/>
    <w:lvl w:ilvl="0">
      <w:lvlJc w:val="left"/>
      <w:lvlText w:val="$"/>
      <w:numFmt w:val="bullet"/>
      <w:start w:val="1"/>
    </w:lvl>
  </w:abstractNum>
  <w:abstractNum w:abstractNumId="70">
    <w:nsid w:val="19E21BB2"/>
    <w:multiLevelType w:val="hybridMultilevel"/>
    <w:lvl w:ilvl="0">
      <w:lvlJc w:val="left"/>
      <w:lvlText w:val="$"/>
      <w:numFmt w:val="bullet"/>
      <w:start w:val="1"/>
    </w:lvl>
  </w:abstractNum>
  <w:abstractNum w:abstractNumId="71">
    <w:nsid w:val="75E0858A"/>
    <w:multiLevelType w:val="hybridMultilevel"/>
    <w:lvl w:ilvl="0">
      <w:lvlJc w:val="left"/>
      <w:lvlText w:val="$"/>
      <w:numFmt w:val="bullet"/>
      <w:start w:val="1"/>
    </w:lvl>
  </w:abstractNum>
  <w:abstractNum w:abstractNumId="72">
    <w:nsid w:val="57A61A29"/>
    <w:multiLevelType w:val="hybridMultilevel"/>
    <w:lvl w:ilvl="0">
      <w:lvlJc w:val="left"/>
      <w:lvlText w:val="$"/>
      <w:numFmt w:val="bullet"/>
      <w:start w:val="1"/>
    </w:lvl>
  </w:abstractNum>
  <w:abstractNum w:abstractNumId="73">
    <w:nsid w:val="5399C654"/>
    <w:multiLevelType w:val="hybridMultilevel"/>
    <w:lvl w:ilvl="0">
      <w:lvlJc w:val="left"/>
      <w:lvlText w:val="$"/>
      <w:numFmt w:val="bullet"/>
      <w:start w:val="1"/>
    </w:lvl>
  </w:abstractNum>
  <w:abstractNum w:abstractNumId="74">
    <w:nsid w:val="20EE1348"/>
    <w:multiLevelType w:val="hybridMultilevel"/>
    <w:lvl w:ilvl="0">
      <w:lvlJc w:val="left"/>
      <w:lvlText w:val="$"/>
      <w:numFmt w:val="bullet"/>
      <w:start w:val="1"/>
    </w:lvl>
  </w:abstractNum>
  <w:abstractNum w:abstractNumId="75">
    <w:nsid w:val="4427069A"/>
    <w:multiLevelType w:val="hybridMultilevel"/>
    <w:lvl w:ilvl="0">
      <w:lvlJc w:val="left"/>
      <w:lvlText w:val="$"/>
      <w:numFmt w:val="bullet"/>
      <w:start w:val="1"/>
    </w:lvl>
  </w:abstractNum>
  <w:abstractNum w:abstractNumId="76">
    <w:nsid w:val="B37E80A"/>
    <w:multiLevelType w:val="hybridMultilevel"/>
    <w:lvl w:ilvl="0">
      <w:lvlJc w:val="left"/>
      <w:lvlText w:val="$"/>
      <w:numFmt w:val="bullet"/>
      <w:start w:val="1"/>
    </w:lvl>
  </w:abstractNum>
  <w:abstractNum w:abstractNumId="77">
    <w:nsid w:val="2157F6BC"/>
    <w:multiLevelType w:val="hybridMultilevel"/>
    <w:lvl w:ilvl="0">
      <w:lvlJc w:val="left"/>
      <w:lvlText w:val="$"/>
      <w:numFmt w:val="bullet"/>
      <w:start w:val="1"/>
    </w:lvl>
  </w:abstractNum>
  <w:abstractNum w:abstractNumId="78">
    <w:nsid w:val="704E1DD5"/>
    <w:multiLevelType w:val="hybridMultilevel"/>
    <w:lvl w:ilvl="0">
      <w:lvlJc w:val="left"/>
      <w:lvlText w:val="$"/>
      <w:numFmt w:val="bullet"/>
      <w:start w:val="1"/>
    </w:lvl>
  </w:abstractNum>
  <w:abstractNum w:abstractNumId="79">
    <w:nsid w:val="57D2F10E"/>
    <w:multiLevelType w:val="hybridMultilevel"/>
    <w:lvl w:ilvl="0">
      <w:lvlJc w:val="left"/>
      <w:lvlText w:val="$"/>
      <w:numFmt w:val="bullet"/>
      <w:start w:val="1"/>
    </w:lvl>
  </w:abstractNum>
  <w:abstractNum w:abstractNumId="80">
    <w:nsid w:val="BFFAE18"/>
    <w:multiLevelType w:val="hybridMultilevel"/>
    <w:lvl w:ilvl="0">
      <w:lvlJc w:val="left"/>
      <w:lvlText w:val="$"/>
      <w:numFmt w:val="bullet"/>
      <w:start w:val="1"/>
    </w:lvl>
  </w:abstractNum>
  <w:abstractNum w:abstractNumId="81">
    <w:nsid w:val="E3E47A8"/>
    <w:multiLevelType w:val="hybridMultilevel"/>
    <w:lvl w:ilvl="0">
      <w:lvlJc w:val="left"/>
      <w:lvlText w:val="$"/>
      <w:numFmt w:val="bullet"/>
      <w:start w:val="1"/>
    </w:lvl>
  </w:abstractNum>
  <w:abstractNum w:abstractNumId="82">
    <w:nsid w:val="2E48F044"/>
    <w:multiLevelType w:val="hybridMultilevel"/>
    <w:lvl w:ilvl="0">
      <w:lvlJc w:val="left"/>
      <w:lvlText w:val="$"/>
      <w:numFmt w:val="bullet"/>
      <w:start w:val="1"/>
    </w:lvl>
  </w:abstractNum>
  <w:abstractNum w:abstractNumId="83">
    <w:nsid w:val="49D0FEAC"/>
    <w:multiLevelType w:val="hybridMultilevel"/>
    <w:lvl w:ilvl="0">
      <w:lvlJc w:val="left"/>
      <w:lvlText w:val="$"/>
      <w:numFmt w:val="bullet"/>
      <w:start w:val="1"/>
    </w:lvl>
  </w:abstractNum>
  <w:abstractNum w:abstractNumId="84">
    <w:nsid w:val="4BEE5A5B"/>
    <w:multiLevelType w:val="hybridMultilevel"/>
    <w:lvl w:ilvl="0">
      <w:lvlJc w:val="left"/>
      <w:lvlText w:val="$"/>
      <w:numFmt w:val="bullet"/>
      <w:start w:val="1"/>
    </w:lvl>
  </w:abstractNum>
  <w:abstractNum w:abstractNumId="85">
    <w:nsid w:val="5551B9F3"/>
    <w:multiLevelType w:val="hybridMultilevel"/>
    <w:lvl w:ilvl="0">
      <w:lvlJc w:val="left"/>
      <w:lvlText w:val="$"/>
      <w:numFmt w:val="bullet"/>
      <w:start w:val="1"/>
    </w:lvl>
  </w:abstractNum>
  <w:abstractNum w:abstractNumId="86">
    <w:nsid w:val="24F6AB8E"/>
    <w:multiLevelType w:val="hybridMultilevel"/>
    <w:lvl w:ilvl="0">
      <w:lvlJc w:val="left"/>
      <w:lvlText w:val="$"/>
      <w:numFmt w:val="bullet"/>
      <w:start w:val="1"/>
    </w:lvl>
  </w:abstractNum>
  <w:abstractNum w:abstractNumId="87">
    <w:nsid w:val="634C574C"/>
    <w:multiLevelType w:val="hybridMultilevel"/>
    <w:lvl w:ilvl="0">
      <w:lvlJc w:val="left"/>
      <w:lvlText w:val="·"/>
      <w:numFmt w:val="bullet"/>
      <w:start w:val="1"/>
    </w:lvl>
  </w:abstractNum>
  <w:abstractNum w:abstractNumId="88">
    <w:nsid w:val="24E99DD7"/>
    <w:multiLevelType w:val="hybridMultilevel"/>
    <w:lvl w:ilvl="0">
      <w:lvlJc w:val="left"/>
      <w:lvlText w:val="(%1)"/>
      <w:numFmt w:val="decimal"/>
      <w:start w:val="1"/>
    </w:lvl>
    <w:lvl w:ilvl="1">
      <w:lvlJc w:val="left"/>
      <w:lvlText w:val="-"/>
      <w:numFmt w:val="bullet"/>
      <w:start w:val="1"/>
    </w:lvl>
  </w:abstractNum>
  <w:abstractNum w:abstractNumId="89">
    <w:nsid w:val="2A31B62D"/>
    <w:multiLevelType w:val="hybridMultilevel"/>
    <w:lvl w:ilvl="0">
      <w:lvlJc w:val="left"/>
      <w:lvlText w:val="$"/>
      <w:numFmt w:val="bullet"/>
      <w:start w:val="1"/>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
      <w:numFmt w:val="bullet"/>
      <w:start w:val="1"/>
    </w:lvl>
  </w:abstractNum>
  <w:abstractNum w:abstractNumId="92">
    <w:nsid w:val="754342"/>
    <w:multiLevelType w:val="hybridMultilevel"/>
    <w:lvl w:ilvl="0">
      <w:lvlJc w:val="left"/>
      <w:lvlText w:val="$"/>
      <w:numFmt w:val="bullet"/>
      <w:start w:val="1"/>
    </w:lvl>
  </w:abstractNum>
  <w:abstractNum w:abstractNumId="93">
    <w:nsid w:val="69E7F3E5"/>
    <w:multiLevelType w:val="hybridMultilevel"/>
    <w:lvl w:ilvl="0">
      <w:lvlJc w:val="left"/>
      <w:lvlText w:val="$"/>
      <w:numFmt w:val="bullet"/>
      <w:start w:val="1"/>
    </w:lvl>
  </w:abstractNum>
  <w:abstractNum w:abstractNumId="94">
    <w:nsid w:val="2A6DE806"/>
    <w:multiLevelType w:val="hybridMultilevel"/>
    <w:lvl w:ilvl="0">
      <w:lvlJc w:val="left"/>
      <w:lvlText w:val="$"/>
      <w:numFmt w:val="bullet"/>
      <w:start w:val="1"/>
    </w:lvl>
  </w:abstractNum>
  <w:abstractNum w:abstractNumId="95">
    <w:nsid w:val="1816F8C4"/>
    <w:multiLevelType w:val="hybridMultilevel"/>
    <w:lvl w:ilvl="0">
      <w:lvlJc w:val="left"/>
      <w:lvlText w:val="$"/>
      <w:numFmt w:val="bullet"/>
      <w:start w:val="1"/>
    </w:lvl>
  </w:abstractNum>
  <w:abstractNum w:abstractNumId="96">
    <w:nsid w:val="37DF2233"/>
    <w:multiLevelType w:val="hybridMultilevel"/>
    <w:lvl w:ilvl="0">
      <w:lvlJc w:val="left"/>
      <w:lvlText w:val="$"/>
      <w:numFmt w:val="bullet"/>
      <w:start w:val="1"/>
    </w:lvl>
  </w:abstractNum>
  <w:abstractNum w:abstractNumId="97">
    <w:nsid w:val="7AB49DAF"/>
    <w:multiLevelType w:val="hybridMultilevel"/>
    <w:lvl w:ilvl="0">
      <w:lvlJc w:val="left"/>
      <w:lvlText w:val="$"/>
      <w:numFmt w:val="bullet"/>
      <w:start w:val="1"/>
    </w:lvl>
  </w:abstractNum>
  <w:abstractNum w:abstractNumId="98">
    <w:nsid w:val="759F82CD"/>
    <w:multiLevelType w:val="hybridMultilevel"/>
    <w:lvl w:ilvl="0">
      <w:lvlJc w:val="left"/>
      <w:lvlText w:val="$"/>
      <w:numFmt w:val="bullet"/>
      <w:start w:val="1"/>
    </w:lvl>
  </w:abstractNum>
  <w:abstractNum w:abstractNumId="99">
    <w:nsid w:val="61E74EA3"/>
    <w:multiLevelType w:val="hybridMultilevel"/>
    <w:lvl w:ilvl="0">
      <w:lvlJc w:val="left"/>
      <w:lvlText w:val="$"/>
      <w:numFmt w:val="bullet"/>
      <w:start w:val="1"/>
    </w:lvl>
  </w:abstractNum>
  <w:abstractNum w:abstractNumId="100">
    <w:nsid w:val="597B4D84"/>
    <w:multiLevelType w:val="hybridMultilevel"/>
    <w:lvl w:ilvl="0">
      <w:lvlJc w:val="left"/>
      <w:lvlText w:val="$"/>
      <w:numFmt w:val="bullet"/>
      <w:start w:val="1"/>
    </w:lvl>
  </w:abstractNum>
  <w:abstractNum w:abstractNumId="101">
    <w:nsid w:val="F819E7F"/>
    <w:multiLevelType w:val="hybridMultilevel"/>
    <w:lvl w:ilvl="0">
      <w:lvlJc w:val="left"/>
      <w:lvlText w:val="$"/>
      <w:numFmt w:val="bullet"/>
      <w:start w:val="1"/>
    </w:lvl>
  </w:abstractNum>
  <w:abstractNum w:abstractNumId="102">
    <w:nsid w:val="57C7D42D"/>
    <w:multiLevelType w:val="hybridMultilevel"/>
    <w:lvl w:ilvl="0">
      <w:lvlJc w:val="left"/>
      <w:lvlText w:val="$"/>
      <w:numFmt w:val="bullet"/>
      <w:start w:val="1"/>
    </w:lvl>
  </w:abstractNum>
  <w:abstractNum w:abstractNumId="103">
    <w:nsid w:val="312167AD"/>
    <w:multiLevelType w:val="hybridMultilevel"/>
    <w:lvl w:ilvl="0">
      <w:lvlJc w:val="left"/>
      <w:lvlText w:val="$"/>
      <w:numFmt w:val="bullet"/>
      <w:start w:val="1"/>
    </w:lvl>
  </w:abstractNum>
  <w:abstractNum w:abstractNumId="104">
    <w:nsid w:val="631B64D4"/>
    <w:multiLevelType w:val="hybridMultilevel"/>
    <w:lvl w:ilvl="0">
      <w:lvlJc w:val="left"/>
      <w:lvlText w:val="$"/>
      <w:numFmt w:val="bullet"/>
      <w:start w:val="1"/>
    </w:lvl>
  </w:abstractNum>
  <w:abstractNum w:abstractNumId="105">
    <w:nsid w:val="78B5E776"/>
    <w:multiLevelType w:val="hybridMultilevel"/>
    <w:lvl w:ilvl="0">
      <w:lvlJc w:val="left"/>
      <w:lvlText w:val="$"/>
      <w:numFmt w:val="bullet"/>
      <w:start w:val="1"/>
    </w:lvl>
  </w:abstractNum>
  <w:abstractNum w:abstractNumId="106">
    <w:nsid w:val="75486E47"/>
    <w:multiLevelType w:val="hybridMultilevel"/>
    <w:lvl w:ilvl="0">
      <w:lvlJc w:val="left"/>
      <w:lvlText w:val="$"/>
      <w:numFmt w:val="bullet"/>
      <w:start w:val="1"/>
    </w:lvl>
  </w:abstractNum>
  <w:abstractNum w:abstractNumId="107">
    <w:nsid w:val="6E534CDE"/>
    <w:multiLevelType w:val="hybridMultilevel"/>
    <w:lvl w:ilvl="0">
      <w:lvlJc w:val="left"/>
      <w:lvlText w:val="$"/>
      <w:numFmt w:val="bullet"/>
      <w:start w:val="1"/>
    </w:lvl>
  </w:abstractNum>
  <w:abstractNum w:abstractNumId="108">
    <w:nsid w:val="1A0DDE32"/>
    <w:multiLevelType w:val="hybridMultilevel"/>
    <w:lvl w:ilvl="0">
      <w:lvlJc w:val="left"/>
      <w:lvlText w:val="$"/>
      <w:numFmt w:val="bullet"/>
      <w:start w:val="1"/>
    </w:lvl>
  </w:abstractNum>
  <w:abstractNum w:abstractNumId="109">
    <w:nsid w:val="65968C1C"/>
    <w:multiLevelType w:val="hybridMultilevel"/>
    <w:lvl w:ilvl="0">
      <w:lvlJc w:val="left"/>
      <w:lvlText w:val="$"/>
      <w:numFmt w:val="bullet"/>
      <w:start w:val="1"/>
    </w:lvl>
  </w:abstractNum>
  <w:abstractNum w:abstractNumId="110">
    <w:nsid w:val="46263DEC"/>
    <w:multiLevelType w:val="hybridMultilevel"/>
    <w:lvl w:ilvl="0">
      <w:lvlJc w:val="left"/>
      <w:lvlText w:val="$"/>
      <w:numFmt w:val="bullet"/>
      <w:start w:val="1"/>
    </w:lvl>
  </w:abstractNum>
  <w:abstractNum w:abstractNumId="111">
    <w:nsid w:val="260D8C4A"/>
    <w:multiLevelType w:val="hybridMultilevel"/>
    <w:lvl w:ilvl="0">
      <w:lvlJc w:val="left"/>
      <w:lvlText w:val="$"/>
      <w:numFmt w:val="bullet"/>
      <w:start w:val="1"/>
    </w:lvl>
  </w:abstractNum>
  <w:abstractNum w:abstractNumId="112">
    <w:nsid w:val="73D4D3C4"/>
    <w:multiLevelType w:val="hybridMultilevel"/>
    <w:lvl w:ilvl="0">
      <w:lvlJc w:val="left"/>
      <w:lvlText w:val="$"/>
      <w:numFmt w:val="bullet"/>
      <w:start w:val="1"/>
    </w:lvl>
  </w:abstractNum>
  <w:abstractNum w:abstractNumId="113">
    <w:nsid w:val="746F2E30"/>
    <w:multiLevelType w:val="hybridMultilevel"/>
    <w:lvl w:ilvl="0">
      <w:lvlJc w:val="left"/>
      <w:lvlText w:val="$"/>
      <w:numFmt w:val="bullet"/>
      <w:start w:val="1"/>
    </w:lvl>
  </w:abstractNum>
  <w:abstractNum w:abstractNumId="114">
    <w:nsid w:val="6FDE8AF6"/>
    <w:multiLevelType w:val="hybridMultilevel"/>
    <w:lvl w:ilvl="0">
      <w:lvlJc w:val="left"/>
      <w:lvlText w:val="$"/>
      <w:numFmt w:val="bullet"/>
      <w:start w:val="1"/>
    </w:lvl>
  </w:abstractNum>
  <w:abstractNum w:abstractNumId="115">
    <w:nsid w:val="3FC32E20"/>
    <w:multiLevelType w:val="hybridMultilevel"/>
    <w:lvl w:ilvl="0">
      <w:lvlJc w:val="left"/>
      <w:lvlText w:val="$"/>
      <w:numFmt w:val="bullet"/>
      <w:start w:val="1"/>
    </w:lvl>
  </w:abstractNum>
  <w:abstractNum w:abstractNumId="116">
    <w:nsid w:val="49C0E823"/>
    <w:multiLevelType w:val="hybridMultilevel"/>
    <w:lvl w:ilvl="0">
      <w:lvlJc w:val="left"/>
      <w:lvlText w:val="$"/>
      <w:numFmt w:val="bullet"/>
      <w:start w:val="1"/>
    </w:lvl>
  </w:abstractNum>
  <w:abstractNum w:abstractNumId="117">
    <w:nsid w:val="14D53685"/>
    <w:multiLevelType w:val="hybridMultilevel"/>
    <w:lvl w:ilvl="0">
      <w:lvlJc w:val="left"/>
      <w:lvlText w:val="$"/>
      <w:numFmt w:val="bullet"/>
      <w:start w:val="1"/>
    </w:lvl>
  </w:abstractNum>
  <w:abstractNum w:abstractNumId="118">
    <w:nsid w:val="230F856C"/>
    <w:multiLevelType w:val="hybridMultilevel"/>
    <w:lvl w:ilvl="0">
      <w:lvlJc w:val="left"/>
      <w:lvlText w:val="$"/>
      <w:numFmt w:val="bullet"/>
      <w:start w:val="1"/>
    </w:lvl>
  </w:abstractNum>
  <w:abstractNum w:abstractNumId="119">
    <w:nsid w:val="6EAA85FB"/>
    <w:multiLevelType w:val="hybridMultilevel"/>
    <w:lvl w:ilvl="0">
      <w:lvlJc w:val="left"/>
      <w:lvlText w:val="$"/>
      <w:numFmt w:val="bullet"/>
      <w:start w:val="1"/>
    </w:lvl>
  </w:abstractNum>
  <w:abstractNum w:abstractNumId="120">
    <w:nsid w:val="3F06ECB2"/>
    <w:multiLevelType w:val="hybridMultilevel"/>
    <w:lvl w:ilvl="0">
      <w:lvlJc w:val="left"/>
      <w:lvlText w:val="$"/>
      <w:numFmt w:val="bullet"/>
      <w:start w:val="1"/>
    </w:lvl>
  </w:abstractNum>
  <w:abstractNum w:abstractNumId="121">
    <w:nsid w:val="3B594807"/>
    <w:multiLevelType w:val="hybridMultilevel"/>
    <w:lvl w:ilvl="0">
      <w:lvlJc w:val="left"/>
      <w:lvlText w:val="$"/>
      <w:numFmt w:val="bullet"/>
      <w:start w:val="1"/>
    </w:lvl>
  </w:abstractNum>
  <w:abstractNum w:abstractNumId="122">
    <w:nsid w:val="6CAA2304"/>
    <w:multiLevelType w:val="hybridMultilevel"/>
    <w:lvl w:ilvl="0">
      <w:lvlJc w:val="left"/>
      <w:lvlText w:val="$"/>
      <w:numFmt w:val="bullet"/>
      <w:start w:val="1"/>
    </w:lvl>
  </w:abstractNum>
  <w:abstractNum w:abstractNumId="123">
    <w:nsid w:val="3F7C2FF4"/>
    <w:multiLevelType w:val="hybridMultilevel"/>
    <w:lvl w:ilvl="0">
      <w:lvlJc w:val="left"/>
      <w:lvlText w:val="$"/>
      <w:numFmt w:val="bullet"/>
      <w:start w:val="1"/>
    </w:lvl>
  </w:abstractNum>
  <w:abstractNum w:abstractNumId="124">
    <w:nsid w:val="25413BEC"/>
    <w:multiLevelType w:val="hybridMultilevel"/>
    <w:lvl w:ilvl="0">
      <w:lvlJc w:val="left"/>
      <w:lvlText w:val="$"/>
      <w:numFmt w:val="bullet"/>
      <w:start w:val="1"/>
    </w:lvl>
  </w:abstractNum>
  <w:abstractNum w:abstractNumId="125">
    <w:nsid w:val="17180B0B"/>
    <w:multiLevelType w:val="hybridMultilevel"/>
    <w:lvl w:ilvl="0">
      <w:lvlJc w:val="left"/>
      <w:lvlText w:val="$"/>
      <w:numFmt w:val="bullet"/>
      <w:start w:val="1"/>
    </w:lvl>
  </w:abstractNum>
  <w:abstractNum w:abstractNumId="126">
    <w:nsid w:val="579328B9"/>
    <w:multiLevelType w:val="hybridMultilevel"/>
    <w:lvl w:ilvl="0">
      <w:lvlJc w:val="left"/>
      <w:lvlText w:val="$"/>
      <w:numFmt w:val="bullet"/>
      <w:start w:val="1"/>
    </w:lvl>
  </w:abstractNum>
  <w:abstractNum w:abstractNumId="127">
    <w:nsid w:val="5D205E20"/>
    <w:multiLevelType w:val="hybridMultilevel"/>
    <w:lvl w:ilvl="0">
      <w:lvlJc w:val="left"/>
      <w:lvlText w:val="$"/>
      <w:numFmt w:val="bullet"/>
      <w:start w:val="1"/>
    </w:lvl>
  </w:abstractNum>
  <w:abstractNum w:abstractNumId="128">
    <w:nsid w:val="11CCA8BA"/>
    <w:multiLevelType w:val="hybridMultilevel"/>
    <w:lvl w:ilvl="0">
      <w:lvlJc w:val="left"/>
      <w:lvlText w:val="$"/>
      <w:numFmt w:val="bullet"/>
      <w:start w:val="1"/>
    </w:lvl>
  </w:abstractNum>
  <w:abstractNum w:abstractNumId="129">
    <w:nsid w:val="4D32AB86"/>
    <w:multiLevelType w:val="hybridMultilevel"/>
    <w:lvl w:ilvl="0">
      <w:lvlJc w:val="left"/>
      <w:lvlText w:val="$"/>
      <w:numFmt w:val="bullet"/>
      <w:start w:val="1"/>
    </w:lvl>
  </w:abstractNum>
  <w:abstractNum w:abstractNumId="130">
    <w:nsid w:val="3F07ACC3"/>
    <w:multiLevelType w:val="hybridMultilevel"/>
    <w:lvl w:ilvl="0">
      <w:lvlJc w:val="left"/>
      <w:lvlText w:val="$"/>
      <w:numFmt w:val="bullet"/>
      <w:start w:val="1"/>
    </w:lvl>
  </w:abstractNum>
  <w:abstractNum w:abstractNumId="131">
    <w:nsid w:val="6B47F63E"/>
    <w:multiLevelType w:val="hybridMultilevel"/>
    <w:lvl w:ilvl="0">
      <w:lvlJc w:val="left"/>
      <w:lvlText w:val="$"/>
      <w:numFmt w:val="bullet"/>
      <w:start w:val="1"/>
    </w:lvl>
  </w:abstractNum>
  <w:abstractNum w:abstractNumId="132">
    <w:nsid w:val="5CB44A05"/>
    <w:multiLevelType w:val="hybridMultilevel"/>
    <w:lvl w:ilvl="0">
      <w:lvlJc w:val="left"/>
      <w:lvlText w:val="$"/>
      <w:numFmt w:val="bullet"/>
      <w:start w:val="1"/>
    </w:lvl>
  </w:abstractNum>
  <w:abstractNum w:abstractNumId="133">
    <w:nsid w:val="16CF80F1"/>
    <w:multiLevelType w:val="hybridMultilevel"/>
    <w:lvl w:ilvl="0">
      <w:lvlJc w:val="left"/>
      <w:lvlText w:val="$"/>
      <w:numFmt w:val="bullet"/>
      <w:start w:val="1"/>
    </w:lvl>
  </w:abstractNum>
  <w:abstractNum w:abstractNumId="134">
    <w:nsid w:val="1C695DEC"/>
    <w:multiLevelType w:val="hybridMultilevel"/>
    <w:lvl w:ilvl="0">
      <w:lvlJc w:val="left"/>
      <w:lvlText w:val="$"/>
      <w:numFmt w:val="bullet"/>
      <w:start w:val="1"/>
    </w:lvl>
  </w:abstractNum>
  <w:abstractNum w:abstractNumId="135">
    <w:nsid w:val="3FCFAED9"/>
    <w:multiLevelType w:val="hybridMultilevel"/>
    <w:lvl w:ilvl="0">
      <w:lvlJc w:val="left"/>
      <w:lvlText w:val="$"/>
      <w:numFmt w:val="bullet"/>
      <w:start w:val="1"/>
    </w:lvl>
  </w:abstractNum>
  <w:abstractNum w:abstractNumId="136">
    <w:nsid w:val="F856867"/>
    <w:multiLevelType w:val="hybridMultilevel"/>
    <w:lvl w:ilvl="0">
      <w:lvlJc w:val="left"/>
      <w:lvlText w:val="$"/>
      <w:numFmt w:val="bullet"/>
      <w:start w:val="1"/>
    </w:lvl>
  </w:abstractNum>
  <w:abstractNum w:abstractNumId="137">
    <w:nsid w:val="11B1CC33"/>
    <w:multiLevelType w:val="hybridMultilevel"/>
    <w:lvl w:ilvl="0">
      <w:lvlJc w:val="left"/>
      <w:lvlText w:val="·"/>
      <w:numFmt w:val="bullet"/>
      <w:start w:val="1"/>
    </w:lvl>
  </w:abstractNum>
  <w:abstractNum w:abstractNumId="138">
    <w:nsid w:val="2E22FBB7"/>
    <w:multiLevelType w:val="hybridMultilevel"/>
    <w:lvl w:ilvl="0">
      <w:lvlJc w:val="left"/>
      <w:lvlText w:val="(%1)"/>
      <w:numFmt w:val="decimal"/>
      <w:start w:val="1"/>
    </w:lvl>
  </w:abstractNum>
  <w:abstractNum w:abstractNumId="139">
    <w:nsid w:val="29934699"/>
    <w:multiLevelType w:val="hybridMultilevel"/>
    <w:lvl w:ilvl="0">
      <w:lvlJc w:val="left"/>
      <w:lvlText w:val="(%1)"/>
      <w:numFmt w:val="decimal"/>
      <w:start w:val="1"/>
    </w:lvl>
    <w:lvl w:ilvl="1">
      <w:lvlJc w:val="left"/>
      <w:lvlText w:val="-"/>
      <w:numFmt w:val="bullet"/>
      <w:start w:val="1"/>
    </w:lvl>
  </w:abstractNum>
  <w:abstractNum w:abstractNumId="140">
    <w:nsid w:val="77485850"/>
    <w:multiLevelType w:val="hybridMultilevel"/>
    <w:lvl w:ilvl="0">
      <w:lvlJc w:val="left"/>
      <w:lvlText w:val="(%1)"/>
      <w:numFmt w:val="lowerRoman"/>
      <w:start w:val="1"/>
    </w:lvl>
  </w:abstractNum>
  <w:abstractNum w:abstractNumId="141">
    <w:nsid w:val="744939A3"/>
    <w:multiLevelType w:val="hybridMultilevel"/>
    <w:lvl w:ilvl="0">
      <w:lvlJc w:val="left"/>
      <w:lvlText w:val="(%1)"/>
      <w:numFmt w:val="lowerRoman"/>
      <w:start w:val="1"/>
    </w:lvl>
  </w:abstractNum>
  <w:abstractNum w:abstractNumId="142">
    <w:nsid w:val="4FA0D2E3"/>
    <w:multiLevelType w:val="hybridMultilevel"/>
    <w:lvl w:ilvl="0">
      <w:lvlJc w:val="left"/>
      <w:lvlText w:val="·"/>
      <w:numFmt w:val="bullet"/>
      <w:start w:val="1"/>
    </w:lvl>
  </w:abstractNum>
  <w:abstractNum w:abstractNumId="143">
    <w:nsid w:val="6B1D2C14"/>
    <w:multiLevelType w:val="hybridMultilevel"/>
    <w:lvl w:ilvl="0">
      <w:lvlJc w:val="left"/>
      <w:lvlText w:val="·"/>
      <w:numFmt w:val="bullet"/>
      <w:start w:val="1"/>
    </w:lvl>
  </w:abstractNum>
  <w:abstractNum w:abstractNumId="144">
    <w:nsid w:val="68B867D3"/>
    <w:multiLevelType w:val="hybridMultilevel"/>
    <w:lvl w:ilvl="0">
      <w:lvlJc w:val="left"/>
      <w:lvlText w:val="(%1)"/>
      <w:numFmt w:val="decimal"/>
      <w:start w:val="1"/>
    </w:lvl>
  </w:abstractNum>
  <w:abstractNum w:abstractNumId="145">
    <w:nsid w:val="3F7F5DD9"/>
    <w:multiLevelType w:val="hybridMultilevel"/>
    <w:lvl w:ilvl="0">
      <w:lvlJc w:val="left"/>
      <w:lvlText w:val="(%1)"/>
      <w:numFmt w:val="decimal"/>
      <w:start w:val="1"/>
    </w:lvl>
  </w:abstractNum>
  <w:abstractNum w:abstractNumId="146">
    <w:nsid w:val="2AE05A34"/>
    <w:multiLevelType w:val="hybridMultilevel"/>
    <w:lvl w:ilvl="0">
      <w:lvlJc w:val="left"/>
      <w:lvlText w:val="·"/>
      <w:numFmt w:val="bullet"/>
      <w:start w:val="1"/>
    </w:lvl>
  </w:abstractNum>
  <w:abstractNum w:abstractNumId="147">
    <w:nsid w:val="32794FF7"/>
    <w:multiLevelType w:val="hybridMultilevel"/>
    <w:lvl w:ilvl="0">
      <w:lvlJc w:val="left"/>
      <w:lvlText w:val="·"/>
      <w:numFmt w:val="bullet"/>
      <w:start w:val="1"/>
    </w:lvl>
    <w:lvl w:ilvl="1">
      <w:lvlJc w:val="left"/>
      <w:lvlText w:val="-"/>
      <w:numFmt w:val="bullet"/>
      <w:start w:val="1"/>
    </w:lvl>
  </w:abstractNum>
  <w:abstractNum w:abstractNumId="148">
    <w:nsid w:val="5454945E"/>
    <w:multiLevelType w:val="hybridMultilevel"/>
    <w:lvl w:ilvl="0">
      <w:lvlJc w:val="left"/>
      <w:lvlText w:val="(%1)"/>
      <w:numFmt w:val="lowerRoman"/>
      <w:start w:val="1"/>
    </w:lvl>
  </w:abstractNum>
  <w:abstractNum w:abstractNumId="149">
    <w:nsid w:val="4DEFDFA0"/>
    <w:multiLevelType w:val="hybridMultilevel"/>
    <w:lvl w:ilvl="0">
      <w:lvlJc w:val="left"/>
      <w:lvlText w:val="(%1)"/>
      <w:numFmt w:val="lowerRoman"/>
      <w:start w:val="1"/>
    </w:lvl>
  </w:abstractNum>
  <w:abstractNum w:abstractNumId="150">
    <w:nsid w:val="2123D5F2"/>
    <w:multiLevelType w:val="hybridMultilevel"/>
    <w:lvl w:ilvl="0">
      <w:lvlJc w:val="left"/>
      <w:lvlText w:val="(%1)"/>
      <w:numFmt w:val="lowerRoman"/>
      <w:start w:val="1"/>
    </w:lvl>
  </w:abstractNum>
  <w:abstractNum w:abstractNumId="151">
    <w:nsid w:val="135B8110"/>
    <w:multiLevelType w:val="hybridMultilevel"/>
    <w:lvl w:ilvl="0">
      <w:lvlJc w:val="left"/>
      <w:lvlText w:val="(%1)"/>
      <w:numFmt w:val="lowerRoman"/>
      <w:start w:val="1"/>
    </w:lvl>
  </w:abstractNum>
  <w:abstractNum w:abstractNumId="152">
    <w:nsid w:val="94927A8"/>
    <w:multiLevelType w:val="hybridMultilevel"/>
    <w:lvl w:ilvl="0">
      <w:lvlJc w:val="left"/>
      <w:lvlText w:val="·"/>
      <w:numFmt w:val="bullet"/>
      <w:start w:val="1"/>
    </w:lvl>
  </w:abstractNum>
  <w:abstractNum w:abstractNumId="153">
    <w:nsid w:val="DCDF8F6"/>
    <w:multiLevelType w:val="hybridMultilevel"/>
    <w:lvl w:ilvl="0">
      <w:lvlJc w:val="left"/>
      <w:lvlText w:val="(%1)"/>
      <w:numFmt w:val="lowerRoman"/>
      <w:start w:val="2"/>
    </w:lvl>
  </w:abstractNum>
  <w:abstractNum w:abstractNumId="154">
    <w:nsid w:val="52D7B105"/>
    <w:multiLevelType w:val="hybridMultilevel"/>
    <w:lvl w:ilvl="0">
      <w:lvlJc w:val="left"/>
      <w:lvlText w:val="·"/>
      <w:numFmt w:val="bullet"/>
      <w:start w:val="1"/>
    </w:lvl>
    <w:lvl w:ilvl="1">
      <w:lvlJc w:val="left"/>
      <w:lvlText w:val="-"/>
      <w:numFmt w:val="bullet"/>
      <w:start w:val="1"/>
    </w:lvl>
  </w:abstractNum>
  <w:abstractNum w:abstractNumId="155">
    <w:nsid w:val="2E8A6394"/>
    <w:multiLevelType w:val="hybridMultilevel"/>
    <w:lvl w:ilvl="0">
      <w:lvlJc w:val="left"/>
      <w:lvlText w:val="(%1)"/>
      <w:numFmt w:val="lowerRoman"/>
      <w:start w:val="1"/>
    </w:lvl>
  </w:abstractNum>
  <w:abstractNum w:abstractNumId="156">
    <w:nsid w:val="24E60401"/>
    <w:multiLevelType w:val="hybridMultilevel"/>
    <w:lvl w:ilvl="0">
      <w:lvlJc w:val="left"/>
      <w:lvlText w:val="(%1)"/>
      <w:numFmt w:val="lowerRoman"/>
      <w:start w:val="1"/>
    </w:lvl>
  </w:abstractNum>
  <w:abstractNum w:abstractNumId="157">
    <w:nsid w:val="2A6AD9BE"/>
    <w:multiLevelType w:val="hybridMultilevel"/>
    <w:lvl w:ilvl="0">
      <w:lvlJc w:val="left"/>
      <w:lvlText w:val="·"/>
      <w:numFmt w:val="bullet"/>
      <w:start w:val="1"/>
    </w:lvl>
  </w:abstractNum>
  <w:abstractNum w:abstractNumId="158">
    <w:nsid w:val="BAAC1B4"/>
    <w:multiLevelType w:val="hybridMultilevel"/>
    <w:lvl w:ilvl="0">
      <w:lvlJc w:val="left"/>
      <w:lvlText w:val="(%1)"/>
      <w:numFmt w:val="lowerRoman"/>
      <w:start w:val="1"/>
    </w:lvl>
  </w:abstractNum>
  <w:abstractNum w:abstractNumId="159">
    <w:nsid w:val="36B2ACBC"/>
    <w:multiLevelType w:val="hybridMultilevel"/>
    <w:lvl w:ilvl="0">
      <w:lvlJc w:val="left"/>
      <w:lvlText w:val="·"/>
      <w:numFmt w:val="bullet"/>
      <w:start w:val="1"/>
    </w:lvl>
    <w:lvl w:ilvl="1">
      <w:lvlJc w:val="left"/>
      <w:lvlText w:val="-"/>
      <w:numFmt w:val="bullet"/>
      <w:start w:val="1"/>
    </w:lvl>
  </w:abstractNum>
  <w:abstractNum w:abstractNumId="160">
    <w:nsid w:val="779D8544"/>
    <w:multiLevelType w:val="hybridMultilevel"/>
    <w:lvl w:ilvl="0">
      <w:lvlJc w:val="left"/>
      <w:lvlText w:val="v"/>
      <w:numFmt w:val="bullet"/>
      <w:start w:val="1"/>
    </w:lvl>
    <w:lvl w:ilvl="1">
      <w:lvlJc w:val="left"/>
      <w:lvlText w:val="·"/>
      <w:numFmt w:val="bullet"/>
      <w:start w:val="1"/>
    </w:lvl>
  </w:abstractNum>
  <w:abstractNum w:abstractNumId="161">
    <w:nsid w:val="4AB26E78"/>
    <w:multiLevelType w:val="hybridMultilevel"/>
    <w:lvl w:ilvl="0">
      <w:lvlJc w:val="left"/>
      <w:lvlText w:val="(%1)"/>
      <w:numFmt w:val="decimal"/>
      <w:start w:val="1"/>
    </w:lvl>
  </w:abstractNum>
  <w:abstractNum w:abstractNumId="162">
    <w:nsid w:val="21FAA2FA"/>
    <w:multiLevelType w:val="hybridMultilevel"/>
    <w:lvl w:ilvl="0">
      <w:lvlJc w:val="left"/>
      <w:lvlText w:val="(%1)"/>
      <w:numFmt w:val="decimal"/>
      <w:start w:val="1"/>
    </w:lvl>
  </w:abstractNum>
  <w:abstractNum w:abstractNumId="163">
    <w:nsid w:val="5451CF49"/>
    <w:multiLevelType w:val="hybridMultilevel"/>
    <w:lvl w:ilvl="0">
      <w:lvlJc w:val="left"/>
      <w:lvlText w:val="·"/>
      <w:numFmt w:val="bullet"/>
      <w:start w:val="1"/>
    </w:lvl>
    <w:lvl w:ilvl="1">
      <w:lvlJc w:val="left"/>
      <w:lvlText w:val="-"/>
      <w:numFmt w:val="bullet"/>
      <w:start w:val="1"/>
    </w:lvl>
  </w:abstractNum>
  <w:abstractNum w:abstractNumId="164">
    <w:nsid w:val="6181EF69"/>
    <w:multiLevelType w:val="hybridMultilevel"/>
    <w:lvl w:ilvl="0">
      <w:lvlJc w:val="left"/>
      <w:lvlText w:val="·"/>
      <w:numFmt w:val="bullet"/>
      <w:start w:val="1"/>
    </w:lvl>
  </w:abstractNum>
  <w:abstractNum w:abstractNumId="165">
    <w:nsid w:val="3E6400E6"/>
    <w:multiLevelType w:val="hybridMultilevel"/>
    <w:lvl w:ilvl="0">
      <w:lvlJc w:val="left"/>
      <w:lvlText w:val="(%1)"/>
      <w:numFmt w:val="decimal"/>
      <w:start w:val="1"/>
    </w:lvl>
  </w:abstractNum>
  <w:abstractNum w:abstractNumId="166">
    <w:nsid w:val="14217E23"/>
    <w:multiLevelType w:val="hybridMultilevel"/>
    <w:lvl w:ilvl="0">
      <w:lvlJc w:val="left"/>
      <w:lvlText w:val="(%1)"/>
      <w:numFmt w:val="decimal"/>
      <w:start w:val="1"/>
    </w:lvl>
    <w:lvl w:ilvl="1">
      <w:lvlJc w:val="left"/>
      <w:lvlText w:val="-"/>
      <w:numFmt w:val="bullet"/>
      <w:start w:val="1"/>
    </w:lvl>
  </w:abstractNum>
  <w:abstractNum w:abstractNumId="167">
    <w:nsid w:val="710757D0"/>
    <w:multiLevelType w:val="hybridMultilevel"/>
    <w:lvl w:ilvl="0">
      <w:lvlJc w:val="left"/>
      <w:lvlText w:val="(%1)"/>
      <w:numFmt w:val="decimal"/>
      <w:start w:val="1"/>
    </w:lvl>
  </w:abstractNum>
  <w:abstractNum w:abstractNumId="168">
    <w:nsid w:val="5015CD1A"/>
    <w:multiLevelType w:val="hybridMultilevel"/>
    <w:lvl w:ilvl="0">
      <w:lvlJc w:val="left"/>
      <w:lvlText w:val="(%1)"/>
      <w:numFmt w:val="decimal"/>
      <w:start w:val="1"/>
    </w:lvl>
  </w:abstractNum>
  <w:abstractNum w:abstractNumId="169">
    <w:nsid w:val="424479DA"/>
    <w:multiLevelType w:val="hybridMultilevel"/>
    <w:lvl w:ilvl="0">
      <w:lvlJc w:val="left"/>
      <w:lvlText w:val="(%1)"/>
      <w:numFmt w:val="decimal"/>
      <w:start w:val="1"/>
    </w:lvl>
    <w:lvl w:ilvl="1">
      <w:lvlJc w:val="left"/>
      <w:lvlText w:val="-"/>
      <w:numFmt w:val="bullet"/>
      <w:start w:val="1"/>
    </w:lvl>
  </w:abstractNum>
  <w:abstractNum w:abstractNumId="170">
    <w:nsid w:val="1A9A9E69"/>
    <w:multiLevelType w:val="hybridMultilevel"/>
    <w:lvl w:ilvl="0">
      <w:lvlJc w:val="left"/>
      <w:lvlText w:val="·"/>
      <w:numFmt w:val="bullet"/>
      <w:start w:val="1"/>
    </w:lvl>
  </w:abstractNum>
  <w:abstractNum w:abstractNumId="171">
    <w:nsid w:val="475E256A"/>
    <w:multiLevelType w:val="hybridMultilevel"/>
    <w:lvl w:ilvl="0">
      <w:lvlJc w:val="left"/>
      <w:lvlText w:val="·"/>
      <w:numFmt w:val="bullet"/>
      <w:start w:val="1"/>
    </w:lvl>
  </w:abstractNum>
  <w:abstractNum w:abstractNumId="172">
    <w:nsid w:val="368DB37E"/>
    <w:multiLevelType w:val="hybridMultilevel"/>
    <w:lvl w:ilvl="0">
      <w:lvlJc w:val="left"/>
      <w:lvlText w:val="(%1)"/>
      <w:numFmt w:val="decimal"/>
      <w:start w:val="1"/>
    </w:lvl>
  </w:abstractNum>
  <w:abstractNum w:abstractNumId="173">
    <w:nsid w:val="6A3B714C"/>
    <w:multiLevelType w:val="hybridMultilevel"/>
    <w:lvl w:ilvl="0">
      <w:lvlJc w:val="left"/>
      <w:lvlText w:val="·"/>
      <w:numFmt w:val="bullet"/>
      <w:start w:val="1"/>
    </w:lvl>
    <w:lvl w:ilvl="1">
      <w:lvlJc w:val="left"/>
      <w:lvlText w:val="%2."/>
      <w:numFmt w:val="lowerRoman"/>
      <w:start w:val="1"/>
    </w:lvl>
  </w:abstractNum>
  <w:abstractNum w:abstractNumId="174">
    <w:nsid w:val="327B517E"/>
    <w:multiLevelType w:val="hybridMultilevel"/>
    <w:lvl w:ilvl="0">
      <w:lvlJc w:val="left"/>
      <w:lvlText w:val="(%1)"/>
      <w:numFmt w:val="decimal"/>
      <w:start w:val="1"/>
    </w:lvl>
  </w:abstractNum>
  <w:abstractNum w:abstractNumId="175">
    <w:nsid w:val="1F461B51"/>
    <w:multiLevelType w:val="hybridMultilevel"/>
    <w:lvl w:ilvl="0">
      <w:lvlJc w:val="left"/>
      <w:lvlText w:val="(%1)"/>
      <w:numFmt w:val="decimal"/>
      <w:start w:val="1"/>
    </w:lvl>
  </w:abstractNum>
  <w:abstractNum w:abstractNumId="176">
    <w:nsid w:val="29BACF25"/>
    <w:multiLevelType w:val="hybridMultilevel"/>
    <w:lvl w:ilvl="0">
      <w:lvlJc w:val="left"/>
      <w:lvlText w:val="(%1)"/>
      <w:numFmt w:val="decimal"/>
      <w:start w:val="1"/>
    </w:lvl>
    <w:lvl w:ilvl="1">
      <w:lvlJc w:val="left"/>
      <w:lvlText w:val="-"/>
      <w:numFmt w:val="bullet"/>
      <w:start w:val="1"/>
    </w:lvl>
  </w:abstractNum>
  <w:abstractNum w:abstractNumId="177">
    <w:nsid w:val="5D5BABB3"/>
    <w:multiLevelType w:val="hybridMultilevel"/>
    <w:lvl w:ilvl="0">
      <w:lvlJc w:val="left"/>
      <w:lvlText w:val="(%1)"/>
      <w:numFmt w:val="lowerRoman"/>
      <w:start w:val="3"/>
    </w:lvl>
  </w:abstractNum>
  <w:abstractNum w:abstractNumId="178">
    <w:nsid w:val="51BF6B48"/>
    <w:multiLevelType w:val="hybridMultilevel"/>
    <w:lvl w:ilvl="0">
      <w:lvlJc w:val="left"/>
      <w:lvlText w:val="(%1)"/>
      <w:numFmt w:val="decimal"/>
      <w:start w:val="1"/>
    </w:lvl>
  </w:abstractNum>
  <w:abstractNum w:abstractNumId="179">
    <w:nsid w:val="7E0F6384"/>
    <w:multiLevelType w:val="hybridMultilevel"/>
    <w:lvl w:ilvl="0">
      <w:lvlJc w:val="left"/>
      <w:lvlText w:val="(%1)"/>
      <w:numFmt w:val="decimal"/>
      <w:start w:val="1"/>
    </w:lvl>
  </w:abstractNum>
  <w:abstractNum w:abstractNumId="180">
    <w:nsid w:val="2B4B8B53"/>
    <w:multiLevelType w:val="hybridMultilevel"/>
    <w:lvl w:ilvl="0">
      <w:lvlJc w:val="left"/>
      <w:lvlText w:val="(%1)"/>
      <w:numFmt w:val="lowerLetter"/>
      <w:start w:val="1"/>
    </w:lvl>
  </w:abstractNum>
  <w:abstractNum w:abstractNumId="181">
    <w:nsid w:val="72E3413A"/>
    <w:multiLevelType w:val="hybridMultilevel"/>
    <w:lvl w:ilvl="0">
      <w:lvlJc w:val="left"/>
      <w:lvlText w:val="(%1)"/>
      <w:numFmt w:val="lowerLetter"/>
      <w:start w:val="3"/>
    </w:lvl>
  </w:abstractNum>
  <w:abstractNum w:abstractNumId="182">
    <w:nsid w:val="116AE494"/>
    <w:multiLevelType w:val="hybridMultilevel"/>
    <w:lvl w:ilvl="0">
      <w:lvlJc w:val="left"/>
      <w:lvlText w:val="+"/>
      <w:numFmt w:val="bullet"/>
      <w:start w:val="1"/>
    </w:lvl>
    <w:lvl w:ilvl="1">
      <w:lvlJc w:val="left"/>
      <w:lvlText w:val="*"/>
      <w:numFmt w:val="bullet"/>
      <w:start w:val="1"/>
    </w:lvl>
  </w:abstractNum>
  <w:abstractNum w:abstractNumId="183">
    <w:nsid w:val="3494B2FB"/>
    <w:multiLevelType w:val="hybridMultilevel"/>
    <w:lvl w:ilvl="0">
      <w:lvlJc w:val="left"/>
      <w:lvlText w:val="1"/>
      <w:numFmt w:val="bullet"/>
      <w:start w:val="1"/>
    </w:lvl>
  </w:abstractNum>
  <w:abstractNum w:abstractNumId="184">
    <w:nsid w:val="B13A31"/>
    <w:multiLevelType w:val="hybridMultilevel"/>
    <w:lvl w:ilvl="0">
      <w:lvlJc w:val="left"/>
      <w:lvlText w:val="(%1)"/>
      <w:numFmt w:val="lowerRoman"/>
      <w:start w:val="3"/>
    </w:lvl>
  </w:abstractNum>
  <w:abstractNum w:abstractNumId="185">
    <w:nsid w:val="64429599"/>
    <w:multiLevelType w:val="hybridMultilevel"/>
    <w:lvl w:ilvl="0">
      <w:lvlJc w:val="left"/>
      <w:lvlText w:val="%1)"/>
      <w:numFmt w:val="decimal"/>
      <w:start w:val="1"/>
    </w:lvl>
    <w:lvl w:ilvl="1">
      <w:lvlJc w:val="left"/>
      <w:lvlText w:val="%2)"/>
      <w:numFmt w:val="lowerLetter"/>
      <w:start w:val="1"/>
    </w:lvl>
  </w:abstractNum>
  <w:abstractNum w:abstractNumId="186">
    <w:nsid w:val="631F1690"/>
    <w:multiLevelType w:val="hybridMultilevel"/>
    <w:lvl w:ilvl="0">
      <w:lvlJc w:val="left"/>
      <w:lvlText w:val="%1)"/>
      <w:numFmt w:val="decimal"/>
      <w:start w:val="1"/>
    </w:lvl>
    <w:lvl w:ilvl="1">
      <w:lvlJc w:val="left"/>
      <w:lvlText w:val="%2)"/>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47" Type="http://schemas.openxmlformats.org/officeDocument/2006/relationships/image" Target="media/image327.png"/><Relationship Id="rId356"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30" Type="http://schemas.openxmlformats.org/officeDocument/2006/relationships/hyperlink" Target="http://www.sec.gov/Archives/edgar/data/716634/000071663416000067/rdi-20151231xex3_1.htm" TargetMode="External"/><Relationship Id="rId335" Type="http://schemas.openxmlformats.org/officeDocument/2006/relationships/hyperlink" Target="http://www.sec.gov/Archives/edgar/data/716634/000071663418000006/rdi-20171231xex3_2.htm" TargetMode="External"/><Relationship Id="rId336" Type="http://schemas.openxmlformats.org/officeDocument/2006/relationships/hyperlink" Target="http://www.sec.gov/Archives/edgar/data/716634/000071663407000004/ex4_1.htm" TargetMode="External"/><Relationship Id="rId337" Type="http://schemas.openxmlformats.org/officeDocument/2006/relationships/hyperlink" Target="http://www.sec.gov/Archives/edgar/data/716634/000071663407000004/ex4_2.htm" TargetMode="External"/><Relationship Id="rId338" Type="http://schemas.openxmlformats.org/officeDocument/2006/relationships/hyperlink" Target="http://www.sec.gov/Archives/edgar/data/716634/000071663407000004/ex4_3.htm" TargetMode="External"/><Relationship Id="rId339" Type="http://schemas.openxmlformats.org/officeDocument/2006/relationships/hyperlink" Target="http://www.sec.gov/Archives/edgar/data/716634/000071663407000004/ex10_4.htm" TargetMode="External"/><Relationship Id="rId340" Type="http://schemas.openxmlformats.org/officeDocument/2006/relationships/hyperlink" Target="http://www.sec.gov/Archives/edgar/data/716634/000071663409000036/exhibit4_4.htm" TargetMode="External"/><Relationship Id="rId341" Type="http://schemas.openxmlformats.org/officeDocument/2006/relationships/hyperlink" Target="http://www.sec.gov/Archives/edgar/data/716634/000071663418000006/rdi-20171231xex10_1.htm" TargetMode="External"/><Relationship Id="rId342" Type="http://schemas.openxmlformats.org/officeDocument/2006/relationships/hyperlink" Target="http://www.sec.gov/Archives/edgar/data/716634/000071663410000014/exhibit4_2.htm" TargetMode="External"/><Relationship Id="rId343" Type="http://schemas.openxmlformats.org/officeDocument/2006/relationships/hyperlink" Target="http://www.sec.gov/Archives/edgar/data/716634/000071663410000014/exhibit4_3.htm" TargetMode="External"/><Relationship Id="rId344" Type="http://schemas.openxmlformats.org/officeDocument/2006/relationships/hyperlink" Target="http://www.sec.gov/Archives/edgar/data/716634/000071663410000014/exhibit4_4.htm" TargetMode="External"/><Relationship Id="rId345" Type="http://schemas.openxmlformats.org/officeDocument/2006/relationships/hyperlink" Target="http://www.sec.gov/Archives/edgar/data/716634/000071663410000014/exhibit4_5.htm" TargetMode="External"/><Relationship Id="rId346" Type="http://schemas.openxmlformats.org/officeDocument/2006/relationships/hyperlink" Target="http://www.sec.gov/Archives/edgar/data/716634/000095015003000386/a88762exv10w40.txt" TargetMode="External"/><Relationship Id="rId348" Type="http://schemas.openxmlformats.org/officeDocument/2006/relationships/hyperlink" Target="http://www.sec.gov/Archives/edgar/data/716634/000095012905009355/a12618exv10w58.htm" TargetMode="External"/><Relationship Id="rId349" Type="http://schemas.openxmlformats.org/officeDocument/2006/relationships/hyperlink" Target="http://www.sec.gov/Archives/edgar/data/716634/000095012905009355/a12618exv10w56.htm" TargetMode="External"/><Relationship Id="rId350" Type="http://schemas.openxmlformats.org/officeDocument/2006/relationships/hyperlink" Target="http://www.sec.gov/Archives/edgar/data/716634/000071663411000002/exhibit10_21.htm" TargetMode="External"/><Relationship Id="rId351" Type="http://schemas.openxmlformats.org/officeDocument/2006/relationships/hyperlink" Target="http://www.sec.gov/Archives/edgar/data/716634/000095015003001354/a94399exv10w49.txt" TargetMode="External"/><Relationship Id="rId352" Type="http://schemas.openxmlformats.org/officeDocument/2006/relationships/hyperlink" Target="http://www.sec.gov/Archives/edgar/data/716634/000071663407000004/ex10_2.htm" TargetMode="External"/><Relationship Id="rId353" Type="http://schemas.openxmlformats.org/officeDocument/2006/relationships/hyperlink" Target="http://www.sec.gov/Archives/edgar/data/716634/000071663416000067/rdi-20151231xex10_9.htm" TargetMode="External"/><Relationship Id="rId354" Type="http://schemas.openxmlformats.org/officeDocument/2006/relationships/hyperlink" Target="http://www.sec.gov/Archives/edgar/data/716634/000071663416000067/rdi-20151231xex10_10.htm" TargetMode="External"/><Relationship Id="rId355" Type="http://schemas.openxmlformats.org/officeDocument/2006/relationships/hyperlink" Target="http://www.sec.gov/Archives/edgar/data/716634/000071663408000031/exhibit10_77.htm" TargetMode="External"/><Relationship Id="rId357" Type="http://schemas.openxmlformats.org/officeDocument/2006/relationships/hyperlink" Target="http://www.sec.gov/Archives/edgar/data/716634/000071663416000067/rdi-20151231xex10_24.htm" TargetMode="External"/><Relationship Id="rId358" Type="http://schemas.openxmlformats.org/officeDocument/2006/relationships/hyperlink" Target="http://www.sec.gov/Archives/edgar/data/716634/000071663417000007/rdi-20161231xe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2020-03-16T15:28:20Z</dcterms:created>
  <dcterms:modified xsi:type="dcterms:W3CDTF">2020-03-16T15:28:20Z</dcterms:modified>
</cp:coreProperties>
</file>