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237"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15" w:lineRule="auto"/>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1"/>
          <w:szCs w:val="11"/>
          <w:color w:val="auto"/>
        </w:rPr>
        <w:t>_____________________________________________________</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680" w:hanging="659"/>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3320" w:right="1360" w:hanging="3299"/>
        <w:spacing w:after="0" w:line="424" w:lineRule="auto"/>
        <w:tabs>
          <w:tab w:leader="none" w:pos="67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1" w:lineRule="exact"/>
        <w:rPr>
          <w:rFonts w:ascii="MS PGothic" w:cs="MS PGothic" w:eastAsia="MS PGothic" w:hAnsi="MS PGothic"/>
          <w:sz w:val="18"/>
          <w:szCs w:val="18"/>
          <w:color w:val="auto"/>
          <w:highlight w:val="black"/>
        </w:rPr>
      </w:pPr>
    </w:p>
    <w:p>
      <w:pPr>
        <w:ind w:left="4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Commission file number 1-8625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8890</wp:posOffset>
            </wp:positionV>
            <wp:extent cx="2023110"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311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READING INTERNATIONAL, INC.</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480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40" w:type="dxa"/>
            <w:vAlign w:val="bottom"/>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95-3885184</w:t>
            </w:r>
          </w:p>
        </w:tc>
      </w:tr>
      <w:tr>
        <w:trPr>
          <w:trHeight w:val="188"/>
        </w:trPr>
        <w:tc>
          <w:tcPr>
            <w:tcW w:w="4800" w:type="dxa"/>
            <w:vAlign w:val="bottom"/>
          </w:tcPr>
          <w:p>
            <w:pPr>
              <w:jc w:val="center"/>
              <w:ind w:right="131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640" w:type="dxa"/>
            <w:vAlign w:val="bottom"/>
          </w:tcPr>
          <w:p>
            <w:pPr>
              <w:jc w:val="center"/>
              <w:ind w:left="1319"/>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258"/>
        </w:trPr>
        <w:tc>
          <w:tcPr>
            <w:tcW w:w="4800" w:type="dxa"/>
            <w:vAlign w:val="bottom"/>
          </w:tcPr>
          <w:p>
            <w:pPr>
              <w:jc w:val="center"/>
              <w:ind w:right="1317"/>
              <w:spacing w:after="0"/>
              <w:rPr>
                <w:sz w:val="20"/>
                <w:szCs w:val="20"/>
                <w:color w:val="auto"/>
              </w:rPr>
            </w:pPr>
            <w:r>
              <w:rPr>
                <w:rFonts w:ascii="Times New Roman" w:cs="Times New Roman" w:eastAsia="Times New Roman" w:hAnsi="Times New Roman"/>
                <w:sz w:val="18"/>
                <w:szCs w:val="18"/>
                <w:b w:val="1"/>
                <w:bCs w:val="1"/>
                <w:color w:val="auto"/>
                <w:w w:val="99"/>
              </w:rPr>
              <w:t>189 Second Avenue, Suite 2S</w:t>
            </w:r>
          </w:p>
        </w:tc>
        <w:tc>
          <w:tcPr>
            <w:tcW w:w="3640" w:type="dxa"/>
            <w:vAlign w:val="bottom"/>
          </w:tcPr>
          <w:p>
            <w:pPr>
              <w:spacing w:after="0"/>
              <w:rPr>
                <w:sz w:val="22"/>
                <w:szCs w:val="22"/>
                <w:color w:val="auto"/>
              </w:rPr>
            </w:pPr>
          </w:p>
        </w:tc>
      </w:tr>
      <w:tr>
        <w:trPr>
          <w:trHeight w:val="202"/>
        </w:trPr>
        <w:tc>
          <w:tcPr>
            <w:tcW w:w="4800" w:type="dxa"/>
            <w:vAlign w:val="bottom"/>
          </w:tcPr>
          <w:p>
            <w:pPr>
              <w:jc w:val="center"/>
              <w:ind w:right="1337"/>
              <w:spacing w:after="0" w:line="202" w:lineRule="exact"/>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640" w:type="dxa"/>
            <w:vAlign w:val="bottom"/>
          </w:tcPr>
          <w:p>
            <w:pPr>
              <w:jc w:val="right"/>
              <w:ind w:right="819"/>
              <w:spacing w:after="0" w:line="202" w:lineRule="exact"/>
              <w:rPr>
                <w:sz w:val="20"/>
                <w:szCs w:val="20"/>
                <w:color w:val="auto"/>
              </w:rPr>
            </w:pPr>
            <w:r>
              <w:rPr>
                <w:rFonts w:ascii="Times New Roman" w:cs="Times New Roman" w:eastAsia="Times New Roman" w:hAnsi="Times New Roman"/>
                <w:sz w:val="18"/>
                <w:szCs w:val="18"/>
                <w:b w:val="1"/>
                <w:bCs w:val="1"/>
                <w:color w:val="auto"/>
              </w:rPr>
              <w:t>10003</w:t>
            </w:r>
          </w:p>
        </w:tc>
      </w:tr>
      <w:tr>
        <w:trPr>
          <w:trHeight w:val="188"/>
        </w:trPr>
        <w:tc>
          <w:tcPr>
            <w:tcW w:w="4800" w:type="dxa"/>
            <w:vAlign w:val="bottom"/>
          </w:tcPr>
          <w:p>
            <w:pPr>
              <w:jc w:val="center"/>
              <w:ind w:right="131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40" w:type="dxa"/>
            <w:vAlign w:val="bottom"/>
          </w:tcPr>
          <w:p>
            <w:pPr>
              <w:jc w:val="center"/>
              <w:ind w:left="129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(213) 235-2240</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Title of each class</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Trading Symbol</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47"/>
        </w:trPr>
        <w:tc>
          <w:tcPr>
            <w:tcW w:w="47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Class A Nonvoting Common Stock, $0.01 par value</w:t>
            </w:r>
          </w:p>
        </w:tc>
        <w:tc>
          <w:tcPr>
            <w:tcW w:w="100" w:type="dxa"/>
            <w:vAlign w:val="bottom"/>
          </w:tcPr>
          <w:p>
            <w:pPr>
              <w:spacing w:after="0"/>
              <w:rPr>
                <w:sz w:val="12"/>
                <w:szCs w:val="12"/>
                <w:color w:val="auto"/>
              </w:rPr>
            </w:pPr>
          </w:p>
        </w:tc>
        <w:tc>
          <w:tcPr>
            <w:tcW w:w="254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RDI</w:t>
            </w:r>
          </w:p>
        </w:tc>
        <w:tc>
          <w:tcPr>
            <w:tcW w:w="100" w:type="dxa"/>
            <w:vAlign w:val="bottom"/>
          </w:tcPr>
          <w:p>
            <w:pPr>
              <w:spacing w:after="0"/>
              <w:rPr>
                <w:sz w:val="12"/>
                <w:szCs w:val="12"/>
                <w:color w:val="auto"/>
              </w:rPr>
            </w:pPr>
          </w:p>
        </w:tc>
        <w:tc>
          <w:tcPr>
            <w:tcW w:w="372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The Nasdaq Stock Market LLC</w:t>
            </w:r>
          </w:p>
        </w:tc>
      </w:tr>
      <w:tr>
        <w:trPr>
          <w:trHeight w:val="238"/>
        </w:trPr>
        <w:tc>
          <w:tcPr>
            <w:tcW w:w="4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B Voting Common Stock, $0.01 par value</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RDIB</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44" w:lineRule="exact"/>
        <w:rPr>
          <w:sz w:val="24"/>
          <w:szCs w:val="24"/>
          <w:color w:val="auto"/>
        </w:rPr>
      </w:pPr>
    </w:p>
    <w:p>
      <w:pPr>
        <w:ind w:right="300"/>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60"/>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7" w:lineRule="exact"/>
        <w:rPr>
          <w:sz w:val="24"/>
          <w:szCs w:val="24"/>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238"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May 14, 2024, there were 20,745,819 shares of Class A Nonvoting Common Stock, $0.01 par value per share, and 1,680,590 shares of Class B Voting Common Stock, $0.01 par value per share, outstanding.</w:t>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0" w:type="dxa"/>
            <w:vAlign w:val="bottom"/>
            <w:gridSpan w:val="11"/>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READING INTERNATIONAL, INC. AND SUBSIDIARIES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00" w:type="dxa"/>
            <w:vAlign w:val="bottom"/>
            <w:gridSpan w:val="7"/>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63"/>
        </w:trPr>
        <w:tc>
          <w:tcPr>
            <w:tcW w:w="10500" w:type="dxa"/>
            <w:vAlign w:val="bottom"/>
            <w:tcBorders>
              <w:top w:val="single" w:sz="8" w:color="CCEEFF"/>
            </w:tcBorders>
            <w:gridSpan w:val="2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top w:val="single" w:sz="8" w:color="0000FF"/>
            </w:tcBorders>
          </w:tcPr>
          <w:p>
            <w:pPr>
              <w:spacing w:after="0"/>
              <w:rPr>
                <w:sz w:val="14"/>
                <w:szCs w:val="14"/>
                <w:color w:val="auto"/>
              </w:rPr>
            </w:pPr>
          </w:p>
        </w:tc>
        <w:tc>
          <w:tcPr>
            <w:tcW w:w="2300" w:type="dxa"/>
            <w:vAlign w:val="bottom"/>
            <w:tcBorders>
              <w:top w:val="single" w:sz="8" w:color="0000FF"/>
            </w:tcBorders>
            <w:gridSpan w:val="8"/>
          </w:tcPr>
          <w:p>
            <w:pPr>
              <w:spacing w:after="0" w:line="162" w:lineRule="exact"/>
              <w:rPr>
                <w:sz w:val="20"/>
                <w:szCs w:val="20"/>
                <w:color w:val="auto"/>
              </w:rPr>
            </w:pPr>
            <w:r>
              <w:rPr>
                <w:rFonts w:ascii="Times New Roman" w:cs="Times New Roman" w:eastAsia="Times New Roman" w:hAnsi="Times New Roman"/>
                <w:sz w:val="18"/>
                <w:szCs w:val="18"/>
                <w:color w:val="0000FF"/>
              </w:rPr>
              <w:t>Item 1 – Financial Statements</w:t>
            </w:r>
          </w:p>
        </w:tc>
        <w:tc>
          <w:tcPr>
            <w:tcW w:w="8060" w:type="dxa"/>
            <w:vAlign w:val="bottom"/>
            <w:tcBorders>
              <w:top w:val="single" w:sz="8" w:color="CCEEFF"/>
            </w:tcBorders>
            <w:gridSpan w:val="14"/>
          </w:tcPr>
          <w:p>
            <w:pPr>
              <w:spacing w:after="0"/>
              <w:rPr>
                <w:sz w:val="14"/>
                <w:szCs w:val="14"/>
                <w:color w:val="auto"/>
              </w:rPr>
            </w:pPr>
          </w:p>
        </w:tc>
        <w:tc>
          <w:tcPr>
            <w:tcW w:w="7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000" w:type="dxa"/>
            <w:vAlign w:val="bottom"/>
            <w:tcBorders>
              <w:bottom w:val="single" w:sz="8" w:color="0000FF"/>
            </w:tcBorders>
            <w:gridSpan w:val="1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Consolidated Balance Sheets (Unaudited)</w:t>
            </w:r>
          </w:p>
        </w:tc>
        <w:tc>
          <w:tcPr>
            <w:tcW w:w="7160" w:type="dxa"/>
            <w:vAlign w:val="bottom"/>
            <w:tcBorders>
              <w:bottom w:val="single" w:sz="8" w:color="CCEEFF"/>
            </w:tcBorders>
            <w:gridSpan w:val="10"/>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60" w:type="dxa"/>
            <w:vAlign w:val="bottom"/>
            <w:gridSpan w:val="21"/>
          </w:tcPr>
          <w:p>
            <w:pPr>
              <w:spacing w:after="0" w:line="162" w:lineRule="exact"/>
              <w:rPr>
                <w:sz w:val="20"/>
                <w:szCs w:val="20"/>
                <w:color w:val="auto"/>
              </w:rPr>
            </w:pPr>
            <w:r>
              <w:rPr>
                <w:rFonts w:ascii="Times New Roman" w:cs="Times New Roman" w:eastAsia="Times New Roman" w:hAnsi="Times New Roman"/>
                <w:sz w:val="18"/>
                <w:szCs w:val="18"/>
                <w:color w:val="0000FF"/>
              </w:rPr>
              <w:t>Consolidated Statements of Income (Unaudited)</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160" w:type="dxa"/>
            <w:vAlign w:val="bottom"/>
            <w:gridSpan w:val="2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Consolidated Statements of Comprehensive Income (Unaudited)</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780" w:type="dxa"/>
            <w:vAlign w:val="bottom"/>
            <w:tcBorders>
              <w:top w:val="single" w:sz="8" w:color="0000FF"/>
              <w:bottom w:val="single" w:sz="8" w:color="0000FF"/>
            </w:tcBorders>
            <w:gridSpan w:val="13"/>
          </w:tcPr>
          <w:p>
            <w:pPr>
              <w:spacing w:after="0" w:line="162" w:lineRule="exact"/>
              <w:rPr>
                <w:sz w:val="20"/>
                <w:szCs w:val="20"/>
                <w:color w:val="auto"/>
              </w:rPr>
            </w:pPr>
            <w:r>
              <w:rPr>
                <w:rFonts w:ascii="Times New Roman" w:cs="Times New Roman" w:eastAsia="Times New Roman" w:hAnsi="Times New Roman"/>
                <w:sz w:val="18"/>
                <w:szCs w:val="18"/>
                <w:color w:val="0000FF"/>
                <w:w w:val="99"/>
              </w:rPr>
              <w:t>Consolidated Statements of Cash Flows (Unaudited)</w:t>
            </w:r>
          </w:p>
        </w:tc>
        <w:tc>
          <w:tcPr>
            <w:tcW w:w="860" w:type="dxa"/>
            <w:vAlign w:val="bottom"/>
            <w:tcBorders>
              <w:top w:val="single" w:sz="8" w:color="0000FF"/>
            </w:tcBorders>
            <w:gridSpan w:val="3"/>
          </w:tcPr>
          <w:p>
            <w:pPr>
              <w:spacing w:after="0"/>
              <w:rPr>
                <w:sz w:val="14"/>
                <w:szCs w:val="14"/>
                <w:color w:val="auto"/>
              </w:rPr>
            </w:pPr>
          </w:p>
        </w:tc>
        <w:tc>
          <w:tcPr>
            <w:tcW w:w="5520" w:type="dxa"/>
            <w:vAlign w:val="bottom"/>
            <w:tcBorders>
              <w:top w:val="single" w:sz="8" w:color="CCEEFF"/>
            </w:tcBorders>
            <w:gridSpan w:val="5"/>
          </w:tcPr>
          <w:p>
            <w:pPr>
              <w:spacing w:after="0"/>
              <w:rPr>
                <w:sz w:val="14"/>
                <w:szCs w:val="14"/>
                <w:color w:val="auto"/>
              </w:rPr>
            </w:pPr>
          </w:p>
        </w:tc>
        <w:tc>
          <w:tcPr>
            <w:tcW w:w="7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060" w:type="dxa"/>
            <w:vAlign w:val="bottom"/>
            <w:tcBorders>
              <w:bottom w:val="single" w:sz="8" w:color="0000FF"/>
            </w:tcBorders>
            <w:gridSpan w:val="1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6100" w:type="dxa"/>
            <w:vAlign w:val="bottom"/>
            <w:tcBorders>
              <w:bottom w:val="single" w:sz="8" w:color="CCEEFF"/>
            </w:tcBorders>
            <w:gridSpan w:val="7"/>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7100" w:type="dxa"/>
            <w:vAlign w:val="bottom"/>
            <w:tcBorders>
              <w:bottom w:val="single" w:sz="8" w:color="0000FF"/>
            </w:tcBorders>
            <w:gridSpan w:val="21"/>
          </w:tcPr>
          <w:p>
            <w:pPr>
              <w:spacing w:after="0" w:line="162" w:lineRule="exact"/>
              <w:rPr>
                <w:sz w:val="20"/>
                <w:szCs w:val="20"/>
                <w:color w:val="auto"/>
              </w:rPr>
            </w:pPr>
            <w:r>
              <w:rPr>
                <w:rFonts w:ascii="Times New Roman" w:cs="Times New Roman" w:eastAsia="Times New Roman" w:hAnsi="Times New Roman"/>
                <w:sz w:val="18"/>
                <w:szCs w:val="18"/>
                <w:color w:val="0000FF"/>
                <w:w w:val="99"/>
              </w:rPr>
              <w:t>Item 2 – Management’s Discussion and Analysis of Financial Condition and Results of Operations</w:t>
            </w:r>
          </w:p>
        </w:tc>
        <w:tc>
          <w:tcPr>
            <w:tcW w:w="32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4880" w:type="dxa"/>
            <w:vAlign w:val="bottom"/>
            <w:tcBorders>
              <w:bottom w:val="single" w:sz="8" w:color="0000FF"/>
            </w:tcBorders>
            <w:gridSpan w:val="1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Item 3 – Quantitative and Qualitative Disclosure about Market Risk</w:t>
            </w:r>
          </w:p>
        </w:tc>
        <w:tc>
          <w:tcPr>
            <w:tcW w:w="5480" w:type="dxa"/>
            <w:vAlign w:val="bottom"/>
            <w:tcBorders>
              <w:bottom w:val="single" w:sz="8" w:color="CCEEFF"/>
            </w:tcBorders>
            <w:gridSpan w:val="4"/>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420" w:type="dxa"/>
            <w:vAlign w:val="bottom"/>
            <w:tcBorders>
              <w:bottom w:val="single" w:sz="8" w:color="0000FF"/>
            </w:tcBorders>
            <w:gridSpan w:val="10"/>
          </w:tcPr>
          <w:p>
            <w:pPr>
              <w:spacing w:after="0" w:line="162" w:lineRule="exact"/>
              <w:rPr>
                <w:sz w:val="20"/>
                <w:szCs w:val="20"/>
                <w:color w:val="auto"/>
              </w:rPr>
            </w:pPr>
            <w:r>
              <w:rPr>
                <w:rFonts w:ascii="Times New Roman" w:cs="Times New Roman" w:eastAsia="Times New Roman" w:hAnsi="Times New Roman"/>
                <w:sz w:val="18"/>
                <w:szCs w:val="18"/>
                <w:color w:val="0000FF"/>
                <w:w w:val="99"/>
              </w:rPr>
              <w:t>Item 4 – Controls and Procedures</w:t>
            </w:r>
          </w:p>
        </w:tc>
        <w:tc>
          <w:tcPr>
            <w:tcW w:w="7940" w:type="dxa"/>
            <w:vAlign w:val="bottom"/>
            <w:gridSpan w:val="12"/>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5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top w:val="single" w:sz="8" w:color="0000FF"/>
            </w:tcBorders>
          </w:tcPr>
          <w:p>
            <w:pPr>
              <w:spacing w:after="0"/>
              <w:rPr>
                <w:sz w:val="14"/>
                <w:szCs w:val="14"/>
                <w:color w:val="auto"/>
              </w:rPr>
            </w:pPr>
          </w:p>
        </w:tc>
        <w:tc>
          <w:tcPr>
            <w:tcW w:w="1980" w:type="dxa"/>
            <w:vAlign w:val="bottom"/>
            <w:tcBorders>
              <w:top w:val="single" w:sz="8" w:color="0000FF"/>
              <w:bottom w:val="single" w:sz="8" w:color="0000FF"/>
            </w:tcBorders>
            <w:gridSpan w:val="6"/>
          </w:tcPr>
          <w:p>
            <w:pPr>
              <w:spacing w:after="0" w:line="162" w:lineRule="exact"/>
              <w:rPr>
                <w:sz w:val="20"/>
                <w:szCs w:val="20"/>
                <w:color w:val="auto"/>
              </w:rPr>
            </w:pPr>
            <w:r>
              <w:rPr>
                <w:rFonts w:ascii="Times New Roman" w:cs="Times New Roman" w:eastAsia="Times New Roman" w:hAnsi="Times New Roman"/>
                <w:sz w:val="18"/>
                <w:szCs w:val="18"/>
                <w:color w:val="0000FF"/>
                <w:w w:val="98"/>
              </w:rPr>
              <w:t>Item 1 – Legal Proceedings</w:t>
            </w:r>
          </w:p>
        </w:tc>
        <w:tc>
          <w:tcPr>
            <w:tcW w:w="160" w:type="dxa"/>
            <w:vAlign w:val="bottom"/>
            <w:tcBorders>
              <w:top w:val="single" w:sz="8" w:color="0000FF"/>
            </w:tcBorders>
          </w:tcPr>
          <w:p>
            <w:pPr>
              <w:spacing w:after="0"/>
              <w:rPr>
                <w:sz w:val="14"/>
                <w:szCs w:val="14"/>
                <w:color w:val="auto"/>
              </w:rPr>
            </w:pPr>
          </w:p>
        </w:tc>
        <w:tc>
          <w:tcPr>
            <w:tcW w:w="8220" w:type="dxa"/>
            <w:vAlign w:val="bottom"/>
            <w:tcBorders>
              <w:top w:val="single" w:sz="8" w:color="CCEEFF"/>
            </w:tcBorders>
            <w:gridSpan w:val="15"/>
          </w:tcPr>
          <w:p>
            <w:pPr>
              <w:spacing w:after="0"/>
              <w:rPr>
                <w:sz w:val="14"/>
                <w:szCs w:val="14"/>
                <w:color w:val="auto"/>
              </w:rPr>
            </w:pPr>
          </w:p>
        </w:tc>
        <w:tc>
          <w:tcPr>
            <w:tcW w:w="7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0000FF"/>
            </w:tcBorders>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8"/>
              </w:rPr>
              <w:t>Item 1A – Risk Factors</w:t>
            </w:r>
          </w:p>
        </w:tc>
        <w:tc>
          <w:tcPr>
            <w:tcW w:w="8680" w:type="dxa"/>
            <w:vAlign w:val="bottom"/>
            <w:tcBorders>
              <w:bottom w:val="single" w:sz="8" w:color="CCEEFF"/>
            </w:tcBorders>
            <w:gridSpan w:val="18"/>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360" w:type="dxa"/>
            <w:vAlign w:val="bottom"/>
            <w:gridSpan w:val="22"/>
          </w:tcPr>
          <w:p>
            <w:pPr>
              <w:spacing w:after="0" w:line="162" w:lineRule="exact"/>
              <w:rPr>
                <w:sz w:val="20"/>
                <w:szCs w:val="20"/>
                <w:color w:val="auto"/>
              </w:rPr>
            </w:pPr>
            <w:r>
              <w:rPr>
                <w:rFonts w:ascii="Times New Roman" w:cs="Times New Roman" w:eastAsia="Times New Roman" w:hAnsi="Times New Roman"/>
                <w:sz w:val="18"/>
                <w:szCs w:val="18"/>
                <w:color w:val="0000FF"/>
              </w:rPr>
              <w:t>Item 2 – Unregistered Sales of Equity Securities and Use of Proceeds</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shd w:val="clear" w:color="auto" w:fill="CCEEFF"/>
          </w:tcPr>
          <w:p>
            <w:pPr>
              <w:spacing w:after="0"/>
              <w:rPr>
                <w:sz w:val="14"/>
                <w:szCs w:val="14"/>
                <w:color w:val="auto"/>
              </w:rPr>
            </w:pPr>
          </w:p>
        </w:tc>
        <w:tc>
          <w:tcPr>
            <w:tcW w:w="4980" w:type="dxa"/>
            <w:vAlign w:val="bottom"/>
            <w:tcBorders>
              <w:top w:val="single" w:sz="8" w:color="0000FF"/>
            </w:tcBorders>
            <w:gridSpan w:val="19"/>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3 – Defaults Upon Senior Securities</w:t>
            </w:r>
          </w:p>
        </w:tc>
        <w:tc>
          <w:tcPr>
            <w:tcW w:w="5380" w:type="dxa"/>
            <w:vAlign w:val="bottom"/>
            <w:gridSpan w:val="3"/>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top w:val="single" w:sz="8" w:color="CCEEFF"/>
            </w:tcBorders>
          </w:tcPr>
          <w:p>
            <w:pPr>
              <w:spacing w:after="0"/>
              <w:rPr>
                <w:sz w:val="14"/>
                <w:szCs w:val="14"/>
                <w:color w:val="auto"/>
              </w:rPr>
            </w:pPr>
          </w:p>
        </w:tc>
        <w:tc>
          <w:tcPr>
            <w:tcW w:w="2960" w:type="dxa"/>
            <w:vAlign w:val="bottom"/>
            <w:tcBorders>
              <w:top w:val="single" w:sz="8" w:color="0000FF"/>
            </w:tcBorders>
            <w:gridSpan w:val="11"/>
          </w:tcPr>
          <w:p>
            <w:pPr>
              <w:spacing w:after="0" w:line="162" w:lineRule="exact"/>
              <w:rPr>
                <w:sz w:val="20"/>
                <w:szCs w:val="20"/>
                <w:color w:val="auto"/>
              </w:rPr>
            </w:pPr>
            <w:r>
              <w:rPr>
                <w:rFonts w:ascii="Times New Roman" w:cs="Times New Roman" w:eastAsia="Times New Roman" w:hAnsi="Times New Roman"/>
                <w:sz w:val="18"/>
                <w:szCs w:val="18"/>
                <w:color w:val="0000FF"/>
              </w:rPr>
              <w:t>Item 4 – Mine Safety Disclosure</w:t>
            </w:r>
          </w:p>
        </w:tc>
        <w:tc>
          <w:tcPr>
            <w:tcW w:w="7400" w:type="dxa"/>
            <w:vAlign w:val="bottom"/>
            <w:tcBorders>
              <w:top w:val="single" w:sz="8" w:color="CCEEFF"/>
            </w:tcBorders>
            <w:gridSpan w:val="11"/>
          </w:tcPr>
          <w:p>
            <w:pPr>
              <w:spacing w:after="0"/>
              <w:rPr>
                <w:sz w:val="14"/>
                <w:szCs w:val="14"/>
                <w:color w:val="auto"/>
              </w:rPr>
            </w:pPr>
          </w:p>
        </w:tc>
        <w:tc>
          <w:tcPr>
            <w:tcW w:w="7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top w:val="single" w:sz="8" w:color="0000FF"/>
              <w:bottom w:val="single" w:sz="8" w:color="0000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8"/>
              </w:rPr>
              <w:t>Item 5 – Other Information</w:t>
            </w:r>
          </w:p>
        </w:tc>
        <w:tc>
          <w:tcPr>
            <w:tcW w:w="38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8020" w:type="dxa"/>
            <w:vAlign w:val="bottom"/>
            <w:tcBorders>
              <w:bottom w:val="single" w:sz="8" w:color="CCEEFF"/>
            </w:tcBorders>
            <w:gridSpan w:val="13"/>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0360" w:type="dxa"/>
            <w:vAlign w:val="bottom"/>
            <w:gridSpan w:val="22"/>
          </w:tcPr>
          <w:p>
            <w:pPr>
              <w:spacing w:after="0" w:line="162" w:lineRule="exact"/>
              <w:rPr>
                <w:sz w:val="20"/>
                <w:szCs w:val="20"/>
                <w:color w:val="auto"/>
              </w:rPr>
            </w:pPr>
            <w:r>
              <w:rPr>
                <w:rFonts w:ascii="Times New Roman" w:cs="Times New Roman" w:eastAsia="Times New Roman" w:hAnsi="Times New Roman"/>
                <w:sz w:val="18"/>
                <w:szCs w:val="18"/>
                <w:color w:val="0000FF"/>
              </w:rPr>
              <w:t>Item 6 – Exhibits</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105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Certifications</w:t>
            </w:r>
          </w:p>
        </w:tc>
        <w:tc>
          <w:tcPr>
            <w:tcW w:w="9340" w:type="dxa"/>
            <w:vAlign w:val="bottom"/>
            <w:tcBorders>
              <w:top w:val="single" w:sz="8" w:color="CCEEFF"/>
            </w:tcBorders>
            <w:gridSpan w:val="20"/>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 Financial Statements</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information)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7,501</w:t>
            </w:r>
          </w:p>
        </w:tc>
        <w:tc>
          <w:tcPr>
            <w:tcW w:w="16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12,906</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2,535</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7,104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7,561</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1,318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1,648</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3,069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2,881</w:t>
            </w:r>
          </w:p>
        </w:tc>
      </w:tr>
      <w:tr>
        <w:trPr>
          <w:trHeight w:val="189"/>
        </w:trPr>
        <w:tc>
          <w:tcPr>
            <w:tcW w:w="818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Land and property held for sale</w:t>
            </w: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11,179</w:t>
            </w:r>
          </w:p>
        </w:tc>
      </w:tr>
      <w:tr>
        <w:trPr>
          <w:trHeight w:val="183"/>
        </w:trPr>
        <w:tc>
          <w:tcPr>
            <w:tcW w:w="818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20,283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38,710</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Operating property, net</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253,809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262,417</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172,201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181,542</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Investment and development property, net</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8,353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8,789</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Investment in unconsolidated joint ventures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4,539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4,756</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24,671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25,535</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1,944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2,038</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 net</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299</w:t>
            </w:r>
          </w:p>
        </w:tc>
      </w:tr>
      <w:tr>
        <w:trPr>
          <w:trHeight w:val="189"/>
        </w:trPr>
        <w:tc>
          <w:tcPr>
            <w:tcW w:w="818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8,948</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8,965</w:t>
            </w:r>
          </w:p>
        </w:tc>
      </w:tr>
      <w:tr>
        <w:trPr>
          <w:trHeight w:val="189"/>
        </w:trPr>
        <w:tc>
          <w:tcPr>
            <w:tcW w:w="81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494,860</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533,051</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gridSpan w:val="2"/>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47,826</w:t>
            </w:r>
          </w:p>
        </w:tc>
        <w:tc>
          <w:tcPr>
            <w:tcW w:w="16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43,828</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Film rent payable</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5,481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6,038</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Debt - current portion</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41,464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34,484</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Subordinated debt - current portion</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586</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Taxes payable - current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1,376</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9,893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10,993</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22,198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23,047</w:t>
            </w:r>
          </w:p>
        </w:tc>
      </w:tr>
      <w:tr>
        <w:trPr>
          <w:trHeight w:val="189"/>
        </w:trPr>
        <w:tc>
          <w:tcPr>
            <w:tcW w:w="818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6,569</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6,731</w:t>
            </w:r>
          </w:p>
        </w:tc>
      </w:tr>
      <w:tr>
        <w:trPr>
          <w:trHeight w:val="183"/>
        </w:trPr>
        <w:tc>
          <w:tcPr>
            <w:tcW w:w="818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134,849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127,083</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Debt - long-term portion</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125,459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146,605</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Subordinated debt, net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27,228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27,172</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Noncurrent tax liabilities</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6,234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6,586</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171,793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180,898</w:t>
            </w:r>
          </w:p>
        </w:tc>
      </w:tr>
      <w:tr>
        <w:trPr>
          <w:trHeight w:val="189"/>
        </w:trPr>
        <w:tc>
          <w:tcPr>
            <w:tcW w:w="818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11,569</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11,711</w:t>
            </w:r>
          </w:p>
        </w:tc>
      </w:tr>
      <w:tr>
        <w:trPr>
          <w:trHeight w:val="183"/>
        </w:trPr>
        <w:tc>
          <w:tcPr>
            <w:tcW w:w="818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477,132</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500,055</w:t>
            </w:r>
          </w:p>
        </w:tc>
      </w:tr>
      <w:tr>
        <w:trPr>
          <w:trHeight w:val="183"/>
        </w:trPr>
        <w:tc>
          <w:tcPr>
            <w:tcW w:w="81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57"/>
        </w:trPr>
        <w:tc>
          <w:tcPr>
            <w:tcW w:w="81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Class A non-voting common shares, par value $0.01, 100,000,000 shares authorized,</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33,611,296 issued and 20,675,185 outstanding at March 31, 2024 and</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1"/>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33,602,627 issued and 20,666,516 outstanding at December 31, 2023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157"/>
        </w:trPr>
        <w:tc>
          <w:tcPr>
            <w:tcW w:w="818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Class B voting common shares, par value $0.01, 20,000,000 shares authorized and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21"/>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1,680,590 issued and outstanding at March 31, 2024 and December 31, 2023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57"/>
        </w:trPr>
        <w:tc>
          <w:tcPr>
            <w:tcW w:w="81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Nonvoting preferred shares, par value $0.01, 12,000 shares authorized and no issued</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21"/>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 outstanding shares at March 31, 2024 and December 31, 2023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156,078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155,402</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Retained earnings/(deficits)</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(92,717)</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(79,489)</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Treasury shares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(40,407)</w:t>
            </w: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(40,407)</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(5,211)</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(2,673)</w:t>
            </w:r>
          </w:p>
        </w:tc>
      </w:tr>
      <w:tr>
        <w:trPr>
          <w:trHeight w:val="183"/>
        </w:trPr>
        <w:tc>
          <w:tcPr>
            <w:tcW w:w="81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Reading International, Inc. stockholders’ equity</w:t>
            </w: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17,997</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33,087</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(91)</w:t>
            </w:r>
          </w:p>
        </w:tc>
      </w:tr>
      <w:tr>
        <w:trPr>
          <w:trHeight w:val="183"/>
        </w:trPr>
        <w:tc>
          <w:tcPr>
            <w:tcW w:w="818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17,728</w:t>
            </w:r>
          </w:p>
        </w:tc>
        <w:tc>
          <w:tcPr>
            <w:tcW w:w="1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32,996</w:t>
            </w:r>
          </w:p>
        </w:tc>
      </w:tr>
      <w:tr>
        <w:trPr>
          <w:trHeight w:val="190"/>
        </w:trPr>
        <w:tc>
          <w:tcPr>
            <w:tcW w:w="81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494,860</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533,051</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Consolidated Financial Statements.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rPr>
          <w:sz w:val="20"/>
          <w:szCs w:val="20"/>
          <w:color w:val="auto"/>
        </w:rPr>
      </w:pPr>
      <w:r>
        <w:rPr>
          <w:rFonts w:ascii="Times New Roman" w:cs="Times New Roman" w:eastAsia="Times New Roman" w:hAnsi="Times New Roman"/>
          <w:sz w:val="18"/>
          <w:szCs w:val="18"/>
          <w:i w:val="1"/>
          <w:iCs w:val="1"/>
          <w:color w:val="auto"/>
        </w:rPr>
        <w:t>(Unaudited; U.S. dollars in thousands, except per share data)</w:t>
      </w:r>
    </w:p>
    <w:p>
      <w:pPr>
        <w:spacing w:after="0" w:line="226"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9"/>
        </w:trPr>
        <w:tc>
          <w:tcPr>
            <w:tcW w:w="7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Cinema</w:t>
            </w:r>
          </w:p>
        </w:tc>
        <w:tc>
          <w:tcPr>
            <w:tcW w:w="680" w:type="dxa"/>
            <w:vAlign w:val="bottom"/>
            <w:gridSpan w:val="2"/>
          </w:tcPr>
          <w:p>
            <w:pPr>
              <w:jc w:val="right"/>
              <w:ind w:right="2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41,271</w:t>
            </w:r>
          </w:p>
        </w:tc>
        <w:tc>
          <w:tcPr>
            <w:tcW w:w="220" w:type="dxa"/>
            <w:vAlign w:val="bottom"/>
          </w:tcPr>
          <w:p>
            <w:pPr>
              <w:spacing w:after="0"/>
              <w:rPr>
                <w:sz w:val="16"/>
                <w:szCs w:val="16"/>
                <w:color w:val="auto"/>
              </w:rPr>
            </w:pPr>
          </w:p>
        </w:tc>
        <w:tc>
          <w:tcPr>
            <w:tcW w:w="46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41,987</w:t>
            </w:r>
          </w:p>
        </w:tc>
      </w:tr>
      <w:tr>
        <w:trPr>
          <w:trHeight w:val="189"/>
        </w:trPr>
        <w:tc>
          <w:tcPr>
            <w:tcW w:w="702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3,781</w:t>
            </w:r>
          </w:p>
        </w:tc>
        <w:tc>
          <w:tcPr>
            <w:tcW w:w="2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3,820</w:t>
            </w:r>
          </w:p>
        </w:tc>
      </w:tr>
      <w:tr>
        <w:trPr>
          <w:trHeight w:val="183"/>
        </w:trPr>
        <w:tc>
          <w:tcPr>
            <w:tcW w:w="702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45,052</w:t>
            </w:r>
          </w:p>
        </w:tc>
        <w:tc>
          <w:tcPr>
            <w:tcW w:w="2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45,807</w:t>
            </w:r>
          </w:p>
        </w:tc>
      </w:tr>
      <w:tr>
        <w:trPr>
          <w:trHeight w:val="183"/>
        </w:trPr>
        <w:tc>
          <w:tcPr>
            <w:tcW w:w="70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9"/>
        </w:trPr>
        <w:tc>
          <w:tcPr>
            <w:tcW w:w="7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Cinema</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(40,720)</w:t>
            </w:r>
          </w:p>
        </w:tc>
        <w:tc>
          <w:tcPr>
            <w:tcW w:w="4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(41,654)</w:t>
            </w: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(2,235)</w:t>
            </w: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(2,215)</w:t>
            </w:r>
          </w:p>
        </w:tc>
      </w:tr>
      <w:tr>
        <w:trPr>
          <w:trHeight w:val="189"/>
        </w:trPr>
        <w:tc>
          <w:tcPr>
            <w:tcW w:w="7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(4,205)</w:t>
            </w:r>
          </w:p>
        </w:tc>
        <w:tc>
          <w:tcPr>
            <w:tcW w:w="4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(4,639)</w:t>
            </w: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(5,423)</w:t>
            </w: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(5,179)</w:t>
            </w:r>
          </w:p>
        </w:tc>
      </w:tr>
      <w:tr>
        <w:trPr>
          <w:trHeight w:val="183"/>
        </w:trPr>
        <w:tc>
          <w:tcPr>
            <w:tcW w:w="70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(52,583)</w:t>
            </w:r>
          </w:p>
        </w:tc>
        <w:tc>
          <w:tcPr>
            <w:tcW w:w="22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(53,687)</w:t>
            </w:r>
          </w:p>
        </w:tc>
      </w:tr>
      <w:tr>
        <w:trPr>
          <w:trHeight w:val="183"/>
        </w:trPr>
        <w:tc>
          <w:tcPr>
            <w:tcW w:w="70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(7,531)</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(7,880)</w:t>
            </w:r>
          </w:p>
        </w:tc>
      </w:tr>
      <w:tr>
        <w:trPr>
          <w:trHeight w:val="189"/>
        </w:trPr>
        <w:tc>
          <w:tcPr>
            <w:tcW w:w="7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(5,286)</w:t>
            </w:r>
          </w:p>
        </w:tc>
        <w:tc>
          <w:tcPr>
            <w:tcW w:w="4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(4,117)</w:t>
            </w: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Gain (loss) on sale of assets</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(1,125)</w:t>
            </w: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02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341</w:t>
            </w:r>
          </w:p>
        </w:tc>
        <w:tc>
          <w:tcPr>
            <w:tcW w:w="2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174</w:t>
            </w:r>
          </w:p>
        </w:tc>
      </w:tr>
      <w:tr>
        <w:trPr>
          <w:trHeight w:val="147"/>
        </w:trPr>
        <w:tc>
          <w:tcPr>
            <w:tcW w:w="7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Income (loss) before income tax expense and equity earnings of unconsolidated joint</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238"/>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ventures</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(13,601)</w:t>
            </w: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(11,823)</w:t>
            </w:r>
          </w:p>
        </w:tc>
      </w:tr>
      <w:tr>
        <w:trPr>
          <w:trHeight w:val="189"/>
        </w:trPr>
        <w:tc>
          <w:tcPr>
            <w:tcW w:w="7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Equity earnings of unconsolidated joint ventures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r>
      <w:tr>
        <w:trPr>
          <w:trHeight w:val="183"/>
        </w:trPr>
        <w:tc>
          <w:tcPr>
            <w:tcW w:w="70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(13,626)</w:t>
            </w:r>
          </w:p>
        </w:tc>
        <w:tc>
          <w:tcPr>
            <w:tcW w:w="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(11,804)</w:t>
            </w:r>
          </w:p>
        </w:tc>
      </w:tr>
      <w:tr>
        <w:trPr>
          <w:trHeight w:val="189"/>
        </w:trPr>
        <w:tc>
          <w:tcPr>
            <w:tcW w:w="7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223</w:t>
            </w:r>
          </w:p>
        </w:tc>
        <w:tc>
          <w:tcPr>
            <w:tcW w:w="4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480</w:t>
            </w:r>
          </w:p>
        </w:tc>
      </w:tr>
      <w:tr>
        <w:trPr>
          <w:trHeight w:val="183"/>
        </w:trPr>
        <w:tc>
          <w:tcPr>
            <w:tcW w:w="70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(13,403)</w:t>
            </w:r>
          </w:p>
        </w:tc>
        <w:tc>
          <w:tcPr>
            <w:tcW w:w="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(11,324)</w:t>
            </w:r>
          </w:p>
        </w:tc>
      </w:tr>
      <w:tr>
        <w:trPr>
          <w:trHeight w:val="189"/>
        </w:trPr>
        <w:tc>
          <w:tcPr>
            <w:tcW w:w="7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(175)</w:t>
            </w:r>
          </w:p>
        </w:tc>
        <w:tc>
          <w:tcPr>
            <w:tcW w:w="4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(213)</w:t>
            </w:r>
          </w:p>
        </w:tc>
      </w:tr>
      <w:tr>
        <w:trPr>
          <w:trHeight w:val="203"/>
        </w:trPr>
        <w:tc>
          <w:tcPr>
            <w:tcW w:w="70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income (loss) attributable to Reading International, Inc.</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(13,228)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(11,111)</w:t>
            </w:r>
          </w:p>
        </w:tc>
      </w:tr>
      <w:tr>
        <w:trPr>
          <w:trHeight w:val="183"/>
        </w:trPr>
        <w:tc>
          <w:tcPr>
            <w:tcW w:w="70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2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27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(0.59)</w:t>
            </w:r>
          </w:p>
        </w:tc>
        <w:tc>
          <w:tcPr>
            <w:tcW w:w="2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(0.50)</w:t>
            </w:r>
          </w:p>
        </w:tc>
      </w:tr>
      <w:tr>
        <w:trPr>
          <w:trHeight w:val="196"/>
        </w:trPr>
        <w:tc>
          <w:tcPr>
            <w:tcW w:w="702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(0.59)</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(0.50)</w:t>
            </w:r>
          </w:p>
        </w:tc>
      </w:tr>
      <w:tr>
        <w:trPr>
          <w:trHeight w:val="189"/>
        </w:trPr>
        <w:tc>
          <w:tcPr>
            <w:tcW w:w="7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Weighted average number of shares outstanding–basic</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22,348,994</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22,114,927</w:t>
            </w:r>
          </w:p>
        </w:tc>
      </w:tr>
      <w:tr>
        <w:trPr>
          <w:trHeight w:val="196"/>
        </w:trPr>
        <w:tc>
          <w:tcPr>
            <w:tcW w:w="702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 average number of shares outstanding–diluted</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22,348,994</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22,114,927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Consolidated Financial Statements</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rPr>
          <w:sz w:val="20"/>
          <w:szCs w:val="20"/>
          <w:color w:val="auto"/>
        </w:rPr>
      </w:pPr>
      <w:r>
        <w:rPr>
          <w:rFonts w:ascii="Times New Roman" w:cs="Times New Roman" w:eastAsia="Times New Roman" w:hAnsi="Times New Roman"/>
          <w:sz w:val="18"/>
          <w:szCs w:val="18"/>
          <w:i w:val="1"/>
          <w:iCs w:val="1"/>
          <w:color w:val="auto"/>
        </w:rPr>
        <w:t>(Unaudited; U.S. dollars in thousands)</w:t>
      </w:r>
    </w:p>
    <w:p>
      <w:pPr>
        <w:spacing w:after="0" w:line="226"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20" w:type="dxa"/>
            <w:vAlign w:val="bottom"/>
            <w:tcBorders>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income (loss)</w:t>
            </w:r>
          </w:p>
        </w:tc>
        <w:tc>
          <w:tcPr>
            <w:tcW w:w="1180" w:type="dxa"/>
            <w:vAlign w:val="bottom"/>
            <w:shd w:val="clear" w:color="auto" w:fill="CCEEFF"/>
          </w:tcPr>
          <w:p>
            <w:pPr>
              <w:jc w:val="right"/>
              <w:ind w:right="102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(13,403)</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(11,324)</w:t>
            </w:r>
          </w:p>
        </w:tc>
      </w:tr>
      <w:tr>
        <w:trPr>
          <w:trHeight w:val="189"/>
        </w:trPr>
        <w:tc>
          <w:tcPr>
            <w:tcW w:w="7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gain (loss)</w:t>
            </w:r>
          </w:p>
        </w:tc>
        <w:tc>
          <w:tcPr>
            <w:tcW w:w="1180" w:type="dxa"/>
            <w:vAlign w:val="bottom"/>
          </w:tcPr>
          <w:p>
            <w:pPr>
              <w:spacing w:after="0"/>
              <w:rPr>
                <w:sz w:val="16"/>
                <w:szCs w:val="16"/>
                <w:color w:val="auto"/>
              </w:rPr>
            </w:pPr>
          </w:p>
        </w:tc>
        <w:tc>
          <w:tcPr>
            <w:tcW w:w="94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(2,592)</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(763)</w:t>
            </w:r>
          </w:p>
        </w:tc>
      </w:tr>
      <w:tr>
        <w:trPr>
          <w:trHeight w:val="189"/>
        </w:trPr>
        <w:tc>
          <w:tcPr>
            <w:tcW w:w="7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Gain (loss) on cash flow hedges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(582)</w:t>
            </w:r>
          </w:p>
        </w:tc>
      </w:tr>
      <w:tr>
        <w:trPr>
          <w:trHeight w:val="189"/>
        </w:trPr>
        <w:tc>
          <w:tcPr>
            <w:tcW w:w="722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183"/>
        </w:trPr>
        <w:tc>
          <w:tcPr>
            <w:tcW w:w="7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Comprehensive income (loss)</w:t>
            </w:r>
          </w:p>
        </w:tc>
        <w:tc>
          <w:tcPr>
            <w:tcW w:w="1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(15,944)</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(12,617)</w:t>
            </w:r>
          </w:p>
        </w:tc>
      </w:tr>
      <w:tr>
        <w:trPr>
          <w:trHeight w:val="189"/>
        </w:trPr>
        <w:tc>
          <w:tcPr>
            <w:tcW w:w="7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180" w:type="dxa"/>
            <w:vAlign w:val="bottom"/>
          </w:tcPr>
          <w:p>
            <w:pPr>
              <w:spacing w:after="0"/>
              <w:rPr>
                <w:sz w:val="16"/>
                <w:szCs w:val="16"/>
                <w:color w:val="auto"/>
              </w:rPr>
            </w:pPr>
          </w:p>
        </w:tc>
        <w:tc>
          <w:tcPr>
            <w:tcW w:w="94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(213)</w:t>
            </w:r>
          </w:p>
        </w:tc>
      </w:tr>
      <w:tr>
        <w:trPr>
          <w:trHeight w:val="189"/>
        </w:trPr>
        <w:tc>
          <w:tcPr>
            <w:tcW w:w="7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190"/>
        </w:trPr>
        <w:tc>
          <w:tcPr>
            <w:tcW w:w="72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Comprehensive income (loss)</w:t>
            </w:r>
          </w:p>
        </w:tc>
        <w:tc>
          <w:tcPr>
            <w:tcW w:w="1180" w:type="dxa"/>
            <w:vAlign w:val="bottom"/>
            <w:tcBorders>
              <w:top w:val="single" w:sz="8" w:color="auto"/>
              <w:bottom w:val="single" w:sz="8" w:color="auto"/>
            </w:tcBorders>
          </w:tcPr>
          <w:p>
            <w:pPr>
              <w:jc w:val="right"/>
              <w:ind w:right="102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(15,768)</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(12,403)</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18"/>
          <w:szCs w:val="18"/>
          <w:i w:val="1"/>
          <w:iCs w:val="1"/>
          <w:color w:val="auto"/>
        </w:rPr>
        <w:t>(Unaudited; U.S. dollars in thousands)</w:t>
      </w:r>
    </w:p>
    <w:p>
      <w:pPr>
        <w:spacing w:after="0" w:line="37"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2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8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income (loss)</w:t>
            </w:r>
          </w:p>
        </w:tc>
        <w:tc>
          <w:tcPr>
            <w:tcW w:w="64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(13,403)</w:t>
            </w:r>
          </w:p>
        </w:tc>
        <w:tc>
          <w:tcPr>
            <w:tcW w:w="400" w:type="dxa"/>
            <w:vAlign w:val="bottom"/>
            <w:gridSpan w:val="2"/>
          </w:tcPr>
          <w:p>
            <w:pPr>
              <w:jc w:val="right"/>
              <w:ind w:right="1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(11,324)</w:t>
            </w:r>
          </w:p>
        </w:tc>
      </w:tr>
      <w:tr>
        <w:trPr>
          <w:trHeight w:val="189"/>
        </w:trPr>
        <w:tc>
          <w:tcPr>
            <w:tcW w:w="80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i w:val="1"/>
                <w:iCs w:val="1"/>
                <w:color w:val="auto"/>
              </w:rPr>
              <w:t>Adjustments to reconcile net income (loss) to net cash provided by operating activities:</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Equity earnings of unconsolidated joint ventures</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(Gain) loss recognized on foreign currency transactions</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(Gain) loss on sale of assets</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Amortization of operating leases</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5,414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5,523</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Amortization of finance leases</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Change in operating lease liabilities</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(5,844)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(5,910)</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Change in net deferred tax assets</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4,205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4,639</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 amortization</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400</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Stock based compensation expense</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443</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i w:val="1"/>
                <w:iCs w:val="1"/>
                <w:color w:val="auto"/>
              </w:rPr>
              <w:t>Net changes in operating assets and liabilities:</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80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1,333</w:t>
            </w:r>
          </w:p>
        </w:tc>
      </w:tr>
      <w:tr>
        <w:trPr>
          <w:trHeight w:val="189"/>
        </w:trPr>
        <w:tc>
          <w:tcPr>
            <w:tcW w:w="80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Prepaid and other assets</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(2,142)</w:t>
            </w:r>
          </w:p>
        </w:tc>
      </w:tr>
      <w:tr>
        <w:trPr>
          <w:trHeight w:val="189"/>
        </w:trPr>
        <w:tc>
          <w:tcPr>
            <w:tcW w:w="80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Payments for accrued pension</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r>
      <w:tr>
        <w:trPr>
          <w:trHeight w:val="189"/>
        </w:trPr>
        <w:tc>
          <w:tcPr>
            <w:tcW w:w="80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(1,656)</w:t>
            </w:r>
          </w:p>
        </w:tc>
      </w:tr>
      <w:tr>
        <w:trPr>
          <w:trHeight w:val="189"/>
        </w:trPr>
        <w:tc>
          <w:tcPr>
            <w:tcW w:w="80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Film rent payable</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(1,717)</w:t>
            </w:r>
          </w:p>
        </w:tc>
      </w:tr>
      <w:tr>
        <w:trPr>
          <w:trHeight w:val="189"/>
        </w:trPr>
        <w:tc>
          <w:tcPr>
            <w:tcW w:w="80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Taxes payable</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351</w:t>
            </w:r>
          </w:p>
        </w:tc>
      </w:tr>
      <w:tr>
        <w:trPr>
          <w:trHeight w:val="189"/>
        </w:trPr>
        <w:tc>
          <w:tcPr>
            <w:tcW w:w="80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Deferred revenue and other liabilities</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(1,321)</w:t>
            </w:r>
          </w:p>
        </w:tc>
      </w:tr>
      <w:tr>
        <w:trPr>
          <w:trHeight w:val="183"/>
        </w:trPr>
        <w:tc>
          <w:tcPr>
            <w:tcW w:w="80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(2,770)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(11,552)</w:t>
            </w:r>
          </w:p>
        </w:tc>
      </w:tr>
      <w:tr>
        <w:trPr>
          <w:trHeight w:val="183"/>
        </w:trPr>
        <w:tc>
          <w:tcPr>
            <w:tcW w:w="80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Purchases of and additions to operating and investment properties</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(1,926)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(1,527)</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Contributions to unconsolidated joint ventures</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020" w:type="dxa"/>
            <w:vAlign w:val="bottom"/>
            <w:tcBorders>
              <w:bottom w:val="single" w:sz="8" w:color="auto"/>
            </w:tcBorders>
          </w:tcPr>
          <w:p>
            <w:pPr>
              <w:ind w:left="220"/>
              <w:spacing w:after="0" w:line="189" w:lineRule="exact"/>
              <w:rPr>
                <w:sz w:val="20"/>
                <w:szCs w:val="20"/>
                <w:color w:val="auto"/>
              </w:rPr>
            </w:pPr>
            <w:r>
              <w:rPr>
                <w:rFonts w:ascii="Times New Roman" w:cs="Times New Roman" w:eastAsia="Times New Roman" w:hAnsi="Times New Roman"/>
                <w:sz w:val="18"/>
                <w:szCs w:val="18"/>
                <w:color w:val="auto"/>
              </w:rPr>
              <w:t>Proceeds from sale of assets</w:t>
            </w:r>
          </w:p>
        </w:tc>
        <w:tc>
          <w:tcPr>
            <w:tcW w:w="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9,594</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802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7,637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(1,527)</w:t>
            </w:r>
          </w:p>
        </w:tc>
      </w:tr>
      <w:tr>
        <w:trPr>
          <w:trHeight w:val="183"/>
        </w:trPr>
        <w:tc>
          <w:tcPr>
            <w:tcW w:w="80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Repayment of borrowings</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(11,124)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(1,116)</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Repayment of finance lease principal</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Capitalized borrowing costs</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(154)</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(Cash paid) proceeds from the settlement of employee share transactions</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(131)</w:t>
            </w:r>
          </w:p>
        </w:tc>
      </w:tr>
      <w:tr>
        <w:trPr>
          <w:trHeight w:val="183"/>
        </w:trPr>
        <w:tc>
          <w:tcPr>
            <w:tcW w:w="80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(11,225)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(1,409)</w:t>
            </w:r>
          </w:p>
        </w:tc>
      </w:tr>
      <w:tr>
        <w:trPr>
          <w:trHeight w:val="183"/>
        </w:trPr>
        <w:tc>
          <w:tcPr>
            <w:tcW w:w="80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Effect of exchange rate on cash and restricted cash</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(114)</w:t>
            </w:r>
          </w:p>
        </w:tc>
      </w:tr>
      <w:tr>
        <w:trPr>
          <w:trHeight w:val="189"/>
        </w:trPr>
        <w:tc>
          <w:tcPr>
            <w:tcW w:w="8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(7,109)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(14,602)</w:t>
            </w:r>
          </w:p>
        </w:tc>
      </w:tr>
      <w:tr>
        <w:trPr>
          <w:trHeight w:val="189"/>
        </w:trPr>
        <w:tc>
          <w:tcPr>
            <w:tcW w:w="802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beginning of the period</w:t>
            </w:r>
          </w:p>
        </w:tc>
        <w:tc>
          <w:tcPr>
            <w:tcW w:w="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15,441</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34,979</w:t>
            </w:r>
          </w:p>
        </w:tc>
      </w:tr>
      <w:tr>
        <w:trPr>
          <w:trHeight w:val="190"/>
        </w:trPr>
        <w:tc>
          <w:tcPr>
            <w:tcW w:w="802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end of the period</w:t>
            </w: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8,332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20,377</w:t>
            </w:r>
          </w:p>
        </w:tc>
      </w:tr>
      <w:tr>
        <w:trPr>
          <w:trHeight w:val="189"/>
        </w:trPr>
        <w:tc>
          <w:tcPr>
            <w:tcW w:w="8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8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consists of:</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7,501</w:t>
            </w:r>
          </w:p>
        </w:tc>
        <w:tc>
          <w:tcPr>
            <w:tcW w:w="80" w:type="dxa"/>
            <w:vAlign w:val="bottom"/>
          </w:tcPr>
          <w:p>
            <w:pPr>
              <w:spacing w:after="0"/>
              <w:rPr>
                <w:sz w:val="16"/>
                <w:szCs w:val="16"/>
                <w:color w:val="auto"/>
              </w:rPr>
            </w:pPr>
          </w:p>
        </w:tc>
        <w:tc>
          <w:tcPr>
            <w:tcW w:w="400" w:type="dxa"/>
            <w:vAlign w:val="bottom"/>
            <w:gridSpan w:val="2"/>
          </w:tcPr>
          <w:p>
            <w:pPr>
              <w:jc w:val="right"/>
              <w:ind w:right="1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14,628</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5,749</w:t>
            </w:r>
          </w:p>
        </w:tc>
      </w:tr>
      <w:tr>
        <w:trPr>
          <w:trHeight w:val="190"/>
        </w:trPr>
        <w:tc>
          <w:tcPr>
            <w:tcW w:w="8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8,332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20,377</w:t>
            </w:r>
          </w:p>
        </w:tc>
      </w:tr>
      <w:tr>
        <w:trPr>
          <w:trHeight w:val="574"/>
        </w:trPr>
        <w:tc>
          <w:tcPr>
            <w:tcW w:w="802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r>
      <w:tr>
        <w:trPr>
          <w:trHeight w:val="189"/>
        </w:trPr>
        <w:tc>
          <w:tcPr>
            <w:tcW w:w="8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Interest paid</w:t>
            </w:r>
          </w:p>
        </w:tc>
        <w:tc>
          <w:tcPr>
            <w:tcW w:w="64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4,858</w:t>
            </w:r>
          </w:p>
        </w:tc>
        <w:tc>
          <w:tcPr>
            <w:tcW w:w="80" w:type="dxa"/>
            <w:vAlign w:val="bottom"/>
          </w:tcPr>
          <w:p>
            <w:pPr>
              <w:spacing w:after="0"/>
              <w:rPr>
                <w:sz w:val="16"/>
                <w:szCs w:val="16"/>
                <w:color w:val="auto"/>
              </w:rPr>
            </w:pPr>
          </w:p>
        </w:tc>
        <w:tc>
          <w:tcPr>
            <w:tcW w:w="400" w:type="dxa"/>
            <w:vAlign w:val="bottom"/>
            <w:gridSpan w:val="2"/>
          </w:tcPr>
          <w:p>
            <w:pPr>
              <w:jc w:val="right"/>
              <w:ind w:right="1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4,374</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Income taxes (refunded) paid</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57</w:t>
            </w:r>
          </w:p>
        </w:tc>
      </w:tr>
      <w:tr>
        <w:trPr>
          <w:trHeight w:val="189"/>
        </w:trPr>
        <w:tc>
          <w:tcPr>
            <w:tcW w:w="80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Non-Cash Transactions</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Additions to operating and investing properties through accrued expenses</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2,475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3,127</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Consolidated Financial Statements</w:t>
      </w:r>
      <w:r>
        <w:rPr>
          <w:rFonts w:ascii="Times New Roman" w:cs="Times New Roman" w:eastAsia="Times New Roman" w:hAnsi="Times New Roman"/>
          <w:sz w:val="14"/>
          <w:szCs w:val="14"/>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(Unaudited)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Segment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Company</w:t>
      </w:r>
    </w:p>
    <w:p>
      <w:pPr>
        <w:spacing w:after="0" w:line="20"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Reading International, Inc., a Nevada corporation (“RDI” and collectively with our consolidated subsidiaries and corporate predecessors, the “Company,” “Reading,” and “we,” “us,” or “our”) was incorporated in 1999. Our businesses, owned and operated through our various subsidiaries, consist primarily of:</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development, ownership, and operation of cinemas in the United States, Australia, and New Zealand; and</w:t>
      </w:r>
    </w:p>
    <w:p>
      <w:pPr>
        <w:spacing w:after="0" w:line="76" w:lineRule="exact"/>
        <w:rPr>
          <w:sz w:val="20"/>
          <w:szCs w:val="20"/>
          <w:color w:val="auto"/>
        </w:rPr>
      </w:pPr>
    </w:p>
    <w:p>
      <w:pPr>
        <w:ind w:left="660" w:right="380"/>
        <w:spacing w:after="0" w:line="266" w:lineRule="auto"/>
        <w:rPr>
          <w:sz w:val="20"/>
          <w:szCs w:val="20"/>
          <w:color w:val="auto"/>
        </w:rPr>
      </w:pPr>
      <w:r>
        <w:rPr>
          <w:rFonts w:ascii="Times New Roman" w:cs="Times New Roman" w:eastAsia="Times New Roman" w:hAnsi="Times New Roman"/>
          <w:sz w:val="18"/>
          <w:szCs w:val="18"/>
          <w:color w:val="auto"/>
        </w:rPr>
        <w:t>the development, ownership, operation and/or rental of retail, commercial and live venue real estate assets in Australia, New Zealand, and the United States.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Segments</w:t>
      </w:r>
    </w:p>
    <w:p>
      <w:pPr>
        <w:spacing w:after="0" w:line="20" w:lineRule="exact"/>
        <w:rPr>
          <w:sz w:val="20"/>
          <w:szCs w:val="20"/>
          <w:color w:val="auto"/>
        </w:rPr>
      </w:pPr>
    </w:p>
    <w:p>
      <w:pPr>
        <w:ind w:right="420"/>
        <w:spacing w:after="0" w:line="234" w:lineRule="auto"/>
        <w:rPr>
          <w:sz w:val="20"/>
          <w:szCs w:val="20"/>
          <w:color w:val="auto"/>
        </w:rPr>
      </w:pPr>
      <w:r>
        <w:rPr>
          <w:rFonts w:ascii="Times New Roman" w:cs="Times New Roman" w:eastAsia="Times New Roman" w:hAnsi="Times New Roman"/>
          <w:sz w:val="18"/>
          <w:szCs w:val="18"/>
          <w:color w:val="auto"/>
        </w:rPr>
        <w:t>Reported below are the operating segments of our Company for which separate financial information is available and evaluated regularly by the Chief Executive Officer, the chief operating decision-maker of our Company. As part of our real estate activities, we hold undeveloped land in urban and suburban centers in the United States and New Zealand.</w:t>
      </w:r>
    </w:p>
    <w:p>
      <w:pPr>
        <w:spacing w:after="0" w:line="144" w:lineRule="exact"/>
        <w:rPr>
          <w:sz w:val="20"/>
          <w:szCs w:val="20"/>
          <w:color w:val="auto"/>
        </w:rPr>
      </w:pPr>
    </w:p>
    <w:p>
      <w:pPr>
        <w:jc w:val="both"/>
        <w:ind w:right="400"/>
        <w:spacing w:after="0" w:line="242" w:lineRule="auto"/>
        <w:rPr>
          <w:sz w:val="20"/>
          <w:szCs w:val="20"/>
          <w:color w:val="auto"/>
        </w:rPr>
      </w:pPr>
      <w:r>
        <w:rPr>
          <w:rFonts w:ascii="Times New Roman" w:cs="Times New Roman" w:eastAsia="Times New Roman" w:hAnsi="Times New Roman"/>
          <w:sz w:val="18"/>
          <w:szCs w:val="18"/>
          <w:color w:val="auto"/>
        </w:rPr>
        <w:t>The table below summarizes the results of operations for each of our business segments for the quarter ended March 31, 2024, and 2023, respectively. Operating expense includes costs associated with the day-to-day operations of the cinemas and the management of rental properties, including our live theatre assets.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gridSpan w:val="3"/>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Cinema exhibition</w:t>
            </w:r>
          </w:p>
        </w:tc>
        <w:tc>
          <w:tcPr>
            <w:tcW w:w="680" w:type="dxa"/>
            <w:vAlign w:val="bottom"/>
            <w:gridSpan w:val="2"/>
          </w:tcPr>
          <w:p>
            <w:pPr>
              <w:jc w:val="right"/>
              <w:ind w:right="2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41,271</w:t>
            </w:r>
          </w:p>
        </w:tc>
        <w:tc>
          <w:tcPr>
            <w:tcW w:w="220" w:type="dxa"/>
            <w:vAlign w:val="bottom"/>
          </w:tcPr>
          <w:p>
            <w:pPr>
              <w:spacing w:after="0"/>
              <w:rPr>
                <w:sz w:val="16"/>
                <w:szCs w:val="16"/>
                <w:color w:val="auto"/>
              </w:rPr>
            </w:pPr>
          </w:p>
        </w:tc>
        <w:tc>
          <w:tcPr>
            <w:tcW w:w="68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41,987</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4,933</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189"/>
        </w:trPr>
        <w:tc>
          <w:tcPr>
            <w:tcW w:w="70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Inter-segment elimination</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(1,152)</w:t>
            </w:r>
          </w:p>
        </w:tc>
        <w:tc>
          <w:tcPr>
            <w:tcW w:w="6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45,052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45,807</w:t>
            </w:r>
          </w:p>
        </w:tc>
        <w:tc>
          <w:tcPr>
            <w:tcW w:w="0" w:type="dxa"/>
            <w:vAlign w:val="bottom"/>
          </w:tcPr>
          <w:p>
            <w:pPr>
              <w:spacing w:after="0"/>
              <w:rPr>
                <w:sz w:val="1"/>
                <w:szCs w:val="1"/>
                <w:color w:val="auto"/>
              </w:rPr>
            </w:pPr>
          </w:p>
        </w:tc>
      </w:tr>
      <w:tr>
        <w:trPr>
          <w:trHeight w:val="176"/>
        </w:trPr>
        <w:tc>
          <w:tcPr>
            <w:tcW w:w="7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Cinema exhibition</w:t>
            </w:r>
          </w:p>
        </w:tc>
        <w:tc>
          <w:tcPr>
            <w:tcW w:w="680" w:type="dxa"/>
            <w:vAlign w:val="bottom"/>
            <w:gridSpan w:val="2"/>
            <w:shd w:val="clear" w:color="auto" w:fill="CCEEFF"/>
          </w:tcPr>
          <w:p>
            <w:pPr>
              <w:jc w:val="right"/>
              <w:ind w:right="2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(4,165)</w:t>
            </w:r>
          </w:p>
        </w:tc>
        <w:tc>
          <w:tcPr>
            <w:tcW w:w="680" w:type="dxa"/>
            <w:vAlign w:val="bottom"/>
            <w:shd w:val="clear" w:color="auto" w:fill="CCEEFF"/>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(4,612)</w:t>
            </w:r>
          </w:p>
        </w:tc>
        <w:tc>
          <w:tcPr>
            <w:tcW w:w="0" w:type="dxa"/>
            <w:vAlign w:val="bottom"/>
          </w:tcPr>
          <w:p>
            <w:pPr>
              <w:spacing w:after="0"/>
              <w:rPr>
                <w:sz w:val="1"/>
                <w:szCs w:val="1"/>
                <w:color w:val="auto"/>
              </w:rPr>
            </w:pPr>
          </w:p>
        </w:tc>
      </w:tr>
      <w:tr>
        <w:trPr>
          <w:trHeight w:val="189"/>
        </w:trPr>
        <w:tc>
          <w:tcPr>
            <w:tcW w:w="7020" w:type="dxa"/>
            <w:vAlign w:val="bottom"/>
            <w:tcBorders>
              <w:bottom w:val="single" w:sz="8" w:color="CCEEFF"/>
            </w:tcBorders>
          </w:tcPr>
          <w:p>
            <w:pPr>
              <w:ind w:left="140"/>
              <w:spacing w:after="0" w:line="189" w:lineRule="exact"/>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890</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03"/>
        </w:trPr>
        <w:tc>
          <w:tcPr>
            <w:tcW w:w="70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(3,275)</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(3,606)</w:t>
            </w:r>
          </w:p>
        </w:tc>
        <w:tc>
          <w:tcPr>
            <w:tcW w:w="0" w:type="dxa"/>
            <w:vAlign w:val="bottom"/>
          </w:tcPr>
          <w:p>
            <w:pPr>
              <w:spacing w:after="0"/>
              <w:rPr>
                <w:sz w:val="1"/>
                <w:szCs w:val="1"/>
                <w:color w:val="auto"/>
              </w:rPr>
            </w:pPr>
          </w:p>
        </w:tc>
      </w:tr>
      <w:tr>
        <w:trPr>
          <w:trHeight w:val="37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segment operating income to income before income taxes is as follows:</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20" w:type="dxa"/>
            <w:vAlign w:val="bottom"/>
            <w:gridSpan w:val="3"/>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(3,275)</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189"/>
        </w:trPr>
        <w:tc>
          <w:tcPr>
            <w:tcW w:w="7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Unallocated corporate expense</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6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89"/>
        </w:trPr>
        <w:tc>
          <w:tcPr>
            <w:tcW w:w="70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(4,154)</w:t>
            </w:r>
          </w:p>
        </w:tc>
        <w:tc>
          <w:tcPr>
            <w:tcW w:w="6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(4,095)</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(5,286)</w:t>
            </w:r>
          </w:p>
        </w:tc>
        <w:tc>
          <w:tcPr>
            <w:tcW w:w="6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189"/>
        </w:trPr>
        <w:tc>
          <w:tcPr>
            <w:tcW w:w="7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Equity earnings of unconsolidated joint ventures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6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Gain (loss) on sale of assets</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(1,125)</w:t>
            </w:r>
          </w:p>
        </w:tc>
        <w:tc>
          <w:tcPr>
            <w:tcW w:w="6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02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341</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89"/>
        </w:trPr>
        <w:tc>
          <w:tcPr>
            <w:tcW w:w="70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(13,626)</w:t>
            </w: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(11,804)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Consolidation</w:t>
      </w:r>
    </w:p>
    <w:p>
      <w:pPr>
        <w:spacing w:after="0" w:line="2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our Company’s wholly-owned subsidiaries as well as majority-owned subsidiaries that our Company controls, and should be read in conjunction with our Company’s Annual Report on Form 10-K as of and for the year ended December 31, 2023 (“2023 Form 10-K”). All significant intercompany balances and transactions have been eliminated on consolidation. These consolidated financial statements were prepared in accordance with accounting principles generally accepted in the United States of America (“U.S. GAAP”) for interim reporting with the instructions for Form 10-Q and Rule 10-01 of Regulation S-X of the Securities and Exchange Commission (“SEC”). As such, they do not include all information and footnotes required by U.S. GAAP for complete financial statements. We believe that we have included all normal and recurring adjustments necessary for a fair presentation of the results for the interim period.</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results for the quarter ended March 31, 2024, are not necessarily indicative of the results that may be expected for the year ending December 31,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2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the consolidated financial statements and footnotes thereto. Significant estimates include (i) projections we make regarding the recoverability and impairment of our assets (including goodwill and intangibles), (ii) valuations of our derivative instruments, (iii) recoverability of our deferred tax assets, (iv) estimation of breakage and redemption experience rates, which drive how we recognize breakage on our gift card and gift certificates, and revenue from our customer loyalty program, and (v) estimation of our Incremental Borrowing Rate (“IBR”) as relates to the valuation of our right-of-use assets and lease liabilities. Actual results may differ from those estimates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ind w:right="300"/>
        <w:spacing w:after="0" w:line="255" w:lineRule="auto"/>
        <w:rPr>
          <w:sz w:val="20"/>
          <w:szCs w:val="20"/>
          <w:color w:val="auto"/>
        </w:rPr>
      </w:pPr>
      <w:r>
        <w:rPr>
          <w:rFonts w:ascii="Times New Roman" w:cs="Times New Roman" w:eastAsia="Times New Roman" w:hAnsi="Times New Roman"/>
          <w:sz w:val="18"/>
          <w:szCs w:val="18"/>
          <w:b w:val="1"/>
          <w:bCs w:val="1"/>
          <w:color w:val="auto"/>
        </w:rPr>
        <w:t>Note 3 – Impacts on our Business Due to the COVID-19 Pandemic, the 2023 Hollywood Strikes, the Dramatic Interest Rate Rise and Increased Operating Costs, together with our Company’s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8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COVID-19 has materially impacted our business since the declaration of a global pandemic in March 2020. Having navigated mandated global closures during the pandemic, our cinema operations were, again, materially disrupted and materially adversely impacted by the 2023 strikes by the Writers Guild of America (WGA) and the American actors’ union SAG-AFTRA (Screen Actors Guild-American Federation of Television and Radio Artists) (SAG) over labor disputes with the Alliance of Motion Picture and Television Producers (AMPTP). Also, between March 2022 and July 2023, the Federal Reserve increased the Federal Funds rate from 0.25% to 5.5%, which represented the fastest interest rate tightening in U.S. history.</w:t>
      </w:r>
    </w:p>
    <w:p>
      <w:pPr>
        <w:spacing w:after="0" w:line="148"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Due to these and other factors, we are experiencing, among other things, soft cinema revenues, increasing costs related to inventory, labor and utilities, and many of our U.S. cinemas are obligated to repay rent deferrals to our landlords as negotiated in 2020-2024. In addition, some of our cinemas are facing automatic rent increases. Cost-reduction efforts in our cinema operating segment continue, including, but not limited to, restricting essential operating expenditures to the minimum levels necessary, reducing employment and utilities costs, and minimizing capital outlays. We continue to work with our landlords to manage our rent obligations. We believe that our film revenues have been adversely impacted by decisions by major film distributors to delay the release of major motion pictures during the 2023 Hollywood Strikes and by the unavailability of actors to promote those pictures that were released during this period. These adverse impacts have carried over into our first quarter.</w:t>
      </w:r>
    </w:p>
    <w:p>
      <w:pPr>
        <w:spacing w:after="0" w:line="146" w:lineRule="exact"/>
        <w:rPr>
          <w:sz w:val="20"/>
          <w:szCs w:val="20"/>
          <w:color w:val="auto"/>
        </w:rPr>
      </w:pPr>
    </w:p>
    <w:p>
      <w:pPr>
        <w:ind w:right="1840"/>
        <w:spacing w:after="0" w:line="452" w:lineRule="auto"/>
        <w:rPr>
          <w:sz w:val="20"/>
          <w:szCs w:val="20"/>
          <w:color w:val="auto"/>
        </w:rPr>
      </w:pPr>
      <w:r>
        <w:rPr>
          <w:rFonts w:ascii="Times New Roman" w:cs="Times New Roman" w:eastAsia="Times New Roman" w:hAnsi="Times New Roman"/>
          <w:sz w:val="18"/>
          <w:szCs w:val="18"/>
          <w:color w:val="auto"/>
        </w:rPr>
        <w:t xml:space="preserve">Our Real Estate operating segment has been less impacted by the COVID-19 pandemic and is generating the expected cash flows. </w:t>
      </w:r>
      <w:r>
        <w:rPr>
          <w:rFonts w:ascii="Times New Roman" w:cs="Times New Roman" w:eastAsia="Times New Roman" w:hAnsi="Times New Roman"/>
          <w:sz w:val="18"/>
          <w:szCs w:val="18"/>
          <w:u w:val="single" w:color="auto"/>
          <w:color w:val="auto"/>
        </w:rPr>
        <w:t>Going Concern</w:t>
      </w:r>
    </w:p>
    <w:p>
      <w:pPr>
        <w:spacing w:after="0" w:line="1"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8"/>
          <w:szCs w:val="18"/>
          <w:color w:val="auto"/>
        </w:rPr>
        <w:t xml:space="preserve">We continue to evaluate the going concern assertion required by </w:t>
      </w:r>
      <w:r>
        <w:rPr>
          <w:rFonts w:ascii="Times New Roman" w:cs="Times New Roman" w:eastAsia="Times New Roman" w:hAnsi="Times New Roman"/>
          <w:sz w:val="18"/>
          <w:szCs w:val="18"/>
          <w:i w:val="1"/>
          <w:iCs w:val="1"/>
          <w:color w:val="auto"/>
        </w:rPr>
        <w:t>ASC 205-40 Going Concern</w:t>
      </w:r>
      <w:r>
        <w:rPr>
          <w:rFonts w:ascii="Times New Roman" w:cs="Times New Roman" w:eastAsia="Times New Roman" w:hAnsi="Times New Roman"/>
          <w:sz w:val="18"/>
          <w:szCs w:val="18"/>
          <w:color w:val="auto"/>
        </w:rPr>
        <w:t xml:space="preserve"> as it relates to our Company. The evaluation of the going concern assertion involves firstly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determine whether it is probable that our plans will mitigate the consequential going concern substantial doubt. Our evaluation is informed by current liquidity positions, debt obligations, cash flow estimates, known capital and other expenditure requirements and commitments and our current business plan and strategies. Our Company’s business plan - two businesses (real estate and cinema) in three countries (Australia, New Zealand and the U.S.) - has served us well since the onset of COVID-19 and is key to management’s overall evaluation of </w:t>
      </w:r>
      <w:r>
        <w:rPr>
          <w:rFonts w:ascii="Times New Roman" w:cs="Times New Roman" w:eastAsia="Times New Roman" w:hAnsi="Times New Roman"/>
          <w:sz w:val="18"/>
          <w:szCs w:val="18"/>
          <w:i w:val="1"/>
          <w:iCs w:val="1"/>
          <w:color w:val="auto"/>
        </w:rPr>
        <w:t>ASC 205-40 Going Concern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As of the end of the first quarter, 2024, we have $41.9 million of debt due in twelve months. At March 31, 2024, we have cash of $7.5 million and negative working capital of $114.6 million. In order to alleviate doubt that our Company will be able to generate sufficient cash flows for the coming twelve-months, these loans need to be refinanced and our revenues and net income need to improve through improved operations and asset monetization.</w:t>
      </w:r>
    </w:p>
    <w:p>
      <w:pPr>
        <w:spacing w:after="0" w:line="157"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In April 2024, we exercised our first option to extend our Union Square financing facility, extending the maturity date of that loan ($47.1 million at March 31, 2024) to May 6, 2025. We also obtained an extension of our NAB facility ($65.2 million at March 31, 2024), extending the maturity date of that loan to July 31, 2026. This extension also includes a bridge loan in the amount of AU$20.0 million, maturing on March 31, 2025, subject to prepayment obligations from the net sales proceeds of certain assets. We are in discussions with and believe that we will be able to reach mutually acceptable terms with respect to our Santander ($8.0 million, due second quarter of 2024), Cinemas 123 ($20.9 million, due third quarter of 2024) and our Westpac</w:t>
      </w:r>
    </w:p>
    <w:p>
      <w:pPr>
        <w:spacing w:after="0"/>
        <w:rPr>
          <w:sz w:val="20"/>
          <w:szCs w:val="20"/>
          <w:color w:val="auto"/>
        </w:rPr>
      </w:pPr>
      <w:r>
        <w:rPr>
          <w:rFonts w:ascii="Times New Roman" w:cs="Times New Roman" w:eastAsia="Times New Roman" w:hAnsi="Times New Roman"/>
          <w:sz w:val="18"/>
          <w:szCs w:val="18"/>
          <w:color w:val="auto"/>
        </w:rPr>
        <w:t>($8.3 million, due first quarter of 2025) credit facilities.</w:t>
      </w:r>
    </w:p>
    <w:p>
      <w:pPr>
        <w:spacing w:after="0" w:line="15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 xml:space="preserve">We believe that the global cinema industry will continue to improve in the last half of 2024 and 2025. This belief underpins our forecasts and cash flow projections. Our forecasts rely upon, among other things, the market reception to current films such as </w:t>
      </w:r>
      <w:r>
        <w:rPr>
          <w:rFonts w:ascii="Times New Roman" w:cs="Times New Roman" w:eastAsia="Times New Roman" w:hAnsi="Times New Roman"/>
          <w:sz w:val="18"/>
          <w:szCs w:val="18"/>
          <w:i w:val="1"/>
          <w:iCs w:val="1"/>
          <w:color w:val="auto"/>
        </w:rPr>
        <w:t>Inside Out 2, Deadpool and Wolverine Despicable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 4</w:t>
      </w:r>
      <w:r>
        <w:rPr>
          <w:rFonts w:ascii="Times New Roman" w:cs="Times New Roman" w:eastAsia="Times New Roman" w:hAnsi="Times New Roman"/>
          <w:sz w:val="18"/>
          <w:szCs w:val="18"/>
          <w:color w:val="auto"/>
        </w:rPr>
        <w:t>, the current industry movie release schedule, which demonstrates an increased number of movies to be released from the major studios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an improvement in the quality of the movie titles, and the public’s demonstrable desire to attend movies in a theatrical environment. These named factors are both out of Management’s control and are material, individually and in the aggregate, to the realization of Management’s forecasts and expectations. In the event that our forecasts and cash flow estimates, and our reasonable refinancing expectations, do not come to fruition to the extent needed to provide sufficient funding, we are willing and able to pursue additional asset monetizations. Since 2021, we have demonstrated our ability to complete such real estate transactions.</w:t>
      </w:r>
    </w:p>
    <w:p>
      <w:pPr>
        <w:spacing w:after="0" w:line="15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 xml:space="preserve">In conclusion, as of the date of issuance of these financial statements, based on our evaluation of </w:t>
      </w:r>
      <w:r>
        <w:rPr>
          <w:rFonts w:ascii="Times New Roman" w:cs="Times New Roman" w:eastAsia="Times New Roman" w:hAnsi="Times New Roman"/>
          <w:sz w:val="18"/>
          <w:szCs w:val="18"/>
          <w:i w:val="1"/>
          <w:iCs w:val="1"/>
          <w:color w:val="auto"/>
        </w:rPr>
        <w:t>ASC 205-40 Going Concern</w:t>
      </w:r>
      <w:r>
        <w:rPr>
          <w:rFonts w:ascii="Times New Roman" w:cs="Times New Roman" w:eastAsia="Times New Roman" w:hAnsi="Times New Roman"/>
          <w:sz w:val="18"/>
          <w:szCs w:val="18"/>
          <w:color w:val="auto"/>
        </w:rPr>
        <w:t xml:space="preserve"> and the current conditions and events, considered in the aggregate, and our various plans for enhancing liquidity and the extent to which those plans are progressing, we conclude that our plans are probable of being implemented and that they alleviate the substantial doubt about our Company’s ability to continue as a going concern.</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Impairment Considerations</w:t>
      </w:r>
    </w:p>
    <w:p>
      <w:pPr>
        <w:spacing w:after="0" w:line="18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Our Company considers that the events and factors described above constitute impairment indicators under </w:t>
      </w:r>
      <w:r>
        <w:rPr>
          <w:rFonts w:ascii="Times New Roman" w:cs="Times New Roman" w:eastAsia="Times New Roman" w:hAnsi="Times New Roman"/>
          <w:sz w:val="18"/>
          <w:szCs w:val="18"/>
          <w:i w:val="1"/>
          <w:iCs w:val="1"/>
          <w:color w:val="auto"/>
        </w:rPr>
        <w:t>ASC 360 Property, Plant and Equipment</w:t>
      </w:r>
      <w:r>
        <w:rPr>
          <w:rFonts w:ascii="Times New Roman" w:cs="Times New Roman" w:eastAsia="Times New Roman" w:hAnsi="Times New Roman"/>
          <w:sz w:val="18"/>
          <w:szCs w:val="18"/>
          <w:color w:val="auto"/>
        </w:rPr>
        <w:t>. At December 31, 2023, our Company performed a quantitative recoverability test of the carrying values of all its asset groups. Our Company estimated the undiscounted future cash flows expected to result from the use of these asset groups and found that no impairment charge was necessary. As noted above, the financial performance of our cinemas has been improving. This improved performance at an asset group level, and the impact of this performance on our impairment modelling, resulted in no impairment charges being recognized for the first three months of 2024. Actual performance against our forecasts is dependent on several variables and conditions, many of which are subject to the uncertainties associated with among other things, the factors presented above, and as a result, actual results may materially differ from management’s estimates.</w:t>
      </w:r>
    </w:p>
    <w:p>
      <w:pPr>
        <w:spacing w:after="0" w:line="158"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18"/>
          <w:szCs w:val="18"/>
          <w:color w:val="auto"/>
        </w:rPr>
        <w:t xml:space="preserve">Our Company also considers that the events and factors described above continue to constitute impairment indicators under </w:t>
      </w:r>
      <w:r>
        <w:rPr>
          <w:rFonts w:ascii="Times New Roman" w:cs="Times New Roman" w:eastAsia="Times New Roman" w:hAnsi="Times New Roman"/>
          <w:sz w:val="18"/>
          <w:szCs w:val="18"/>
          <w:i w:val="1"/>
          <w:iCs w:val="1"/>
          <w:color w:val="auto"/>
        </w:rPr>
        <w:t>ASC 350 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Our Company performed a quantitative goodwill impairment test and determined that our goodwill was not impaired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Given the continuing improvements in trading conditions, no impairment charges were recorded in the first three months of 2024. Actual performance against our forecasts is dependent on several variables and conditions, including among other things, the factors presented above, and as a result, actual results may materially differ from management’s estimates.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Operations in Foreign Currency</w:t>
      </w:r>
    </w:p>
    <w:p>
      <w:pPr>
        <w:spacing w:after="0" w:line="18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have significant assets in Australia and New Zealand. Historically, we have conducted our Australian and New Zealand operations (collectively “foreign operations”) on a self-funding basis, where we use cash flows generated by our foreign operations to pay for the expenses of those foreign operations. However, in recent periods, cash flows from our overseas operations have been used to cover our domestic general and administrative costs, interest expense, and loss from our domestic cinema operations. Our Australian and New Zealand assets and liabilities are translated from their functional currencies of Australian dollar (“AU$”) and New Zealand dollar (“NZ$”), respectively, to the U.S. dollar based on the exchange rate as of March 31, 2024. The carrying value of the assets and liabilities of our foreign operations fluctuates as a result of changes in the exchange rates between the functional currencies of the foreign operations and the U.S. dollar. The translation adjustments are accumulated in the Accumulated Other Comprehensive Income in the Consolidated Balance Sheets.</w:t>
      </w:r>
    </w:p>
    <w:p>
      <w:pPr>
        <w:spacing w:after="0" w:line="162"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Due to the natural-hedge nature of our funding policy with respect to our operating costs, we have not historically used derivative financial instruments to hedge against the risk of foreign currency exposure. We take a global view of our financial resources and are flexible in making use of resources from one jurisdiction in other jurisdictions.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in the table below are the currency exchange rates for Australia and New Zealand: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Foreign Currency / USD</w:t>
            </w:r>
          </w:p>
        </w:tc>
        <w:tc>
          <w:tcPr>
            <w:tcW w:w="1640" w:type="dxa"/>
            <w:vAlign w:val="bottom"/>
            <w:tcBorders>
              <w:bottom w:val="single" w:sz="8" w:color="auto"/>
            </w:tcBorders>
          </w:tcPr>
          <w:p>
            <w:pPr>
              <w:spacing w:after="0"/>
              <w:rPr>
                <w:sz w:val="16"/>
                <w:szCs w:val="16"/>
                <w:color w:val="auto"/>
              </w:rPr>
            </w:pPr>
          </w:p>
        </w:tc>
      </w:tr>
      <w:tr>
        <w:trPr>
          <w:trHeight w:val="124"/>
        </w:trPr>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740" w:type="dxa"/>
            <w:vAlign w:val="bottom"/>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As of and</w:t>
            </w:r>
          </w:p>
        </w:tc>
        <w:tc>
          <w:tcPr>
            <w:tcW w:w="2460" w:type="dxa"/>
            <w:vAlign w:val="bottom"/>
            <w:gridSpan w:val="3"/>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As of and</w:t>
            </w:r>
          </w:p>
        </w:tc>
        <w:tc>
          <w:tcPr>
            <w:tcW w:w="1640" w:type="dxa"/>
            <w:vAlign w:val="bottom"/>
          </w:tcPr>
          <w:p>
            <w:pPr>
              <w:jc w:val="center"/>
              <w:ind w:right="20"/>
              <w:spacing w:after="0" w:line="124" w:lineRule="exact"/>
              <w:rPr>
                <w:sz w:val="20"/>
                <w:szCs w:val="20"/>
                <w:color w:val="auto"/>
              </w:rPr>
            </w:pPr>
            <w:r>
              <w:rPr>
                <w:rFonts w:ascii="Times New Roman" w:cs="Times New Roman" w:eastAsia="Times New Roman" w:hAnsi="Times New Roman"/>
                <w:sz w:val="14"/>
                <w:szCs w:val="14"/>
                <w:b w:val="1"/>
                <w:bCs w:val="1"/>
                <w:color w:val="auto"/>
              </w:rPr>
              <w:t>As of and</w:t>
            </w:r>
          </w:p>
        </w:tc>
      </w:tr>
      <w:tr>
        <w:trPr>
          <w:trHeight w:val="162"/>
        </w:trPr>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2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w w:val="89"/>
              </w:rPr>
              <w:t>for‎</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w:t>
            </w:r>
          </w:p>
        </w:tc>
        <w:tc>
          <w:tcPr>
            <w:tcW w:w="16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‎for the</w:t>
            </w:r>
          </w:p>
        </w:tc>
      </w:tr>
      <w:tr>
        <w:trPr>
          <w:trHeight w:val="149"/>
        </w:trPr>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74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12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b w:val="1"/>
                <w:bCs w:val="1"/>
                <w:color w:val="auto"/>
              </w:rPr>
              <w:t>twelve‎</w:t>
            </w:r>
          </w:p>
        </w:tc>
        <w:tc>
          <w:tcPr>
            <w:tcW w:w="1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6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r>
      <w:tr>
        <w:trPr>
          <w:trHeight w:val="162"/>
        </w:trPr>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4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4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94"/>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62"/>
        </w:trPr>
        <w:tc>
          <w:tcPr>
            <w:tcW w:w="5400" w:type="dxa"/>
            <w:vAlign w:val="bottom"/>
            <w:tcBorders>
              <w:top w:val="single" w:sz="8" w:color="CCEEFF"/>
            </w:tcBorders>
            <w:gridSpan w:val="3"/>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Spot Rate</w:t>
            </w:r>
          </w:p>
        </w:tc>
        <w:tc>
          <w:tcPr>
            <w:tcW w:w="17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r>
      <w:tr>
        <w:trPr>
          <w:trHeight w:val="27"/>
        </w:trPr>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r>
        <w:trPr>
          <w:trHeight w:val="189"/>
        </w:trPr>
        <w:tc>
          <w:tcPr>
            <w:tcW w:w="54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Australian Dollar</w:t>
            </w:r>
          </w:p>
        </w:tc>
        <w:tc>
          <w:tcPr>
            <w:tcW w:w="17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0.6524</w:t>
            </w:r>
          </w:p>
        </w:tc>
        <w:tc>
          <w:tcPr>
            <w:tcW w:w="2340" w:type="dxa"/>
            <w:vAlign w:val="bottom"/>
            <w:gridSpan w:val="2"/>
          </w:tcPr>
          <w:p>
            <w:pPr>
              <w:jc w:val="center"/>
              <w:ind w:right="8"/>
              <w:spacing w:after="0" w:line="189" w:lineRule="exact"/>
              <w:rPr>
                <w:sz w:val="20"/>
                <w:szCs w:val="20"/>
                <w:color w:val="auto"/>
              </w:rPr>
            </w:pPr>
            <w:r>
              <w:rPr>
                <w:rFonts w:ascii="Times New Roman" w:cs="Times New Roman" w:eastAsia="Times New Roman" w:hAnsi="Times New Roman"/>
                <w:sz w:val="18"/>
                <w:szCs w:val="18"/>
                <w:color w:val="auto"/>
              </w:rPr>
              <w:t>0.6828</w:t>
            </w:r>
          </w:p>
        </w:tc>
        <w:tc>
          <w:tcPr>
            <w:tcW w:w="120" w:type="dxa"/>
            <w:vAlign w:val="bottom"/>
          </w:tcPr>
          <w:p>
            <w:pPr>
              <w:spacing w:after="0"/>
              <w:rPr>
                <w:sz w:val="16"/>
                <w:szCs w:val="16"/>
                <w:color w:val="auto"/>
              </w:rPr>
            </w:pPr>
          </w:p>
        </w:tc>
        <w:tc>
          <w:tcPr>
            <w:tcW w:w="1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0.6704</w:t>
            </w:r>
          </w:p>
        </w:tc>
      </w:tr>
      <w:tr>
        <w:trPr>
          <w:trHeight w:val="189"/>
        </w:trPr>
        <w:tc>
          <w:tcPr>
            <w:tcW w:w="54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New Zealand Dollar</w:t>
            </w:r>
          </w:p>
        </w:tc>
        <w:tc>
          <w:tcPr>
            <w:tcW w:w="17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0.5987</w:t>
            </w:r>
          </w:p>
        </w:tc>
        <w:tc>
          <w:tcPr>
            <w:tcW w:w="2340" w:type="dxa"/>
            <w:vAlign w:val="bottom"/>
            <w:gridSpan w:val="2"/>
            <w:shd w:val="clear" w:color="auto" w:fill="CCEEFF"/>
          </w:tcPr>
          <w:p>
            <w:pPr>
              <w:jc w:val="center"/>
              <w:ind w:right="8"/>
              <w:spacing w:after="0" w:line="189" w:lineRule="exact"/>
              <w:rPr>
                <w:sz w:val="20"/>
                <w:szCs w:val="20"/>
                <w:color w:val="auto"/>
              </w:rPr>
            </w:pPr>
            <w:r>
              <w:rPr>
                <w:rFonts w:ascii="Times New Roman" w:cs="Times New Roman" w:eastAsia="Times New Roman" w:hAnsi="Times New Roman"/>
                <w:sz w:val="18"/>
                <w:szCs w:val="18"/>
                <w:color w:val="auto"/>
              </w:rPr>
              <w:t>0.6340</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0.6271</w:t>
            </w:r>
          </w:p>
        </w:tc>
      </w:tr>
      <w:tr>
        <w:trPr>
          <w:trHeight w:val="169"/>
        </w:trPr>
        <w:tc>
          <w:tcPr>
            <w:tcW w:w="1040" w:type="dxa"/>
            <w:vAlign w:val="bottom"/>
            <w:tcBorders>
              <w:bottom w:val="single" w:sz="8" w:color="auto"/>
            </w:tcBorders>
            <w:gridSpan w:val="2"/>
          </w:tcPr>
          <w:p>
            <w:pPr>
              <w:spacing w:after="0" w:line="162" w:lineRule="exact"/>
              <w:rPr>
                <w:sz w:val="20"/>
                <w:szCs w:val="20"/>
                <w:color w:val="auto"/>
              </w:rPr>
            </w:pPr>
            <w:r>
              <w:rPr>
                <w:rFonts w:ascii="Times New Roman" w:cs="Times New Roman" w:eastAsia="Times New Roman" w:hAnsi="Times New Roman"/>
                <w:sz w:val="18"/>
                <w:szCs w:val="18"/>
                <w:b w:val="1"/>
                <w:bCs w:val="1"/>
                <w:color w:val="auto"/>
                <w:w w:val="97"/>
              </w:rPr>
              <w:t>Average Rate</w:t>
            </w:r>
          </w:p>
        </w:tc>
        <w:tc>
          <w:tcPr>
            <w:tcW w:w="4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9"/>
        </w:trPr>
        <w:tc>
          <w:tcPr>
            <w:tcW w:w="54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Australian Dollar</w:t>
            </w:r>
          </w:p>
        </w:tc>
        <w:tc>
          <w:tcPr>
            <w:tcW w:w="1740" w:type="dxa"/>
            <w:vAlign w:val="bottom"/>
            <w:shd w:val="clear" w:color="auto" w:fill="CCEEFF"/>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0.6572</w:t>
            </w:r>
          </w:p>
        </w:tc>
        <w:tc>
          <w:tcPr>
            <w:tcW w:w="2340" w:type="dxa"/>
            <w:vAlign w:val="bottom"/>
            <w:gridSpan w:val="2"/>
            <w:shd w:val="clear" w:color="auto" w:fill="CCEEFF"/>
          </w:tcPr>
          <w:p>
            <w:pPr>
              <w:jc w:val="center"/>
              <w:ind w:right="8"/>
              <w:spacing w:after="0" w:line="189" w:lineRule="exact"/>
              <w:rPr>
                <w:sz w:val="20"/>
                <w:szCs w:val="20"/>
                <w:color w:val="auto"/>
              </w:rPr>
            </w:pPr>
            <w:r>
              <w:rPr>
                <w:rFonts w:ascii="Times New Roman" w:cs="Times New Roman" w:eastAsia="Times New Roman" w:hAnsi="Times New Roman"/>
                <w:sz w:val="18"/>
                <w:szCs w:val="18"/>
                <w:color w:val="auto"/>
              </w:rPr>
              <w:t>0.6647</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w w:val="96"/>
              </w:rPr>
              <w:t>0.6841</w:t>
            </w:r>
          </w:p>
        </w:tc>
      </w:tr>
      <w:tr>
        <w:trPr>
          <w:trHeight w:val="234"/>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Zealand Dollar</w:t>
            </w:r>
          </w:p>
        </w:tc>
        <w:tc>
          <w:tcPr>
            <w:tcW w:w="1740" w:type="dxa"/>
            <w:vAlign w:val="bottom"/>
          </w:tcPr>
          <w:p>
            <w:pPr>
              <w:jc w:val="center"/>
              <w:ind w:right="80"/>
              <w:spacing w:after="0"/>
              <w:rPr>
                <w:sz w:val="20"/>
                <w:szCs w:val="20"/>
                <w:color w:val="auto"/>
              </w:rPr>
            </w:pPr>
            <w:r>
              <w:rPr>
                <w:rFonts w:ascii="Times New Roman" w:cs="Times New Roman" w:eastAsia="Times New Roman" w:hAnsi="Times New Roman"/>
                <w:sz w:val="18"/>
                <w:szCs w:val="18"/>
                <w:color w:val="auto"/>
              </w:rPr>
              <w:t>0.6124</w:t>
            </w:r>
          </w:p>
        </w:tc>
        <w:tc>
          <w:tcPr>
            <w:tcW w:w="2340" w:type="dxa"/>
            <w:vAlign w:val="bottom"/>
            <w:gridSpan w:val="2"/>
          </w:tcPr>
          <w:p>
            <w:pPr>
              <w:jc w:val="center"/>
              <w:ind w:right="8"/>
              <w:spacing w:after="0"/>
              <w:rPr>
                <w:sz w:val="20"/>
                <w:szCs w:val="20"/>
                <w:color w:val="auto"/>
              </w:rPr>
            </w:pPr>
            <w:r>
              <w:rPr>
                <w:rFonts w:ascii="Times New Roman" w:cs="Times New Roman" w:eastAsia="Times New Roman" w:hAnsi="Times New Roman"/>
                <w:sz w:val="18"/>
                <w:szCs w:val="18"/>
                <w:color w:val="auto"/>
              </w:rPr>
              <w:t>0.6145</w:t>
            </w:r>
          </w:p>
        </w:tc>
        <w:tc>
          <w:tcPr>
            <w:tcW w:w="120" w:type="dxa"/>
            <w:vAlign w:val="bottom"/>
          </w:tcPr>
          <w:p>
            <w:pPr>
              <w:spacing w:after="0"/>
              <w:rPr>
                <w:sz w:val="20"/>
                <w:szCs w:val="20"/>
                <w:color w:val="auto"/>
              </w:rPr>
            </w:pPr>
          </w:p>
        </w:tc>
        <w:tc>
          <w:tcPr>
            <w:tcW w:w="1640" w:type="dxa"/>
            <w:vAlign w:val="bottom"/>
          </w:tcPr>
          <w:p>
            <w:pPr>
              <w:jc w:val="center"/>
              <w:ind w:right="40"/>
              <w:spacing w:after="0"/>
              <w:rPr>
                <w:sz w:val="20"/>
                <w:szCs w:val="20"/>
                <w:color w:val="auto"/>
              </w:rPr>
            </w:pPr>
            <w:r>
              <w:rPr>
                <w:rFonts w:ascii="Times New Roman" w:cs="Times New Roman" w:eastAsia="Times New Roman" w:hAnsi="Times New Roman"/>
                <w:sz w:val="18"/>
                <w:szCs w:val="18"/>
                <w:color w:val="auto"/>
                <w:w w:val="96"/>
              </w:rPr>
              <w:t>0.6299</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Basic earnings per share (“EPS”) is calculated by dividing the net income attributable to our Company by the weighted average number of common shares outstanding during the period. Diluted EPS is calculated by dividing the net income attributable to our Company by the weighted average number of common and common equivalent shares outstanding during the period and is calculated using the treasury stock method for equity-based compensation awards.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0" w:name="page11"/>
    <w:bookmarkEnd w:id="10"/>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EPS and a reconciliation of the weighted average number of common and common equivalent shares outstanding: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share data)</w:t>
            </w:r>
          </w:p>
        </w:tc>
        <w:tc>
          <w:tcPr>
            <w:tcW w:w="3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68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income (loss) attributable to Reading International, Inc.</w:t>
            </w:r>
          </w:p>
        </w:tc>
        <w:tc>
          <w:tcPr>
            <w:tcW w:w="800" w:type="dxa"/>
            <w:vAlign w:val="bottom"/>
            <w:gridSpan w:val="2"/>
          </w:tcPr>
          <w:p>
            <w:pPr>
              <w:jc w:val="right"/>
              <w:ind w:right="2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80"/>
              <w:spacing w:after="0" w:line="189" w:lineRule="exact"/>
              <w:rPr>
                <w:sz w:val="20"/>
                <w:szCs w:val="20"/>
                <w:color w:val="auto"/>
              </w:rPr>
            </w:pPr>
            <w:r>
              <w:rPr>
                <w:rFonts w:ascii="Times New Roman" w:cs="Times New Roman" w:eastAsia="Times New Roman" w:hAnsi="Times New Roman"/>
                <w:sz w:val="18"/>
                <w:szCs w:val="18"/>
                <w:color w:val="auto"/>
              </w:rPr>
              <w:t>(13,228)</w:t>
            </w:r>
          </w:p>
        </w:tc>
        <w:tc>
          <w:tcPr>
            <w:tcW w:w="600" w:type="dxa"/>
            <w:vAlign w:val="bottom"/>
          </w:tcPr>
          <w:p>
            <w:pPr>
              <w:jc w:val="right"/>
              <w:ind w:right="4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(11,111)</w:t>
            </w:r>
          </w:p>
        </w:tc>
        <w:tc>
          <w:tcPr>
            <w:tcW w:w="0" w:type="dxa"/>
            <w:vAlign w:val="bottom"/>
          </w:tcPr>
          <w:p>
            <w:pPr>
              <w:spacing w:after="0"/>
              <w:rPr>
                <w:sz w:val="1"/>
                <w:szCs w:val="1"/>
                <w:color w:val="auto"/>
              </w:rPr>
            </w:pPr>
          </w:p>
        </w:tc>
      </w:tr>
      <w:tr>
        <w:trPr>
          <w:trHeight w:val="189"/>
        </w:trPr>
        <w:tc>
          <w:tcPr>
            <w:tcW w:w="68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Weighted average number of common stock – basic</w:t>
            </w: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22,348,994</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22,114,927</w:t>
            </w:r>
          </w:p>
        </w:tc>
        <w:tc>
          <w:tcPr>
            <w:tcW w:w="0" w:type="dxa"/>
            <w:vAlign w:val="bottom"/>
          </w:tcPr>
          <w:p>
            <w:pPr>
              <w:spacing w:after="0"/>
              <w:rPr>
                <w:sz w:val="1"/>
                <w:szCs w:val="1"/>
                <w:color w:val="auto"/>
              </w:rPr>
            </w:pPr>
          </w:p>
        </w:tc>
      </w:tr>
      <w:tr>
        <w:trPr>
          <w:trHeight w:val="189"/>
        </w:trPr>
        <w:tc>
          <w:tcPr>
            <w:tcW w:w="68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 average dilutive impact of awards</w:t>
            </w: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686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Weighted average number of common stock – diluted</w:t>
            </w:r>
          </w:p>
        </w:tc>
        <w:tc>
          <w:tcPr>
            <w:tcW w:w="38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22,348,994</w:t>
            </w:r>
          </w:p>
        </w:tc>
        <w:tc>
          <w:tcPr>
            <w:tcW w:w="380" w:type="dxa"/>
            <w:vAlign w:val="bottom"/>
            <w:tcBorders>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22,114,927</w:t>
            </w:r>
          </w:p>
        </w:tc>
        <w:tc>
          <w:tcPr>
            <w:tcW w:w="0" w:type="dxa"/>
            <w:vAlign w:val="bottom"/>
          </w:tcPr>
          <w:p>
            <w:pPr>
              <w:spacing w:after="0"/>
              <w:rPr>
                <w:sz w:val="1"/>
                <w:szCs w:val="1"/>
                <w:color w:val="auto"/>
              </w:rPr>
            </w:pPr>
          </w:p>
        </w:tc>
      </w:tr>
      <w:tr>
        <w:trPr>
          <w:trHeight w:val="209"/>
        </w:trPr>
        <w:tc>
          <w:tcPr>
            <w:tcW w:w="686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(0.59)</w:t>
            </w:r>
          </w:p>
        </w:tc>
        <w:tc>
          <w:tcPr>
            <w:tcW w:w="3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183"/>
        </w:trPr>
        <w:tc>
          <w:tcPr>
            <w:tcW w:w="6860" w:type="dxa"/>
            <w:vAlign w:val="bottom"/>
            <w:tcBorders>
              <w:bottom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5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(0.59)</w:t>
            </w:r>
          </w:p>
        </w:tc>
        <w:tc>
          <w:tcPr>
            <w:tcW w:w="3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43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Awards excluded from diluted earnings (loss) per share</w:t>
            </w:r>
          </w:p>
        </w:tc>
        <w:tc>
          <w:tcPr>
            <w:tcW w:w="3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207,657</w:t>
            </w:r>
          </w:p>
        </w:tc>
        <w:tc>
          <w:tcPr>
            <w:tcW w:w="3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783,063</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weighted average number of common stock - basic increased, primarily as a result of the vesting of restricted stock units. We did not repurchase any shares of Class A Common Stock during the first three months of 2024 and 2023.</w:t>
      </w:r>
    </w:p>
    <w:p>
      <w:pPr>
        <w:spacing w:after="0" w:line="135"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18"/>
          <w:szCs w:val="18"/>
          <w:color w:val="auto"/>
        </w:rPr>
        <w:t>Certain shares issuable under stock options and restricted stock units were excluded from the computation of diluted net income (loss) per share in periods when their effect was anti-dilutive; either because our Company incurred a net loss for the period, or the exercise price of the options was greater than the average market price of the common stock during the period, or the effect was anti-dilutive as a result of applying the treasury stock method.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Property,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associated with our operating activities as at March 31, 2024 and December 31, 2023, is summarized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1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59,696</w:t>
            </w: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ind w:right="4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61,095</w:t>
            </w: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Building and improvements</w:t>
            </w:r>
          </w:p>
        </w:tc>
        <w:tc>
          <w:tcPr>
            <w:tcW w:w="2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201,096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205,821</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50,320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53,984</w:t>
            </w: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Fixtures and equipment</w:t>
            </w:r>
          </w:p>
        </w:tc>
        <w:tc>
          <w:tcPr>
            <w:tcW w:w="2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148,276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155,156</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Construction-in-progress</w:t>
            </w: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4,335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4,290</w:t>
            </w: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Total cost</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463,723</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480,346</w:t>
            </w:r>
          </w:p>
        </w:tc>
      </w:tr>
      <w:tr>
        <w:trPr>
          <w:trHeight w:val="183"/>
        </w:trPr>
        <w:tc>
          <w:tcPr>
            <w:tcW w:w="8360" w:type="dxa"/>
            <w:vAlign w:val="bottom"/>
            <w:gridSpan w:val="2"/>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(209,914)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(217,929)</w:t>
            </w:r>
          </w:p>
        </w:tc>
      </w:tr>
      <w:tr>
        <w:trPr>
          <w:trHeight w:val="190"/>
        </w:trPr>
        <w:tc>
          <w:tcPr>
            <w:tcW w:w="83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Operating property, net</w:t>
            </w: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253,809</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262,417</w:t>
            </w:r>
          </w:p>
        </w:tc>
      </w:tr>
    </w:tbl>
    <w:p>
      <w:pPr>
        <w:spacing w:after="0" w:line="171"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Depreciation expense for operating property was $4.1 million for the three months ended March 31, 2024, and $4.6 million for three months ended March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Development Property,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 and development property as of March 31, 2024 and December 31, 2023, is summarized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3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4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Land</w:t>
            </w:r>
          </w:p>
        </w:tc>
        <w:tc>
          <w:tcPr>
            <w:tcW w:w="3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3,642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3,856</w:t>
            </w:r>
          </w:p>
        </w:tc>
      </w:tr>
      <w:tr>
        <w:trPr>
          <w:trHeight w:val="189"/>
        </w:trPr>
        <w:tc>
          <w:tcPr>
            <w:tcW w:w="48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Construction-in-progress (including capitalized interest)</w:t>
            </w:r>
          </w:p>
        </w:tc>
        <w:tc>
          <w:tcPr>
            <w:tcW w:w="33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680"/>
              <w:spacing w:after="0" w:line="189" w:lineRule="exact"/>
              <w:rPr>
                <w:sz w:val="20"/>
                <w:szCs w:val="20"/>
                <w:color w:val="auto"/>
              </w:rPr>
            </w:pPr>
            <w:r>
              <w:rPr>
                <w:rFonts w:ascii="Times New Roman" w:cs="Times New Roman" w:eastAsia="Times New Roman" w:hAnsi="Times New Roman"/>
                <w:sz w:val="18"/>
                <w:szCs w:val="18"/>
                <w:color w:val="auto"/>
              </w:rPr>
              <w:t>4,711</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4,933</w:t>
            </w:r>
          </w:p>
        </w:tc>
      </w:tr>
      <w:tr>
        <w:trPr>
          <w:trHeight w:val="203"/>
        </w:trPr>
        <w:tc>
          <w:tcPr>
            <w:tcW w:w="48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Investment and development property</w:t>
            </w:r>
          </w:p>
        </w:tc>
        <w:tc>
          <w:tcPr>
            <w:tcW w:w="3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ind w:left="680"/>
              <w:spacing w:after="0" w:line="182" w:lineRule="exact"/>
              <w:rPr>
                <w:sz w:val="20"/>
                <w:szCs w:val="20"/>
                <w:color w:val="auto"/>
              </w:rPr>
            </w:pPr>
            <w:r>
              <w:rPr>
                <w:rFonts w:ascii="Times New Roman" w:cs="Times New Roman" w:eastAsia="Times New Roman" w:hAnsi="Times New Roman"/>
                <w:sz w:val="18"/>
                <w:szCs w:val="18"/>
                <w:b w:val="1"/>
                <w:bCs w:val="1"/>
                <w:color w:val="auto"/>
              </w:rPr>
              <w:t>8,353</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8,789</w:t>
            </w:r>
          </w:p>
        </w:tc>
      </w:tr>
      <w:tr>
        <w:trPr>
          <w:trHeight w:val="581"/>
        </w:trPr>
        <w:tc>
          <w:tcPr>
            <w:tcW w:w="4800" w:type="dxa"/>
            <w:vAlign w:val="bottom"/>
          </w:tcPr>
          <w:p>
            <w:pPr>
              <w:spacing w:after="0"/>
              <w:rPr>
                <w:sz w:val="24"/>
                <w:szCs w:val="24"/>
                <w:color w:val="auto"/>
              </w:rPr>
            </w:pPr>
          </w:p>
        </w:tc>
        <w:tc>
          <w:tcPr>
            <w:tcW w:w="338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7"/>
        </w:trPr>
        <w:tc>
          <w:tcPr>
            <w:tcW w:w="48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Construction-in-Progress – Operating and Investment Properties</w:t>
      </w:r>
    </w:p>
    <w:p>
      <w:pPr>
        <w:spacing w:after="0" w:line="18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Construction-in-Progress balances are included in both our operating and development properties. The balances of our major projects along with the movements for the three months ended March 31, 2024, are shown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Completed</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48"/>
        </w:trPr>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48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Additions during the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22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83"/>
        </w:trPr>
        <w:tc>
          <w:tcPr>
            <w:tcW w:w="40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Courtenay Central development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8"/>
              </w:rPr>
              <w:t>6,412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(355)</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6,057</w:t>
            </w:r>
          </w:p>
        </w:tc>
      </w:tr>
      <w:tr>
        <w:trPr>
          <w:trHeight w:val="189"/>
        </w:trPr>
        <w:tc>
          <w:tcPr>
            <w:tcW w:w="4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Cinema developments and improvements</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1,658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6"/>
                <w:szCs w:val="16"/>
                <w:color w:val="auto"/>
              </w:rPr>
            </w:pPr>
          </w:p>
        </w:tc>
        <w:tc>
          <w:tcPr>
            <w:tcW w:w="122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1,697</w:t>
            </w:r>
          </w:p>
        </w:tc>
      </w:tr>
      <w:tr>
        <w:trPr>
          <w:trHeight w:val="189"/>
        </w:trPr>
        <w:tc>
          <w:tcPr>
            <w:tcW w:w="40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real estate projects</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1,153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1,292</w:t>
            </w:r>
          </w:p>
        </w:tc>
      </w:tr>
      <w:tr>
        <w:trPr>
          <w:trHeight w:val="190"/>
        </w:trPr>
        <w:tc>
          <w:tcPr>
            <w:tcW w:w="400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725"/>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98"/>
              </w:rPr>
              <w:t>9,223</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404</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(390)</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9,046</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Real Estate Monetizations</w:t>
      </w:r>
    </w:p>
    <w:p>
      <w:pPr>
        <w:spacing w:after="0" w:line="189"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Beginning in 2020, we have on an ongoing basis reviewed our various real estate holdings in light of the fact that our cash flow from cinema operations has been adversely affected initially by the governmentally mandated cinema closings ordered in response to the COVID-19 pandemic and then by the lengthy 2023 Hollywood Strikes, and that our overall cash flow continues to be adversely affected by unprecedented increases in interest rates and the impact of inflation and government mandated labor cost increases on our cost of goods sold and cost of operations. Until cinema revenues return to normal and interest rates reduce, other sources of cash will be needed to support our operations and limited funds will be available for capital investment in our properties. Between the fourth quarter of 2020 and the fourth quarter of 2023, we classified as assets held for sale disposal groups and thereafter monetized the following real estate assets: The Auburn/Redyard Entertainment Themed Center (“ETC”), Manukau (land), Coachella (land), the Royal George Theatre, our property in Maitland, New South Wales, our Invercargill, New Zealand cinema and associated ancillary land, and our office building in Culver City (sold in February 2024). A ‘disposal group’ represents assets to be disposed of in a single transaction. A disposal group may represent a single asset, or multiple assets. As of December 31, 2023, we classified as assets held for sale our approximately 26.6 acre parcel of industrial land in Williamsport, Pennsylvania, historically used as a rail yard.</w:t>
      </w:r>
    </w:p>
    <w:p>
      <w:pPr>
        <w:spacing w:after="0" w:line="15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Discussed below are those real estate transactions affecting the presentation in our consolidated balance sheet as of March 31, 2024 and 2023, and the profitability determination in our consolidated statements of income for the three months ended March 31, 2024, and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Culver City, Los Angeles</w:t>
      </w:r>
    </w:p>
    <w:p>
      <w:pPr>
        <w:spacing w:after="0" w:line="171" w:lineRule="exact"/>
        <w:rPr>
          <w:sz w:val="20"/>
          <w:szCs w:val="20"/>
          <w:color w:val="auto"/>
        </w:rPr>
      </w:pPr>
    </w:p>
    <w:p>
      <w:pPr>
        <w:ind w:right="260"/>
        <w:spacing w:after="0" w:line="215" w:lineRule="auto"/>
        <w:rPr>
          <w:sz w:val="20"/>
          <w:szCs w:val="20"/>
          <w:color w:val="auto"/>
        </w:rPr>
      </w:pPr>
      <w:r>
        <w:rPr>
          <w:rFonts w:ascii="Times New Roman" w:cs="Times New Roman" w:eastAsia="Times New Roman" w:hAnsi="Times New Roman"/>
          <w:sz w:val="18"/>
          <w:szCs w:val="18"/>
          <w:color w:val="auto"/>
        </w:rPr>
        <w:t>In May 2023, we classified our Culver City administrative building, commonly known as 5995 Sepulveda Blvd., as held for sale. Our book value (as opposed to fair value) of the property was $10.8 million, being the lower of cost and fair value less costs to sell. No adjustments to the book value of the</w:t>
      </w:r>
    </w:p>
    <w:p>
      <w:pPr>
        <w:ind w:right="200"/>
        <w:spacing w:after="0" w:line="218" w:lineRule="auto"/>
        <w:rPr>
          <w:sz w:val="20"/>
          <w:szCs w:val="20"/>
          <w:color w:val="auto"/>
        </w:rPr>
      </w:pPr>
      <w:r>
        <w:rPr>
          <w:rFonts w:ascii="Times New Roman" w:cs="Times New Roman" w:eastAsia="Times New Roman" w:hAnsi="Times New Roman"/>
          <w:sz w:val="18"/>
          <w:szCs w:val="18"/>
          <w:color w:val="auto"/>
        </w:rPr>
        <w:t>assets contained within this disposal group were required. The disposal group consisted of land, a building and various leasehold improvements. The sale was completed on February 23, 2024. The proceeds were used to discharge the $8.3 million first mortgage which the property was encumbered with.</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on sale of this property is calculated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20" w:type="dxa"/>
            <w:vAlign w:val="bottom"/>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4"/>
        </w:trPr>
        <w:tc>
          <w:tcPr>
            <w:tcW w:w="8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8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Sales price</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10,000</w:t>
            </w:r>
          </w:p>
        </w:tc>
      </w:tr>
      <w:tr>
        <w:trPr>
          <w:trHeight w:val="189"/>
        </w:trPr>
        <w:tc>
          <w:tcPr>
            <w:tcW w:w="822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Net book value</w:t>
            </w:r>
          </w:p>
        </w:tc>
        <w:tc>
          <w:tcPr>
            <w:tcW w:w="2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(10,800)</w:t>
            </w:r>
          </w:p>
        </w:tc>
      </w:tr>
      <w:tr>
        <w:trPr>
          <w:trHeight w:val="183"/>
        </w:trPr>
        <w:tc>
          <w:tcPr>
            <w:tcW w:w="8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Loss on sale, gross of direct costs</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(800)</w:t>
            </w:r>
          </w:p>
        </w:tc>
      </w:tr>
      <w:tr>
        <w:trPr>
          <w:trHeight w:val="189"/>
        </w:trPr>
        <w:tc>
          <w:tcPr>
            <w:tcW w:w="822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Direct sale costs incurred</w:t>
            </w:r>
          </w:p>
        </w:tc>
        <w:tc>
          <w:tcPr>
            <w:tcW w:w="2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(325)</w:t>
            </w:r>
          </w:p>
        </w:tc>
      </w:tr>
      <w:tr>
        <w:trPr>
          <w:trHeight w:val="190"/>
        </w:trPr>
        <w:tc>
          <w:tcPr>
            <w:tcW w:w="82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Loss on sale, net of direct costs</w:t>
            </w: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3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2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(1,125)</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Disposal Groups Held for Sale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2483 Trenton Avenue, Williamsport, Pennsylvania</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June 2023, we classified our approximately 26.6-acre industrial property at 2483 Trenton Avenue, Williamsport, Pennsylvania, as held for sale at the lower of cost and fair value less costs to sell. The current book value (as opposed to fair value) of the property is $460,000. The property is part of our historic railroad operations, consisting of land and an 18,000 square foot industrial building, and certain rail bed improvements. No adjustments to the book value of the assets contained within this disposal group were required. We expect to complete the sale within 12 months. The property is unencumbered by debt.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Lessee</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operating leases for certain cinemas, and finance leases for certain equipment assets. Our leases have remaining lease terms of 1 to 25 years, with certain leases having options to extend up to a further 20 years. Lease payments for our cinema operating leases consist of fixed base rent, and for certain leases, variable lease payments consisting of contracted percentages of revenue, changes in the relevant CPI, and/or other contracted financial metrics.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8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5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10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00" w:type="dxa"/>
            <w:vAlign w:val="bottom"/>
            <w:tcBorders>
              <w:bottom w:val="single" w:sz="8" w:color="auto"/>
            </w:tcBorders>
          </w:tcPr>
          <w:p>
            <w:pPr>
              <w:spacing w:after="0"/>
              <w:rPr>
                <w:sz w:val="16"/>
                <w:szCs w:val="16"/>
                <w:color w:val="auto"/>
              </w:rPr>
            </w:pPr>
          </w:p>
        </w:tc>
      </w:tr>
      <w:tr>
        <w:trPr>
          <w:trHeight w:val="18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4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Lease cost</w:t>
            </w: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9"/>
        </w:trPr>
        <w:tc>
          <w:tcPr>
            <w:tcW w:w="55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Finance lease cost:</w:t>
            </w: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55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Amortization of right-of-use assets</w:t>
            </w:r>
          </w:p>
        </w:tc>
        <w:tc>
          <w:tcPr>
            <w:tcW w:w="2140" w:type="dxa"/>
            <w:vAlign w:val="bottom"/>
            <w:gridSpan w:val="3"/>
            <w:shd w:val="clear" w:color="auto" w:fill="CCEEFF"/>
          </w:tcPr>
          <w:p>
            <w:pPr>
              <w:jc w:val="right"/>
              <w:ind w:right="1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189"/>
        </w:trPr>
        <w:tc>
          <w:tcPr>
            <w:tcW w:w="55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Interest on lease liabilities</w:t>
            </w: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5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lease cost</w:t>
            </w: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7,801</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8,208</w:t>
            </w:r>
          </w:p>
        </w:tc>
      </w:tr>
      <w:tr>
        <w:trPr>
          <w:trHeight w:val="189"/>
        </w:trPr>
        <w:tc>
          <w:tcPr>
            <w:tcW w:w="552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Variable lease cost</w:t>
            </w:r>
          </w:p>
        </w:tc>
        <w:tc>
          <w:tcPr>
            <w:tcW w:w="15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511</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271</w:t>
            </w:r>
          </w:p>
        </w:tc>
      </w:tr>
      <w:tr>
        <w:trPr>
          <w:trHeight w:val="203"/>
        </w:trPr>
        <w:tc>
          <w:tcPr>
            <w:tcW w:w="55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lease cost</w:t>
            </w:r>
          </w:p>
        </w:tc>
        <w:tc>
          <w:tcPr>
            <w:tcW w:w="15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8,323</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8,487</w:t>
            </w:r>
          </w:p>
        </w:tc>
      </w:tr>
      <w:tr>
        <w:trPr>
          <w:trHeight w:val="39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3"/>
        </w:trPr>
        <w:tc>
          <w:tcPr>
            <w:tcW w:w="5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8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5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10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00" w:type="dxa"/>
            <w:vAlign w:val="bottom"/>
            <w:tcBorders>
              <w:bottom w:val="single" w:sz="8" w:color="auto"/>
            </w:tcBorders>
          </w:tcPr>
          <w:p>
            <w:pPr>
              <w:spacing w:after="0"/>
              <w:rPr>
                <w:sz w:val="16"/>
                <w:szCs w:val="16"/>
                <w:color w:val="auto"/>
              </w:rPr>
            </w:pPr>
          </w:p>
        </w:tc>
      </w:tr>
      <w:tr>
        <w:trPr>
          <w:trHeight w:val="18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4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relating to lease cost</w:t>
            </w: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9"/>
        </w:trPr>
        <w:tc>
          <w:tcPr>
            <w:tcW w:w="55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55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Operating cash flows for finance leases</w:t>
            </w:r>
          </w:p>
        </w:tc>
        <w:tc>
          <w:tcPr>
            <w:tcW w:w="2140" w:type="dxa"/>
            <w:vAlign w:val="bottom"/>
            <w:gridSpan w:val="3"/>
            <w:shd w:val="clear" w:color="auto" w:fill="CCEEFF"/>
          </w:tcPr>
          <w:p>
            <w:pPr>
              <w:jc w:val="right"/>
              <w:ind w:right="1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w:t>
            </w:r>
          </w:p>
        </w:tc>
      </w:tr>
      <w:tr>
        <w:trPr>
          <w:trHeight w:val="189"/>
        </w:trPr>
        <w:tc>
          <w:tcPr>
            <w:tcW w:w="55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Operating cash flows for operating leases</w:t>
            </w: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7,391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8,435</w:t>
            </w:r>
          </w:p>
        </w:tc>
      </w:tr>
      <w:tr>
        <w:trPr>
          <w:trHeight w:val="189"/>
        </w:trPr>
        <w:tc>
          <w:tcPr>
            <w:tcW w:w="55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w w:val="99"/>
              </w:rPr>
              <w:t>Right-of-use assets obtained in exchange for new operating lease liabilities</w:t>
            </w: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39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07"/>
        </w:trPr>
        <w:tc>
          <w:tcPr>
            <w:tcW w:w="5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24"/>
                <w:szCs w:val="24"/>
                <w:color w:val="auto"/>
              </w:rPr>
            </w:pPr>
          </w:p>
        </w:tc>
        <w:tc>
          <w:tcPr>
            <w:tcW w:w="15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4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Operating leases</w:t>
            </w: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9"/>
        </w:trPr>
        <w:tc>
          <w:tcPr>
            <w:tcW w:w="55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2140" w:type="dxa"/>
            <w:vAlign w:val="bottom"/>
            <w:gridSpan w:val="3"/>
          </w:tcPr>
          <w:p>
            <w:pPr>
              <w:jc w:val="right"/>
              <w:ind w:right="176"/>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172,201</w:t>
            </w:r>
          </w:p>
        </w:tc>
        <w:tc>
          <w:tcPr>
            <w:tcW w:w="220" w:type="dxa"/>
            <w:vAlign w:val="bottom"/>
          </w:tcPr>
          <w:p>
            <w:pPr>
              <w:spacing w:after="0"/>
              <w:rPr>
                <w:sz w:val="16"/>
                <w:szCs w:val="16"/>
                <w:color w:val="auto"/>
              </w:rPr>
            </w:pPr>
          </w:p>
        </w:tc>
        <w:tc>
          <w:tcPr>
            <w:tcW w:w="3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181,542</w:t>
            </w:r>
          </w:p>
        </w:tc>
      </w:tr>
      <w:tr>
        <w:trPr>
          <w:trHeight w:val="183"/>
        </w:trPr>
        <w:tc>
          <w:tcPr>
            <w:tcW w:w="5520" w:type="dxa"/>
            <w:vAlign w:val="bottom"/>
            <w:tcBorders>
              <w:top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15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22,198</w:t>
            </w: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23,047</w:t>
            </w:r>
          </w:p>
        </w:tc>
      </w:tr>
      <w:tr>
        <w:trPr>
          <w:trHeight w:val="189"/>
        </w:trPr>
        <w:tc>
          <w:tcPr>
            <w:tcW w:w="552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15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171,793</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180,898</w:t>
            </w:r>
          </w:p>
        </w:tc>
      </w:tr>
      <w:tr>
        <w:trPr>
          <w:trHeight w:val="203"/>
        </w:trPr>
        <w:tc>
          <w:tcPr>
            <w:tcW w:w="552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800" w:type="dxa"/>
            <w:vAlign w:val="bottom"/>
            <w:tcBorders>
              <w:bottom w:val="single" w:sz="8" w:color="CCEEFF"/>
            </w:tcBorders>
            <w:gridSpan w:val="2"/>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193,991</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203,945</w:t>
            </w:r>
          </w:p>
        </w:tc>
      </w:tr>
      <w:tr>
        <w:trPr>
          <w:trHeight w:val="176"/>
        </w:trPr>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Finance leases</w:t>
            </w: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9"/>
        </w:trPr>
        <w:tc>
          <w:tcPr>
            <w:tcW w:w="55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Property plant and equipment, gross</w:t>
            </w: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225</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232</w:t>
            </w:r>
          </w:p>
        </w:tc>
      </w:tr>
      <w:tr>
        <w:trPr>
          <w:trHeight w:val="189"/>
        </w:trPr>
        <w:tc>
          <w:tcPr>
            <w:tcW w:w="55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Accumulated depreciation</w:t>
            </w: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(152)</w:t>
            </w:r>
          </w:p>
        </w:tc>
        <w:tc>
          <w:tcPr>
            <w:tcW w:w="34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(177)</w:t>
            </w:r>
          </w:p>
        </w:tc>
      </w:tr>
      <w:tr>
        <w:trPr>
          <w:trHeight w:val="203"/>
        </w:trPr>
        <w:tc>
          <w:tcPr>
            <w:tcW w:w="552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8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55</w:t>
            </w:r>
          </w:p>
        </w:tc>
      </w:tr>
      <w:tr>
        <w:trPr>
          <w:trHeight w:val="176"/>
        </w:trPr>
        <w:tc>
          <w:tcPr>
            <w:tcW w:w="55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Other current liabilities</w:t>
            </w: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r>
      <w:tr>
        <w:trPr>
          <w:trHeight w:val="189"/>
        </w:trPr>
        <w:tc>
          <w:tcPr>
            <w:tcW w:w="55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long-term liabilities</w:t>
            </w: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r>
      <w:tr>
        <w:trPr>
          <w:trHeight w:val="190"/>
        </w:trPr>
        <w:tc>
          <w:tcPr>
            <w:tcW w:w="5520" w:type="dxa"/>
            <w:vAlign w:val="bottom"/>
            <w:tcBorders>
              <w:bottom w:val="single" w:sz="8" w:color="CCEEFF"/>
            </w:tcBorders>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1800" w:type="dxa"/>
            <w:vAlign w:val="bottom"/>
            <w:tcBorders>
              <w:bottom w:val="single" w:sz="8" w:color="CCEEFF"/>
            </w:tcBorders>
            <w:gridSpan w:val="2"/>
          </w:tcPr>
          <w:p>
            <w:pPr>
              <w:spacing w:after="0"/>
              <w:rPr>
                <w:sz w:val="16"/>
                <w:szCs w:val="16"/>
                <w:color w:val="auto"/>
              </w:rPr>
            </w:pPr>
          </w:p>
        </w:tc>
        <w:tc>
          <w:tcPr>
            <w:tcW w:w="340" w:type="dxa"/>
            <w:vAlign w:val="bottom"/>
            <w:tcBorders>
              <w:bottom w:val="single" w:sz="8" w:color="auto"/>
            </w:tcBorders>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73</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83</w:t>
            </w:r>
          </w:p>
        </w:tc>
      </w:tr>
      <w:tr>
        <w:trPr>
          <w:trHeight w:val="189"/>
        </w:trPr>
        <w:tc>
          <w:tcPr>
            <w:tcW w:w="55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55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9"/>
        </w:trPr>
        <w:tc>
          <w:tcPr>
            <w:tcW w:w="55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r>
      <w:tr>
        <w:trPr>
          <w:trHeight w:val="189"/>
        </w:trPr>
        <w:tc>
          <w:tcPr>
            <w:tcW w:w="55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7.07%</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7.07%</w:t>
            </w:r>
          </w:p>
        </w:tc>
      </w:tr>
      <w:tr>
        <w:trPr>
          <w:trHeight w:val="234"/>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346"/>
        </w:trPr>
        <w:tc>
          <w:tcPr>
            <w:tcW w:w="5520" w:type="dxa"/>
            <w:vAlign w:val="bottom"/>
          </w:tcPr>
          <w:p>
            <w:pPr>
              <w:spacing w:after="0"/>
              <w:rPr>
                <w:sz w:val="24"/>
                <w:szCs w:val="24"/>
                <w:color w:val="auto"/>
              </w:rPr>
            </w:pPr>
          </w:p>
        </w:tc>
        <w:tc>
          <w:tcPr>
            <w:tcW w:w="15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8"/>
        </w:trPr>
        <w:tc>
          <w:tcPr>
            <w:tcW w:w="55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maturities of our leases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80" w:type="dxa"/>
            <w:vAlign w:val="bottom"/>
          </w:tcPr>
          <w:p>
            <w:pPr>
              <w:spacing w:after="0"/>
              <w:rPr>
                <w:sz w:val="14"/>
                <w:szCs w:val="14"/>
                <w:color w:val="auto"/>
              </w:rPr>
            </w:pPr>
          </w:p>
        </w:tc>
        <w:tc>
          <w:tcPr>
            <w:tcW w:w="14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80"/>
        </w:trPr>
        <w:tc>
          <w:tcPr>
            <w:tcW w:w="7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80" w:type="dxa"/>
            <w:vAlign w:val="bottom"/>
          </w:tcPr>
          <w:p>
            <w:pPr>
              <w:spacing w:after="0"/>
              <w:rPr>
                <w:sz w:val="15"/>
                <w:szCs w:val="15"/>
                <w:color w:val="auto"/>
              </w:rPr>
            </w:pPr>
          </w:p>
        </w:tc>
        <w:tc>
          <w:tcPr>
            <w:tcW w:w="14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89"/>
        </w:trPr>
        <w:tc>
          <w:tcPr>
            <w:tcW w:w="70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30,740</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28,928</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26,990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24,215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21,433</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06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116,048</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706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Total lease payments</w:t>
            </w:r>
          </w:p>
        </w:tc>
        <w:tc>
          <w:tcPr>
            <w:tcW w:w="2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248,354</w:t>
            </w:r>
          </w:p>
        </w:tc>
        <w:tc>
          <w:tcPr>
            <w:tcW w:w="2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(54,363)</w:t>
            </w:r>
          </w:p>
        </w:tc>
        <w:tc>
          <w:tcPr>
            <w:tcW w:w="2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9"/>
        </w:trPr>
        <w:tc>
          <w:tcPr>
            <w:tcW w:w="70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193,991</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Lessor</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entered into various leases as a lessor for our owned real estate properties. These leases vary in length between 1 and 20 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income relating to operating lease payments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80" w:type="dxa"/>
            <w:vAlign w:val="bottom"/>
            <w:gridSpan w:val="4"/>
          </w:tcPr>
          <w:p>
            <w:pPr>
              <w:jc w:val="right"/>
              <w:ind w:right="12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7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Components of lease income</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Lease payments</w:t>
            </w:r>
          </w:p>
        </w:tc>
        <w:tc>
          <w:tcPr>
            <w:tcW w:w="600" w:type="dxa"/>
            <w:vAlign w:val="bottom"/>
            <w:gridSpan w:val="2"/>
          </w:tcPr>
          <w:p>
            <w:pPr>
              <w:jc w:val="right"/>
              <w:ind w:right="1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2,701</w:t>
            </w:r>
          </w:p>
        </w:tc>
        <w:tc>
          <w:tcPr>
            <w:tcW w:w="220" w:type="dxa"/>
            <w:vAlign w:val="bottom"/>
          </w:tcPr>
          <w:p>
            <w:pPr>
              <w:spacing w:after="0"/>
              <w:rPr>
                <w:sz w:val="16"/>
                <w:szCs w:val="16"/>
                <w:color w:val="auto"/>
              </w:rPr>
            </w:pPr>
          </w:p>
        </w:tc>
        <w:tc>
          <w:tcPr>
            <w:tcW w:w="3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Variable lease payments</w:t>
            </w:r>
          </w:p>
        </w:tc>
        <w:tc>
          <w:tcPr>
            <w:tcW w:w="2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189"/>
        </w:trPr>
        <w:tc>
          <w:tcPr>
            <w:tcW w:w="706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lease income</w:t>
            </w:r>
          </w:p>
        </w:tc>
        <w:tc>
          <w:tcPr>
            <w:tcW w:w="260" w:type="dxa"/>
            <w:vAlign w:val="bottom"/>
          </w:tcPr>
          <w:p>
            <w:pPr>
              <w:spacing w:after="0"/>
              <w:rPr>
                <w:sz w:val="16"/>
                <w:szCs w:val="16"/>
                <w:color w:val="auto"/>
              </w:rPr>
            </w:pPr>
          </w:p>
        </w:tc>
        <w:tc>
          <w:tcPr>
            <w:tcW w:w="340" w:type="dxa"/>
            <w:vAlign w:val="bottom"/>
            <w:tcBorders>
              <w:bottom w:val="single" w:sz="8" w:color="auto"/>
            </w:tcBorders>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2,845</w:t>
            </w:r>
          </w:p>
        </w:tc>
        <w:tc>
          <w:tcPr>
            <w:tcW w:w="220" w:type="dxa"/>
            <w:vAlign w:val="bottom"/>
          </w:tcPr>
          <w:p>
            <w:pPr>
              <w:spacing w:after="0"/>
              <w:rPr>
                <w:sz w:val="16"/>
                <w:szCs w:val="16"/>
                <w:color w:val="auto"/>
              </w:rPr>
            </w:pPr>
          </w:p>
        </w:tc>
        <w:tc>
          <w:tcPr>
            <w:tcW w:w="360" w:type="dxa"/>
            <w:vAlign w:val="bottom"/>
            <w:tcBorders>
              <w:bottom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2,823</w:t>
            </w:r>
          </w:p>
        </w:tc>
        <w:tc>
          <w:tcPr>
            <w:tcW w:w="0" w:type="dxa"/>
            <w:vAlign w:val="bottom"/>
          </w:tcPr>
          <w:p>
            <w:pPr>
              <w:spacing w:after="0"/>
              <w:rPr>
                <w:sz w:val="1"/>
                <w:szCs w:val="1"/>
                <w:color w:val="auto"/>
              </w:rPr>
            </w:pPr>
          </w:p>
        </w:tc>
      </w:tr>
      <w:tr>
        <w:trPr>
          <w:trHeight w:val="405"/>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book value of underlying assets under operating leases from owned assets was as follows: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24"/>
                <w:szCs w:val="24"/>
                <w:color w:val="auto"/>
              </w:rPr>
            </w:pPr>
          </w:p>
        </w:tc>
        <w:tc>
          <w:tcPr>
            <w:tcW w:w="148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Building and improvements</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Gross balance</w:t>
            </w:r>
          </w:p>
        </w:tc>
        <w:tc>
          <w:tcPr>
            <w:tcW w:w="600" w:type="dxa"/>
            <w:vAlign w:val="bottom"/>
            <w:gridSpan w:val="2"/>
          </w:tcPr>
          <w:p>
            <w:pPr>
              <w:jc w:val="right"/>
              <w:ind w:right="1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125,323</w:t>
            </w:r>
          </w:p>
        </w:tc>
        <w:tc>
          <w:tcPr>
            <w:tcW w:w="220" w:type="dxa"/>
            <w:vAlign w:val="bottom"/>
          </w:tcPr>
          <w:p>
            <w:pPr>
              <w:spacing w:after="0"/>
              <w:rPr>
                <w:sz w:val="16"/>
                <w:szCs w:val="16"/>
                <w:color w:val="auto"/>
              </w:rPr>
            </w:pPr>
          </w:p>
        </w:tc>
        <w:tc>
          <w:tcPr>
            <w:tcW w:w="3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127,222</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(23,414)</w:t>
            </w: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(23,270)</w:t>
            </w:r>
          </w:p>
        </w:tc>
        <w:tc>
          <w:tcPr>
            <w:tcW w:w="0" w:type="dxa"/>
            <w:vAlign w:val="bottom"/>
          </w:tcPr>
          <w:p>
            <w:pPr>
              <w:spacing w:after="0"/>
              <w:rPr>
                <w:sz w:val="1"/>
                <w:szCs w:val="1"/>
                <w:color w:val="auto"/>
              </w:rPr>
            </w:pPr>
          </w:p>
        </w:tc>
      </w:tr>
      <w:tr>
        <w:trPr>
          <w:trHeight w:val="189"/>
        </w:trPr>
        <w:tc>
          <w:tcPr>
            <w:tcW w:w="706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Net Book Value</w:t>
            </w:r>
          </w:p>
        </w:tc>
        <w:tc>
          <w:tcPr>
            <w:tcW w:w="26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101,909</w:t>
            </w:r>
          </w:p>
        </w:tc>
        <w:tc>
          <w:tcPr>
            <w:tcW w:w="2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103,952</w:t>
            </w:r>
          </w:p>
        </w:tc>
        <w:tc>
          <w:tcPr>
            <w:tcW w:w="0" w:type="dxa"/>
            <w:vAlign w:val="bottom"/>
          </w:tcPr>
          <w:p>
            <w:pPr>
              <w:spacing w:after="0"/>
              <w:rPr>
                <w:sz w:val="1"/>
                <w:szCs w:val="1"/>
                <w:color w:val="auto"/>
              </w:rPr>
            </w:pPr>
          </w:p>
        </w:tc>
      </w:tr>
      <w:tr>
        <w:trPr>
          <w:trHeight w:val="39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minimum contractual rent payments due on our leases were as follows: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4"/>
        </w:trPr>
        <w:tc>
          <w:tcPr>
            <w:tcW w:w="70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7,105</w:t>
            </w: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9,461</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7,910</w:t>
            </w: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7,131</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7,048</w:t>
            </w:r>
          </w:p>
        </w:tc>
        <w:tc>
          <w:tcPr>
            <w:tcW w:w="0" w:type="dxa"/>
            <w:vAlign w:val="bottom"/>
          </w:tcPr>
          <w:p>
            <w:pPr>
              <w:spacing w:after="0"/>
              <w:rPr>
                <w:sz w:val="1"/>
                <w:szCs w:val="1"/>
                <w:color w:val="auto"/>
              </w:rPr>
            </w:pPr>
          </w:p>
        </w:tc>
      </w:tr>
      <w:tr>
        <w:trPr>
          <w:trHeight w:val="189"/>
        </w:trPr>
        <w:tc>
          <w:tcPr>
            <w:tcW w:w="706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22,326</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60,981</w:t>
            </w:r>
          </w:p>
        </w:tc>
        <w:tc>
          <w:tcPr>
            <w:tcW w:w="0" w:type="dxa"/>
            <w:vAlign w:val="bottom"/>
          </w:tcPr>
          <w:p>
            <w:pPr>
              <w:spacing w:after="0"/>
              <w:rPr>
                <w:sz w:val="1"/>
                <w:szCs w:val="1"/>
                <w:color w:val="auto"/>
              </w:rPr>
            </w:pPr>
          </w:p>
        </w:tc>
      </w:tr>
      <w:tr>
        <w:trPr>
          <w:trHeight w:val="581"/>
        </w:trPr>
        <w:tc>
          <w:tcPr>
            <w:tcW w:w="70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8 – Goodwill and Intangible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goodwill by business segment as of March 31, 2024, and December 31,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Cinema</w:t>
            </w:r>
          </w:p>
        </w:tc>
        <w:tc>
          <w:tcPr>
            <w:tcW w:w="200" w:type="dxa"/>
            <w:vAlign w:val="bottom"/>
          </w:tcPr>
          <w:p>
            <w:pPr>
              <w:spacing w:after="0"/>
              <w:rPr>
                <w:sz w:val="16"/>
                <w:szCs w:val="16"/>
                <w:color w:val="auto"/>
              </w:rPr>
            </w:pPr>
          </w:p>
        </w:tc>
        <w:tc>
          <w:tcPr>
            <w:tcW w:w="11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66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20,311</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5,224</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25,535</w:t>
            </w:r>
          </w:p>
        </w:tc>
      </w:tr>
      <w:tr>
        <w:trPr>
          <w:trHeight w:val="189"/>
        </w:trPr>
        <w:tc>
          <w:tcPr>
            <w:tcW w:w="6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(864)</w:t>
            </w: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(864)</w:t>
            </w:r>
          </w:p>
        </w:tc>
      </w:tr>
      <w:tr>
        <w:trPr>
          <w:trHeight w:val="190"/>
        </w:trPr>
        <w:tc>
          <w:tcPr>
            <w:tcW w:w="66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19,447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5,224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24,671</w:t>
            </w:r>
          </w:p>
        </w:tc>
      </w:tr>
    </w:tbl>
    <w:p>
      <w:pPr>
        <w:spacing w:after="0" w:line="15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Our Company is required to test goodwill and other intangible assets for impairment on an annual basis and, if current events or circumstances require them, on an interim basis. Our next annual evaluation of goodwill and other intangible assets is scheduled during the fourth quarter of 2024. To test the impairment of goodwill, our Company compares the fair value of each reporting unit to its carrying amount, including the goodwill, to determine if there is potential goodwill impairment. A reporting unit is generally one level below the operating segment. As of March 31, 2024, we were not aware that any events indicating potential impairment of goodwill had occurred outside of those described at </w:t>
      </w:r>
      <w:r>
        <w:rPr>
          <w:rFonts w:ascii="Times New Roman" w:cs="Times New Roman" w:eastAsia="Times New Roman" w:hAnsi="Times New Roman"/>
          <w:sz w:val="18"/>
          <w:szCs w:val="18"/>
          <w:i w:val="1"/>
          <w:iCs w:val="1"/>
          <w:color w:val="auto"/>
        </w:rPr>
        <w:t>Note 3 – Impacts on our Business Due to the COVID-19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Pandemic, the 2023 Hollywood Strikes, the Dramatic Interest Rate Rise and Increased Operating Costs, together with our Company’s Resources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summarize intangible assets other than goodwill, as of March 31, 2024, and December 31, 2023, respectively.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37"/>
        </w:trPr>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9"/>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4"/>
        </w:trPr>
        <w:tc>
          <w:tcPr>
            <w:tcW w:w="53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5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Gross carrying amount</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11,247</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9,024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4,363</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24,634</w:t>
            </w:r>
          </w:p>
        </w:tc>
      </w:tr>
      <w:tr>
        <w:trPr>
          <w:trHeight w:val="189"/>
        </w:trPr>
        <w:tc>
          <w:tcPr>
            <w:tcW w:w="53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(11,070)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(7,997)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(3,615)</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(22,682)</w:t>
            </w:r>
          </w:p>
        </w:tc>
      </w:tr>
      <w:tr>
        <w:trPr>
          <w:trHeight w:val="189"/>
        </w:trPr>
        <w:tc>
          <w:tcPr>
            <w:tcW w:w="53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Less: Impairments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189"/>
        </w:trPr>
        <w:tc>
          <w:tcPr>
            <w:tcW w:w="5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intangible assets other than goodwill</w:t>
            </w:r>
          </w:p>
        </w:tc>
        <w:tc>
          <w:tcPr>
            <w:tcW w:w="240" w:type="dxa"/>
            <w:vAlign w:val="bottom"/>
            <w:tcBorders>
              <w:top w:val="single" w:sz="8" w:color="auto"/>
              <w:bottom w:val="single" w:sz="8" w:color="auto"/>
            </w:tcBorders>
            <w:gridSpan w:val="2"/>
          </w:tcPr>
          <w:p>
            <w:pPr>
              <w:jc w:val="right"/>
              <w:ind w:right="56"/>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177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1,027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740</w:t>
            </w:r>
          </w:p>
        </w:tc>
        <w:tc>
          <w:tcPr>
            <w:tcW w:w="16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1,944</w:t>
            </w:r>
          </w:p>
        </w:tc>
      </w:tr>
      <w:tr>
        <w:trPr>
          <w:trHeight w:val="439"/>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37"/>
        </w:trPr>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8"/>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4"/>
        </w:trPr>
        <w:tc>
          <w:tcPr>
            <w:tcW w:w="53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516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Gross carrying amount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11,283</w:t>
            </w: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9,024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4,400</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24,707</w:t>
            </w:r>
          </w:p>
        </w:tc>
      </w:tr>
      <w:tr>
        <w:trPr>
          <w:trHeight w:val="189"/>
        </w:trPr>
        <w:tc>
          <w:tcPr>
            <w:tcW w:w="53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(11,089)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(7,961)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(3,611)</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(22,661)</w:t>
            </w:r>
          </w:p>
        </w:tc>
      </w:tr>
      <w:tr>
        <w:trPr>
          <w:trHeight w:val="189"/>
        </w:trPr>
        <w:tc>
          <w:tcPr>
            <w:tcW w:w="53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Less: Impairments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190"/>
        </w:trPr>
        <w:tc>
          <w:tcPr>
            <w:tcW w:w="5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intangible assets other than goodwill</w:t>
            </w: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194</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1,063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781</w:t>
            </w:r>
          </w:p>
        </w:tc>
        <w:tc>
          <w:tcPr>
            <w:tcW w:w="16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2,038</w:t>
            </w:r>
          </w:p>
        </w:tc>
      </w:tr>
    </w:tbl>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Beneficial leases obtained in business combinations where we are the landlord are amortized over the life of the relevant leases. Trade names are amortized based on the accelerated amortization method over their estimated useful life of 30 years, and other intangible assets are amortized over their estimated useful lives of up to 30 years (except for transferrable liquor licenses, which are indefinite-lived assets). The table below summarizes the amortization expense of intangible assets for the quarter ended March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Beneficial lease amortization</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89"/>
        </w:trPr>
        <w:tc>
          <w:tcPr>
            <w:tcW w:w="7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 amortization</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2"/>
          </w:tcPr>
          <w:p>
            <w:pPr>
              <w:ind w:left="1240"/>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6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89"/>
        </w:trPr>
        <w:tc>
          <w:tcPr>
            <w:tcW w:w="70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intangible assets amortization</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68</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Investments in Unconsolidated Joint Ventures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in unconsolidated joint ventures are accounted for under the equity method of accounting.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active investment holdings in two (2) unconsolidated joint ventures as of March 31, 2024, and December 31,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3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Rialto Cinemas</w:t>
            </w:r>
          </w:p>
        </w:tc>
        <w:tc>
          <w:tcPr>
            <w:tcW w:w="3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764</w:t>
            </w:r>
          </w:p>
        </w:tc>
        <w:tc>
          <w:tcPr>
            <w:tcW w:w="360" w:type="dxa"/>
            <w:vAlign w:val="bottom"/>
            <w:gridSpan w:val="2"/>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848</w:t>
            </w:r>
          </w:p>
        </w:tc>
      </w:tr>
      <w:tr>
        <w:trPr>
          <w:trHeight w:val="189"/>
        </w:trPr>
        <w:tc>
          <w:tcPr>
            <w:tcW w:w="34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Mt. Gravatt</w:t>
            </w:r>
          </w:p>
        </w:tc>
        <w:tc>
          <w:tcPr>
            <w:tcW w:w="4700" w:type="dxa"/>
            <w:vAlign w:val="bottom"/>
            <w:tcBorders>
              <w:bottom w:val="single" w:sz="8" w:color="CCEEFF"/>
            </w:tcBorders>
            <w:gridSpan w:val="3"/>
          </w:tcPr>
          <w:p>
            <w:pPr>
              <w:ind w:left="3820"/>
              <w:spacing w:after="0" w:line="189" w:lineRule="exact"/>
              <w:rPr>
                <w:sz w:val="20"/>
                <w:szCs w:val="20"/>
                <w:color w:val="auto"/>
              </w:rPr>
            </w:pPr>
            <w:r>
              <w:rPr>
                <w:rFonts w:ascii="Times New Roman" w:cs="Times New Roman" w:eastAsia="Times New Roman" w:hAnsi="Times New Roman"/>
                <w:sz w:val="18"/>
                <w:szCs w:val="18"/>
                <w:color w:val="auto"/>
              </w:rPr>
              <w:t>33.3%</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3,775</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3,908</w:t>
            </w:r>
          </w:p>
        </w:tc>
      </w:tr>
      <w:tr>
        <w:trPr>
          <w:trHeight w:val="202"/>
        </w:trPr>
        <w:tc>
          <w:tcPr>
            <w:tcW w:w="34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investments</w:t>
            </w:r>
          </w:p>
        </w:tc>
        <w:tc>
          <w:tcPr>
            <w:tcW w:w="3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4,539</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4,756</w:t>
            </w:r>
          </w:p>
        </w:tc>
      </w:tr>
      <w:tr>
        <w:trPr>
          <w:trHeight w:val="379"/>
        </w:trPr>
        <w:tc>
          <w:tcPr>
            <w:tcW w:w="3440" w:type="dxa"/>
            <w:vAlign w:val="bottom"/>
          </w:tcPr>
          <w:p>
            <w:pPr>
              <w:spacing w:after="0"/>
              <w:rPr>
                <w:sz w:val="24"/>
                <w:szCs w:val="24"/>
                <w:color w:val="auto"/>
              </w:rPr>
            </w:pPr>
          </w:p>
        </w:tc>
        <w:tc>
          <w:tcPr>
            <w:tcW w:w="32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8"/>
        </w:trPr>
        <w:tc>
          <w:tcPr>
            <w:tcW w:w="34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5" w:name="page16"/>
    <w:bookmarkEnd w:id="15"/>
    <w:p>
      <w:pPr>
        <w:ind w:right="480"/>
        <w:spacing w:after="0" w:line="250" w:lineRule="auto"/>
        <w:rPr>
          <w:sz w:val="20"/>
          <w:szCs w:val="20"/>
          <w:color w:val="auto"/>
        </w:rPr>
      </w:pPr>
      <w:r>
        <w:rPr>
          <w:rFonts w:ascii="Times New Roman" w:cs="Times New Roman" w:eastAsia="Times New Roman" w:hAnsi="Times New Roman"/>
          <w:sz w:val="18"/>
          <w:szCs w:val="18"/>
          <w:color w:val="auto"/>
        </w:rPr>
        <w:t>For the quarter ended March 31, 2024 and 2023, the recognized share of equity earnings from our investments in unconsolidated joint ventures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Rialto Cinemas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0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9"/>
        </w:trPr>
        <w:tc>
          <w:tcPr>
            <w:tcW w:w="702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Mt. Gravatt</w:t>
            </w: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3"/>
        </w:trPr>
        <w:tc>
          <w:tcPr>
            <w:tcW w:w="70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equity earnings</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700"/>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378"/>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Prepaid and Other Assets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assets are summarized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7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Prepaid and other current assets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Prepaid expenses</w:t>
            </w:r>
          </w:p>
        </w:tc>
        <w:tc>
          <w:tcPr>
            <w:tcW w:w="150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1,907</w:t>
            </w:r>
          </w:p>
        </w:tc>
        <w:tc>
          <w:tcPr>
            <w:tcW w:w="80" w:type="dxa"/>
            <w:vAlign w:val="bottom"/>
          </w:tcPr>
          <w:p>
            <w:pPr>
              <w:spacing w:after="0"/>
              <w:rPr>
                <w:sz w:val="16"/>
                <w:szCs w:val="16"/>
                <w:color w:val="auto"/>
              </w:rPr>
            </w:pPr>
          </w:p>
        </w:tc>
        <w:tc>
          <w:tcPr>
            <w:tcW w:w="260" w:type="dxa"/>
            <w:vAlign w:val="bottom"/>
            <w:gridSpan w:val="2"/>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Prepaid taxes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189"/>
        </w:trPr>
        <w:tc>
          <w:tcPr>
            <w:tcW w:w="70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Income taxes receivable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189"/>
        </w:trPr>
        <w:tc>
          <w:tcPr>
            <w:tcW w:w="702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Investments in marketable securities</w:t>
            </w: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3"/>
        </w:trPr>
        <w:tc>
          <w:tcPr>
            <w:tcW w:w="70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prepaid and other current assets</w:t>
            </w:r>
          </w:p>
        </w:tc>
        <w:tc>
          <w:tcPr>
            <w:tcW w:w="110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3,069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2,881</w:t>
            </w:r>
          </w:p>
        </w:tc>
        <w:tc>
          <w:tcPr>
            <w:tcW w:w="0" w:type="dxa"/>
            <w:vAlign w:val="bottom"/>
          </w:tcPr>
          <w:p>
            <w:pPr>
              <w:spacing w:after="0"/>
              <w:rPr>
                <w:sz w:val="1"/>
                <w:szCs w:val="1"/>
                <w:color w:val="auto"/>
              </w:rPr>
            </w:pPr>
          </w:p>
        </w:tc>
      </w:tr>
      <w:tr>
        <w:trPr>
          <w:trHeight w:val="176"/>
        </w:trPr>
        <w:tc>
          <w:tcPr>
            <w:tcW w:w="7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non-cinema and non-rental real estate assets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189"/>
        </w:trPr>
        <w:tc>
          <w:tcPr>
            <w:tcW w:w="70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Investment in Reading International Trust I</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838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Straight-line rent asset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7,426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7,445</w:t>
            </w:r>
          </w:p>
        </w:tc>
        <w:tc>
          <w:tcPr>
            <w:tcW w:w="0" w:type="dxa"/>
            <w:vAlign w:val="bottom"/>
          </w:tcPr>
          <w:p>
            <w:pPr>
              <w:spacing w:after="0"/>
              <w:rPr>
                <w:sz w:val="1"/>
                <w:szCs w:val="1"/>
                <w:color w:val="auto"/>
              </w:rPr>
            </w:pPr>
          </w:p>
        </w:tc>
      </w:tr>
      <w:tr>
        <w:trPr>
          <w:trHeight w:val="189"/>
        </w:trPr>
        <w:tc>
          <w:tcPr>
            <w:tcW w:w="702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Long-term deposits</w:t>
            </w: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other non-current assets</w:t>
            </w:r>
          </w:p>
        </w:tc>
        <w:tc>
          <w:tcPr>
            <w:tcW w:w="1100" w:type="dxa"/>
            <w:vAlign w:val="bottom"/>
            <w:tcBorders>
              <w:bottom w:val="single" w:sz="8" w:color="CCEEFF"/>
            </w:tcBorders>
            <w:gridSpan w:val="2"/>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8,948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8,965</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interim provision for income taxes is different from the amount determined by applying the U.S. federal statutory rate to consolidated income or loss before taxes. The differences are attributable to foreign tax rate differential, unrecognized tax benefits, and change in valuation allowance. Our effective tax rate was 1.6% and 4.1% for the three months ended March 31, 2024 and 2023, respectively. The difference is primarily due to an increase in reserve for unrecognized tax benefits in 2024. The forecasted effective tax rate is updated each quarter as new information becomes available.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Borrowings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Company’s borrowings at March 31, 2024 and December 31, 2023, net of deferred financing costs and including the impact of interest rate derivatives on effective interest rates,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160"/>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3"/>
                <w:szCs w:val="13"/>
                <w:color w:val="auto"/>
              </w:rPr>
            </w:pPr>
          </w:p>
        </w:tc>
        <w:tc>
          <w:tcPr>
            <w:tcW w:w="94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ind w:left="360"/>
              <w:spacing w:after="0" w:line="160" w:lineRule="exact"/>
              <w:rPr>
                <w:sz w:val="20"/>
                <w:szCs w:val="20"/>
                <w:color w:val="auto"/>
              </w:rPr>
            </w:pPr>
            <w:r>
              <w:rPr>
                <w:rFonts w:ascii="Times New Roman" w:cs="Times New Roman" w:eastAsia="Times New Roman" w:hAnsi="Times New Roman"/>
                <w:sz w:val="14"/>
                <w:szCs w:val="14"/>
                <w:b w:val="1"/>
                <w:bCs w:val="1"/>
                <w:color w:val="auto"/>
              </w:rPr>
              <w:t>Stated</w:t>
            </w: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6"/>
        </w:trPr>
        <w:tc>
          <w:tcPr>
            <w:tcW w:w="404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0" w:type="dxa"/>
            <w:vAlign w:val="bottom"/>
          </w:tcPr>
          <w:p>
            <w:pPr>
              <w:spacing w:after="0"/>
              <w:rPr>
                <w:sz w:val="17"/>
                <w:szCs w:val="17"/>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820" w:type="dxa"/>
            <w:vAlign w:val="bottom"/>
          </w:tcPr>
          <w:p>
            <w:pPr>
              <w:jc w:val="right"/>
              <w:ind w:right="229"/>
              <w:spacing w:after="0" w:line="189" w:lineRule="exact"/>
              <w:rPr>
                <w:sz w:val="20"/>
                <w:szCs w:val="20"/>
                <w:color w:val="auto"/>
              </w:rPr>
            </w:pPr>
            <w:r>
              <w:rPr>
                <w:rFonts w:ascii="Times New Roman" w:cs="Times New Roman" w:eastAsia="Times New Roman" w:hAnsi="Times New Roman"/>
                <w:sz w:val="13"/>
                <w:szCs w:val="13"/>
                <w:b w:val="1"/>
                <w:bCs w:val="1"/>
                <w:color w:val="auto"/>
              </w:rPr>
              <w:t>Net‎</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7"/>
                <w:szCs w:val="17"/>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62"/>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Denominated in USD</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Trust Preferred Securities (US)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30, 2027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27,228</w:t>
            </w:r>
          </w:p>
        </w:tc>
        <w:tc>
          <w:tcPr>
            <w:tcW w:w="12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w w:val="99"/>
              </w:rPr>
              <w:t>9.58%</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Bank of America Credit Facility (US)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August 18, 2025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17,665</w:t>
            </w:r>
          </w:p>
        </w:tc>
        <w:tc>
          <w:tcPr>
            <w:tcW w:w="1220" w:type="dxa"/>
            <w:vAlign w:val="bottom"/>
            <w:gridSpan w:val="3"/>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11.50%</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162"/>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Cinemas 1, 2, 3 Term Loan (US)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 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20,739</w:t>
            </w:r>
          </w:p>
        </w:tc>
        <w:tc>
          <w:tcPr>
            <w:tcW w:w="12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w w:val="99"/>
              </w:rPr>
              <w:t>8.83%</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Minetta &amp; Orpheum Theatres Loan (US)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1, 2024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w:t>
            </w:r>
          </w:p>
        </w:tc>
        <w:tc>
          <w:tcPr>
            <w:tcW w:w="1220" w:type="dxa"/>
            <w:vAlign w:val="bottom"/>
            <w:gridSpan w:val="3"/>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7.00%</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62"/>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Union Square Financing (US)(2)</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6, 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47,087</w:t>
            </w:r>
          </w:p>
        </w:tc>
        <w:tc>
          <w:tcPr>
            <w:tcW w:w="12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Money Promissory Note (US)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18, 2024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20" w:type="dxa"/>
            <w:vAlign w:val="bottom"/>
            <w:gridSpan w:val="3"/>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5.00%</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Denominated in foreign currency ("FC") </w:t>
            </w:r>
            <w:r>
              <w:rPr>
                <w:rFonts w:ascii="Times New Roman" w:cs="Times New Roman" w:eastAsia="Times New Roman" w:hAnsi="Times New Roman"/>
                <w:sz w:val="23"/>
                <w:szCs w:val="23"/>
                <w:color w:val="auto"/>
                <w:vertAlign w:val="superscript"/>
              </w:rPr>
              <w:t>(3)</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NAB Corporate Term Loan (AU)(2)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July 31, 2025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65,240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65,162</w:t>
            </w:r>
          </w:p>
        </w:tc>
        <w:tc>
          <w:tcPr>
            <w:tcW w:w="1220" w:type="dxa"/>
            <w:vAlign w:val="bottom"/>
            <w:gridSpan w:val="3"/>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6.10%</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62"/>
        </w:trPr>
        <w:tc>
          <w:tcPr>
            <w:tcW w:w="4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Westpac Bank Corporate (NZ)</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January 1, 2025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8,286</w:t>
            </w:r>
          </w:p>
        </w:tc>
        <w:tc>
          <w:tcPr>
            <w:tcW w:w="1220" w:type="dxa"/>
            <w:vAlign w:val="bottom"/>
            <w:tcBorders>
              <w:bottom w:val="single" w:sz="8" w:color="CCEEFF"/>
            </w:tcBorders>
            <w:gridSpan w:val="3"/>
          </w:tcPr>
          <w:p>
            <w:pPr>
              <w:jc w:val="center"/>
              <w:ind w:left="28"/>
              <w:spacing w:after="0"/>
              <w:rPr>
                <w:sz w:val="20"/>
                <w:szCs w:val="20"/>
                <w:color w:val="auto"/>
              </w:rPr>
            </w:pPr>
            <w:r>
              <w:rPr>
                <w:rFonts w:ascii="Times New Roman" w:cs="Times New Roman" w:eastAsia="Times New Roman" w:hAnsi="Times New Roman"/>
                <w:sz w:val="14"/>
                <w:szCs w:val="14"/>
                <w:color w:val="auto"/>
                <w:w w:val="99"/>
              </w:rPr>
              <w:t>8.20%</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63"/>
        </w:trPr>
        <w:tc>
          <w:tcPr>
            <w:tcW w:w="3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203,510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195,651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194,544</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financing costs amounting to $1.1 million.</w:t>
      </w:r>
    </w:p>
    <w:p>
      <w:pPr>
        <w:spacing w:after="0" w:line="17" w:lineRule="exact"/>
        <w:rPr>
          <w:rFonts w:ascii="Times New Roman" w:cs="Times New Roman" w:eastAsia="Times New Roman" w:hAnsi="Times New Roman"/>
          <w:sz w:val="14"/>
          <w:szCs w:val="14"/>
          <w:color w:val="auto"/>
        </w:rPr>
      </w:pPr>
    </w:p>
    <w:p>
      <w:pPr>
        <w:ind w:left="660" w:hanging="328"/>
        <w:spacing w:after="0" w:line="221" w:lineRule="auto"/>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facility was amended after March 31, 2024. See the discussion below.</w:t>
      </w:r>
    </w:p>
    <w:p>
      <w:pPr>
        <w:ind w:left="660" w:right="380" w:hanging="328"/>
        <w:spacing w:after="0" w:line="258" w:lineRule="auto"/>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contractual facilities and outstanding balances of the foreign currency denominated borrowings were translated into U.S. dollars based on the applicable exchange rates as of March 31, 2024.</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4"/>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tcPr>
          <w:p>
            <w:pPr>
              <w:spacing w:after="0"/>
              <w:rPr>
                <w:sz w:val="10"/>
                <w:szCs w:val="10"/>
                <w:color w:val="auto"/>
              </w:rPr>
            </w:pPr>
          </w:p>
        </w:tc>
        <w:tc>
          <w:tcPr>
            <w:tcW w:w="136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Stated</w:t>
            </w:r>
          </w:p>
        </w:tc>
        <w:tc>
          <w:tcPr>
            <w:tcW w:w="8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16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88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3"/>
                <w:szCs w:val="13"/>
                <w:b w:val="1"/>
                <w:bCs w:val="1"/>
                <w:color w:val="auto"/>
              </w:rPr>
              <w:t>‎Net</w:t>
            </w:r>
            <w:r>
              <w:rPr>
                <w:rFonts w:ascii="Times New Roman" w:cs="Times New Roman" w:eastAsia="Times New Roman" w:hAnsi="Times New Roman"/>
                <w:sz w:val="21"/>
                <w:szCs w:val="21"/>
                <w:b w:val="1"/>
                <w:bCs w:val="1"/>
                <w:color w:val="auto"/>
                <w:vertAlign w:val="superscript"/>
              </w:rPr>
              <w:t>(1)</w:t>
            </w:r>
          </w:p>
        </w:tc>
        <w:tc>
          <w:tcPr>
            <w:tcW w:w="60" w:type="dxa"/>
            <w:vAlign w:val="bottom"/>
          </w:tcPr>
          <w:p>
            <w:pPr>
              <w:spacing w:after="0"/>
              <w:rPr>
                <w:sz w:val="17"/>
                <w:szCs w:val="17"/>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62"/>
        </w:trPr>
        <w:tc>
          <w:tcPr>
            <w:tcW w:w="4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Denominated in USD</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Trust Preferred Securities (US)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30, 2027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w:t>
            </w:r>
          </w:p>
        </w:tc>
        <w:tc>
          <w:tcPr>
            <w:tcW w:w="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w:t>
            </w:r>
          </w:p>
        </w:tc>
        <w:tc>
          <w:tcPr>
            <w:tcW w:w="8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27,172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9.65%</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Bank of America Credit Facility (US)(3)</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September 4, 2024</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20,200</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20,200</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20,080</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162"/>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Cinemas 1, 2, 3 Term Loan (US)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1, 2024</w:t>
            </w:r>
          </w:p>
        </w:tc>
        <w:tc>
          <w:tcPr>
            <w:tcW w:w="1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21,008</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21,008</w:t>
            </w:r>
          </w:p>
        </w:tc>
        <w:tc>
          <w:tcPr>
            <w:tcW w:w="1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20,780</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8.84%</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Minetta &amp; Orpheum Theatres Loan (US)</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June 1, 2024</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8,000</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8.34%</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126"/>
        </w:trPr>
        <w:tc>
          <w:tcPr>
            <w:tcW w:w="4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U.S. Corporate Office Term Loan (US)</w:t>
            </w: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January 1, 2027</w:t>
            </w:r>
          </w:p>
        </w:tc>
        <w:tc>
          <w:tcPr>
            <w:tcW w:w="100" w:type="dxa"/>
            <w:vAlign w:val="bottom"/>
          </w:tcPr>
          <w:p>
            <w:pPr>
              <w:spacing w:after="0"/>
              <w:rPr>
                <w:sz w:val="10"/>
                <w:szCs w:val="10"/>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8,401</w:t>
            </w:r>
          </w:p>
        </w:tc>
        <w:tc>
          <w:tcPr>
            <w:tcW w:w="14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8,401</w:t>
            </w:r>
          </w:p>
        </w:tc>
        <w:tc>
          <w:tcPr>
            <w:tcW w:w="140" w:type="dxa"/>
            <w:vAlign w:val="bottom"/>
          </w:tcPr>
          <w:p>
            <w:pPr>
              <w:spacing w:after="0"/>
              <w:rPr>
                <w:sz w:val="10"/>
                <w:szCs w:val="10"/>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8,356</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4.64% / 4.44%</w:t>
            </w:r>
          </w:p>
        </w:tc>
        <w:tc>
          <w:tcPr>
            <w:tcW w:w="8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4.64% /</w:t>
            </w:r>
          </w:p>
        </w:tc>
        <w:tc>
          <w:tcPr>
            <w:tcW w:w="0" w:type="dxa"/>
            <w:vAlign w:val="bottom"/>
          </w:tcPr>
          <w:p>
            <w:pPr>
              <w:spacing w:after="0"/>
              <w:rPr>
                <w:sz w:val="1"/>
                <w:szCs w:val="1"/>
                <w:color w:val="auto"/>
              </w:rPr>
            </w:pPr>
          </w:p>
        </w:tc>
      </w:tr>
      <w:tr>
        <w:trPr>
          <w:trHeight w:val="185"/>
        </w:trPr>
        <w:tc>
          <w:tcPr>
            <w:tcW w:w="41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Union Square Financing (US)</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6, 2024</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47,141</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46,925</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12.53%</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162"/>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Purchase Money Promissory Note (US)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September 18, 2024</w:t>
            </w:r>
          </w:p>
        </w:tc>
        <w:tc>
          <w:tcPr>
            <w:tcW w:w="1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586</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586</w:t>
            </w:r>
          </w:p>
        </w:tc>
        <w:tc>
          <w:tcPr>
            <w:tcW w:w="1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Denominated in foreign currency ("FC")(2)</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NAB Corporate Term Loan (AU)</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July 31, 2025</w:t>
            </w:r>
          </w:p>
        </w:tc>
        <w:tc>
          <w:tcPr>
            <w:tcW w:w="1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68,276</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68,276</w:t>
            </w:r>
          </w:p>
        </w:tc>
        <w:tc>
          <w:tcPr>
            <w:tcW w:w="1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68,173</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6.11%</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6.11%</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Westpac Bank Corporate (NZ)</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January 1, 2025</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8,775</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8,775</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8,775</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8.20%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63"/>
        </w:trPr>
        <w:tc>
          <w:tcPr>
            <w:tcW w:w="4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218,159</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210,300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208,847</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financing costs amounting to $1.5 million.</w:t>
      </w:r>
    </w:p>
    <w:p>
      <w:pPr>
        <w:spacing w:after="0" w:line="17" w:lineRule="exact"/>
        <w:rPr>
          <w:rFonts w:ascii="Times New Roman" w:cs="Times New Roman" w:eastAsia="Times New Roman" w:hAnsi="Times New Roman"/>
          <w:sz w:val="14"/>
          <w:szCs w:val="14"/>
          <w:color w:val="auto"/>
        </w:rPr>
      </w:pPr>
    </w:p>
    <w:p>
      <w:pPr>
        <w:ind w:left="660" w:right="380" w:hanging="328"/>
        <w:spacing w:after="0" w:line="231"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contractual facilities and outstanding balances of the foreign currency denominated borrowings were translated into U.S. dollars based on the applicable exchange rates as of December 31, 2023.</w:t>
      </w: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financing facility was extended after December 31,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loan arrangements are presented, net of the deferred financing costs, on the face of our consolidated balance sheet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Sheet Caption (Dollars in thousands)</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Debt - current portion</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41,464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34,484</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Debt - long-term portion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125,459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146,605</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Subordinated debt - current portion</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586</w:t>
            </w:r>
          </w:p>
        </w:tc>
      </w:tr>
      <w:tr>
        <w:trPr>
          <w:trHeight w:val="189"/>
        </w:trPr>
        <w:tc>
          <w:tcPr>
            <w:tcW w:w="81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Subordinated debt - long-term portion</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27,228</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27,172</w:t>
            </w:r>
          </w:p>
        </w:tc>
      </w:tr>
      <w:tr>
        <w:trPr>
          <w:trHeight w:val="189"/>
        </w:trPr>
        <w:tc>
          <w:tcPr>
            <w:tcW w:w="81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borrowings</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194,544</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208,847</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of America Credit Facility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Bank of America facility was amended on March 27, 2024, to among other terms and conditions, (i) extend the Maturity Date to August 18, 2025, (ii)</w:t>
      </w:r>
    </w:p>
    <w:p>
      <w:pPr>
        <w:jc w:val="both"/>
        <w:spacing w:after="0" w:line="195" w:lineRule="auto"/>
        <w:rPr>
          <w:sz w:val="20"/>
          <w:szCs w:val="20"/>
          <w:color w:val="auto"/>
        </w:rPr>
      </w:pPr>
      <w:r>
        <w:rPr>
          <w:rFonts w:ascii="Times New Roman" w:cs="Times New Roman" w:eastAsia="Times New Roman" w:hAnsi="Times New Roman"/>
          <w:sz w:val="18"/>
          <w:szCs w:val="18"/>
          <w:color w:val="auto"/>
        </w:rPr>
        <w:t>require a $275,000 principal paydown, (iii) eliminate the minimum liquidity covenant, (iv) reduce the principal amortization amounts and provide a principal holiday period, and (v) require certain paydowns on the sale of certain real estate assets. Interest is charged at 3.0% above the Bank of America</w:t>
      </w:r>
    </w:p>
    <w:p>
      <w:pPr>
        <w:spacing w:after="0" w:line="204" w:lineRule="auto"/>
        <w:rPr>
          <w:sz w:val="20"/>
          <w:szCs w:val="20"/>
          <w:color w:val="auto"/>
        </w:rPr>
      </w:pPr>
      <w:r>
        <w:rPr>
          <w:rFonts w:ascii="Times New Roman" w:cs="Times New Roman" w:eastAsia="Times New Roman" w:hAnsi="Times New Roman"/>
          <w:sz w:val="18"/>
          <w:szCs w:val="18"/>
          <w:color w:val="auto"/>
        </w:rPr>
        <w:t>Prime rate, which itself has a floor of 1.0%. Payment-in-kind interest at a rate of 0.5% commenced on January 1, 2024, and will continue until</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December 31, 2024, increasing to 1.5% on January 1, 2025, until the facility is repaid in full. This loan is subject to mandatory prepayment out of a portion of the net proceeds realized by us in the event that we determine to sell certain specified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Minetta and Orpheum Theatres Loan</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November 1, 2023, our $8.0 million loan with Santander Bank, which is secured by our Minetta and Orpheum Theatres, matured. On January 26, 2024, we extended this loan for a further six months to June 1, 2024, while a full refinancing is pursued.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Cinemas 1,2,3 Term Loan</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Cinemas 1,2,3 Term Loan is held by Sutton Hill Properties LLC (“SHP”), a 75% owned subsidiary of RDI. On September 29, 2023, we extended the maturity of this loan from October 3, 2023, to October 1, 2024. The loan is with Valley National Bank, carries an interest rate of 3.50% above monthly SOFR, with a floor of 7.50%, and includes provisions for a prepaid interest reserve.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 Square Financing</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May 7, 2021, we closed on a new three year $55.0 million loan facility with Emerald Creek Capital secured by our 44 Union Square property and certain limited guarantees. Following the phase out of LIBOR, the facility bears a variable interest rate of TERM SOFR plus 6.9% and includes provisions for a prepaid interest and property tax reserve fund. On April 23, 2024, we executed the first 12 month extension on this loan, taking the maturity to May 6, 2025. The loan has one remaining 12-month option to extend, and may be repaid at any time, without the payment of any premium. As this option is within our control, we will continue to keep the loan classified as long-term.</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Money Promissory Note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18, 2019, we purchased for $5.5 million 407,000 shares of our Class A Common Stock in a privately negotiated transaction under our Share Repurchase Program. Of this amount, $3.5 million was paid by the issuance of a Purchase Money Promissory Note, which bears an interest rate of 5.0% per annum, payable in equal quarterly payments of principal plus accrued interest. The Purchase Money Promissory Note matures on September 18,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Corporate Office Term Loan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repaid this $8.4 million loan in full in February 2024, with a portion of the proceeds from the sale of our Culver City office building.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denominated in foreign currencies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Westpac Bank Corporate Credit Facility (NZ)</w:t>
      </w:r>
    </w:p>
    <w:p>
      <w:pPr>
        <w:spacing w:after="0" w:line="18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Our Westpac Corporate Credit Facility for NZ$13.8 million matures on January 1, 2025. The facility currently carries an interest rate and line of credit charge of 2.40% above the Bank Bill Bid Rate and 1.65% respectively. Westpac has waived the requirement to test certain covenants for each quarter since the third quarter of 2020, including the quarter ending March 31,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Australian NAB Corporate Term Loan (AU)</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Prior to March 31, 2024, our Revolving Corporate Markets Loan Facility with National Australia Bank (“NAB”) matured on July 31, 2025. It currently consists of (i) a AU$100.0 million Corporate Loan facility at 1.75% above BBSY, of which AU $60.0 million is revolving and AU$40.0 million is core and (ii) a Bank Guarantee Facility of AU$5.0 million at a rate of 1.9% per annum.</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April 4, 2024, we amended this facility, which now matures on July 31, 2026. As part of the amendment, we obtained an additional AU$20.0 million corporate loan facility which matures on March 31, 2025 (or earlier, upon the sale of certain assets), and modified certain covenants. We are also required, from March 31, 2025, to make quarterly repayments of AU $1.5 million against the AU$100.0 million Corporate Loan facility, until maturity date, representing permanent reductions in that facility’s ceiling. The bank guarantee facility was reduced to AU$3.0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Other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are summarized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Lease liability</w:t>
            </w:r>
          </w:p>
        </w:tc>
        <w:tc>
          <w:tcPr>
            <w:tcW w:w="380" w:type="dxa"/>
            <w:vAlign w:val="bottom"/>
            <w:gridSpan w:val="2"/>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5,900</w:t>
            </w:r>
          </w:p>
        </w:tc>
        <w:tc>
          <w:tcPr>
            <w:tcW w:w="16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5,900</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Accrued pension</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684</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Security deposit payable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74</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w:t>
            </w:r>
          </w:p>
        </w:tc>
      </w:tr>
      <w:tr>
        <w:trPr>
          <w:trHeight w:val="189"/>
        </w:trPr>
        <w:tc>
          <w:tcPr>
            <w:tcW w:w="81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203"/>
        </w:trPr>
        <w:tc>
          <w:tcPr>
            <w:tcW w:w="8180" w:type="dxa"/>
            <w:vAlign w:val="bottom"/>
            <w:tcBorders>
              <w:bottom w:val="single" w:sz="8" w:color="CCEEFF"/>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6,569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6,731</w:t>
            </w:r>
          </w:p>
        </w:tc>
      </w:tr>
      <w:tr>
        <w:trPr>
          <w:trHeight w:val="176"/>
        </w:trPr>
        <w:tc>
          <w:tcPr>
            <w:tcW w:w="81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Other liabilities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Lease make-good provision</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5,929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6,050</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Accrued pension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2,678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2,646</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 rent liability</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1,273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1,314</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Environmental reserve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1,656</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Acquired leases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9"/>
        </w:trPr>
        <w:tc>
          <w:tcPr>
            <w:tcW w:w="81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r>
      <w:tr>
        <w:trPr>
          <w:trHeight w:val="190"/>
        </w:trPr>
        <w:tc>
          <w:tcPr>
            <w:tcW w:w="8180" w:type="dxa"/>
            <w:vAlign w:val="bottom"/>
            <w:tcBorders>
              <w:bottom w:val="single" w:sz="8" w:color="CCEEFF"/>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11,569</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11,711</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Liability – Supplemental Executive Retirement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Details of our Supplemental Executive Retirement Plan are disclosed in </w:t>
      </w:r>
      <w:r>
        <w:rPr>
          <w:rFonts w:ascii="Times New Roman" w:cs="Times New Roman" w:eastAsia="Times New Roman" w:hAnsi="Times New Roman"/>
          <w:sz w:val="18"/>
          <w:szCs w:val="18"/>
          <w:i w:val="1"/>
          <w:iCs w:val="1"/>
          <w:color w:val="auto"/>
        </w:rPr>
        <w:t>Note 13 – Pension and Other Liabilities</w:t>
      </w:r>
      <w:r>
        <w:rPr>
          <w:rFonts w:ascii="Times New Roman" w:cs="Times New Roman" w:eastAsia="Times New Roman" w:hAnsi="Times New Roman"/>
          <w:sz w:val="18"/>
          <w:szCs w:val="18"/>
          <w:color w:val="auto"/>
        </w:rPr>
        <w:t xml:space="preserve"> in our 2022 Form 10-K.</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Included in our current and non-current liabilities are accrued pension costs of $3.2 million on March 31, 2024. The benefits of our pension plan are fully vested and therefore no service costs were recognized for the three months ended March 31, 2024, and 2023. Our pension plan is unfunded.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8" w:name="page19"/>
    <w:bookmarkEnd w:id="18"/>
    <w:p>
      <w:pPr>
        <w:spacing w:after="0" w:line="250" w:lineRule="auto"/>
        <w:rPr>
          <w:sz w:val="20"/>
          <w:szCs w:val="20"/>
          <w:color w:val="auto"/>
        </w:rPr>
      </w:pPr>
      <w:r>
        <w:rPr>
          <w:rFonts w:ascii="Times New Roman" w:cs="Times New Roman" w:eastAsia="Times New Roman" w:hAnsi="Times New Roman"/>
          <w:sz w:val="18"/>
          <w:szCs w:val="18"/>
          <w:color w:val="auto"/>
        </w:rPr>
        <w:t>During the quarter ended March 31, 2024, the interest cost was $44,000, and the actuarial loss was $52,000. During the quarter ended March 31, 2023, the interest cost was $50,000, and the actuarial loss was $52,000.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Accumulated Other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each component of accumulated other comprehensive income attributable to RDI:</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2"/>
                <w:szCs w:val="12"/>
                <w:color w:val="auto"/>
              </w:rPr>
            </w:pPr>
          </w:p>
        </w:tc>
        <w:tc>
          <w:tcPr>
            <w:tcW w:w="4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2"/>
                <w:szCs w:val="12"/>
                <w:color w:val="auto"/>
              </w:rPr>
            </w:pPr>
          </w:p>
        </w:tc>
        <w:tc>
          <w:tcPr>
            <w:tcW w:w="13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on‎ Available-</w:t>
            </w:r>
          </w:p>
        </w:tc>
        <w:tc>
          <w:tcPr>
            <w:tcW w:w="18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2"/>
                <w:szCs w:val="12"/>
                <w:color w:val="auto"/>
              </w:rPr>
            </w:pPr>
          </w:p>
        </w:tc>
        <w:tc>
          <w:tcPr>
            <w:tcW w:w="13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180" w:type="dxa"/>
            <w:vAlign w:val="bottom"/>
          </w:tcPr>
          <w:p>
            <w:pPr>
              <w:spacing w:after="0"/>
              <w:rPr>
                <w:sz w:val="12"/>
                <w:szCs w:val="12"/>
                <w:color w:val="auto"/>
              </w:rPr>
            </w:pPr>
          </w:p>
        </w:tc>
        <w:tc>
          <w:tcPr>
            <w:tcW w:w="136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320" w:type="dxa"/>
            <w:vAlign w:val="bottom"/>
          </w:tcPr>
          <w:p>
            <w:pPr>
              <w:spacing w:after="0"/>
              <w:rPr>
                <w:sz w:val="12"/>
                <w:szCs w:val="12"/>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80" w:type="dxa"/>
            <w:vAlign w:val="bottom"/>
          </w:tcPr>
          <w:p>
            <w:pPr>
              <w:spacing w:after="0"/>
              <w:rPr>
                <w:sz w:val="16"/>
                <w:szCs w:val="16"/>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Balance at January 1, 2024</w:t>
            </w:r>
          </w:p>
        </w:tc>
        <w:tc>
          <w:tcPr>
            <w:tcW w:w="240" w:type="dxa"/>
            <w:vAlign w:val="bottom"/>
            <w:tcBorders>
              <w:top w:val="single" w:sz="8" w:color="auto"/>
            </w:tcBorders>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(986)</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(1,669)</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(2,592)</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(2,538)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(3,578)</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(16)</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(1,617)</w:t>
            </w:r>
          </w:p>
        </w:tc>
        <w:tc>
          <w:tcPr>
            <w:tcW w:w="16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(5,211)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Matters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involved in certain legal proceedings and, to the extent required, have accrued estimates of probable and estimable losses for the resolution of these claims, including legal costs.</w:t>
      </w:r>
    </w:p>
    <w:p>
      <w:pPr>
        <w:spacing w:after="0" w:line="25"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color w:val="auto"/>
        </w:rPr>
        <w:t xml:space="preserve">Where we are the </w:t>
      </w:r>
      <w:r>
        <w:rPr>
          <w:rFonts w:ascii="Times New Roman" w:cs="Times New Roman" w:eastAsia="Times New Roman" w:hAnsi="Times New Roman"/>
          <w:sz w:val="18"/>
          <w:szCs w:val="18"/>
          <w:i w:val="1"/>
          <w:iCs w:val="1"/>
          <w:u w:val="single" w:color="auto"/>
          <w:color w:val="auto"/>
        </w:rPr>
        <w:t>plaintiffs</w:t>
      </w:r>
      <w:r>
        <w:rPr>
          <w:rFonts w:ascii="Times New Roman" w:cs="Times New Roman" w:eastAsia="Times New Roman" w:hAnsi="Times New Roman"/>
          <w:sz w:val="18"/>
          <w:szCs w:val="18"/>
          <w:color w:val="auto"/>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49"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18"/>
          <w:szCs w:val="18"/>
          <w:color w:val="auto"/>
        </w:rPr>
        <w:t xml:space="preserve">Where we are the </w:t>
      </w:r>
      <w:r>
        <w:rPr>
          <w:rFonts w:ascii="Times New Roman" w:cs="Times New Roman" w:eastAsia="Times New Roman" w:hAnsi="Times New Roman"/>
          <w:sz w:val="18"/>
          <w:szCs w:val="18"/>
          <w:i w:val="1"/>
          <w:iCs w:val="1"/>
          <w:u w:val="single" w:color="auto"/>
          <w:color w:val="auto"/>
        </w:rPr>
        <w:t>defendants</w:t>
      </w:r>
      <w:r>
        <w:rPr>
          <w:rFonts w:ascii="Times New Roman" w:cs="Times New Roman" w:eastAsia="Times New Roman" w:hAnsi="Times New Roman"/>
          <w:sz w:val="18"/>
          <w:szCs w:val="18"/>
          <w:color w:val="auto"/>
        </w:rPr>
        <w:t xml:space="preserve">, we accrue for probable damages that insurance may not cover as they become known and can be reasonably estimated, as permitted under ASC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Environmental and Asbestos Claims on Reading Legacy Operations</w:t>
      </w:r>
    </w:p>
    <w:p>
      <w:pPr>
        <w:spacing w:after="0" w:line="18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Certain of our subsidiaries were historically involved in railroad operations, coal mining, and manufacturing. Also, certain of these subsidiaries appear in the chain-of-title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1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not material.</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16 – Non-controlling Interests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composed of the following enterprises: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Australia Country Cinemas Pty Ltd. - 25% noncontrolling interest owned by Panorama Group International Pty Ltd;</w:t>
      </w:r>
    </w:p>
    <w:p>
      <w:pPr>
        <w:spacing w:after="0" w:line="76" w:lineRule="exact"/>
        <w:rPr>
          <w:sz w:val="20"/>
          <w:szCs w:val="20"/>
          <w:color w:val="auto"/>
        </w:rPr>
      </w:pPr>
    </w:p>
    <w:p>
      <w:pPr>
        <w:ind w:left="660" w:right="400"/>
        <w:spacing w:after="0" w:line="250" w:lineRule="auto"/>
        <w:rPr>
          <w:sz w:val="20"/>
          <w:szCs w:val="20"/>
          <w:color w:val="auto"/>
        </w:rPr>
      </w:pPr>
      <w:r>
        <w:rPr>
          <w:rFonts w:ascii="Times New Roman" w:cs="Times New Roman" w:eastAsia="Times New Roman" w:hAnsi="Times New Roman"/>
          <w:sz w:val="18"/>
          <w:szCs w:val="18"/>
          <w:color w:val="auto"/>
        </w:rPr>
        <w:t>Shadow View Land and Farming, LLC - 50% noncontrolling membership interest owned by the estate of Mr. James J. Cotter, Sr. (the “Cotter Estate”); and,</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Sutton Hill Properties, LLC - 25% noncontrolling interest owned by Sutton Hill Capital, LLC (which in turn is 50% owned by the Cotter Estate).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noncontrolling interests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Australian Country Cinemas, Pty Ltd</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89"/>
        </w:trPr>
        <w:tc>
          <w:tcPr>
            <w:tcW w:w="7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Shadow View Land and Farming, LLC</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Sutton Hill Properties, LLC</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89"/>
        </w:trPr>
        <w:tc>
          <w:tcPr>
            <w:tcW w:w="70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Noncontrolling interests in consolidated subsidiaries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(269)</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392"/>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income attributable to noncontrolling interests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7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Australian Country Cinemas, Pty Ltd</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6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9"/>
        </w:trPr>
        <w:tc>
          <w:tcPr>
            <w:tcW w:w="7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Shadow View Land and Farming, LLC</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Sutton Hill Properties, LLC</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189"/>
        </w:trPr>
        <w:tc>
          <w:tcPr>
            <w:tcW w:w="70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tc>
        <w:tc>
          <w:tcPr>
            <w:tcW w:w="24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760"/>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(213)</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Controlling and Noncontrolling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controlling and noncontrolling stockholders’ equity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gridSpan w:val="2"/>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80" w:type="dxa"/>
            <w:vAlign w:val="bottom"/>
          </w:tcPr>
          <w:p>
            <w:pPr>
              <w:spacing w:after="0"/>
              <w:rPr>
                <w:sz w:val="13"/>
                <w:szCs w:val="13"/>
                <w:color w:val="auto"/>
              </w:rPr>
            </w:pPr>
          </w:p>
        </w:tc>
        <w:tc>
          <w:tcPr>
            <w:tcW w:w="84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9"/>
              </w:rPr>
              <w:t>Reading</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08"/>
        </w:trPr>
        <w:tc>
          <w:tcPr>
            <w:tcW w:w="118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20" w:type="dxa"/>
            <w:vAlign w:val="bottom"/>
            <w:tcBorders>
              <w:right w:val="single" w:sz="8" w:color="auto"/>
            </w:tcBorders>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72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640" w:type="dxa"/>
            <w:vAlign w:val="bottom"/>
            <w:tcBorders>
              <w:right w:val="single" w:sz="8" w:color="auto"/>
            </w:tcBorders>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820" w:type="dxa"/>
            <w:vAlign w:val="bottom"/>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40" w:type="dxa"/>
            <w:vAlign w:val="bottom"/>
            <w:gridSpan w:val="2"/>
          </w:tcPr>
          <w:p>
            <w:pPr>
              <w:jc w:val="center"/>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jc w:val="right"/>
              <w:ind w:right="298"/>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120" w:type="dxa"/>
            <w:vAlign w:val="bottom"/>
            <w:gridSpan w:val="2"/>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International Inc.</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ind w:right="118"/>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35"/>
        </w:trPr>
        <w:tc>
          <w:tcPr>
            <w:tcW w:w="118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24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118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Voting</w:t>
            </w:r>
          </w:p>
        </w:tc>
        <w:tc>
          <w:tcPr>
            <w:tcW w:w="6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Voting</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80" w:type="dxa"/>
            <w:vAlign w:val="bottom"/>
          </w:tcPr>
          <w:p>
            <w:pPr>
              <w:spacing w:after="0"/>
              <w:rPr>
                <w:sz w:val="11"/>
                <w:szCs w:val="11"/>
                <w:color w:val="auto"/>
              </w:rPr>
            </w:pPr>
          </w:p>
        </w:tc>
        <w:tc>
          <w:tcPr>
            <w:tcW w:w="2120" w:type="dxa"/>
            <w:vAlign w:val="bottom"/>
            <w:gridSpan w:val="5"/>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Paid-In   (Accumulated   Treasury</w:t>
            </w:r>
          </w:p>
        </w:tc>
        <w:tc>
          <w:tcPr>
            <w:tcW w:w="1000" w:type="dxa"/>
            <w:vAlign w:val="bottom"/>
            <w:gridSpan w:val="2"/>
          </w:tcPr>
          <w:p>
            <w:pPr>
              <w:jc w:val="center"/>
              <w:ind w:right="18"/>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12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w w:val="99"/>
              </w:rPr>
              <w:t>(Dollars in thousands,</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except shares)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40" w:type="dxa"/>
            <w:vAlign w:val="bottom"/>
            <w:tcBorders>
              <w:bottom w:val="single" w:sz="8" w:color="auto"/>
              <w:right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36"/>
        </w:trPr>
        <w:tc>
          <w:tcPr>
            <w:tcW w:w="1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At January 1, 2024</w:t>
            </w:r>
          </w:p>
        </w:tc>
        <w:tc>
          <w:tcPr>
            <w:tcW w:w="1160" w:type="dxa"/>
            <w:vAlign w:val="bottom"/>
            <w:tcBorders>
              <w:bottom w:val="single" w:sz="8" w:color="auto"/>
              <w:right w:val="single" w:sz="8" w:color="auto"/>
            </w:tcBorders>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20,664</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237</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155,402</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(79,489)</w:t>
            </w: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(2,673)</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33,087</w:t>
            </w: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(91)</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32,996</w:t>
            </w:r>
          </w:p>
        </w:tc>
      </w:tr>
      <w:tr>
        <w:trPr>
          <w:trHeight w:val="135"/>
        </w:trPr>
        <w:tc>
          <w:tcPr>
            <w:tcW w:w="1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160" w:type="dxa"/>
            <w:vAlign w:val="bottom"/>
            <w:tcBorders>
              <w:right w:val="single" w:sz="8" w:color="auto"/>
            </w:tcBorders>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380" w:type="dxa"/>
            <w:vAlign w:val="bottom"/>
            <w:tcBorders>
              <w:right w:val="single" w:sz="8" w:color="auto"/>
            </w:tcBorders>
          </w:tcPr>
          <w:p>
            <w:pPr>
              <w:jc w:val="center"/>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41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center"/>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(13,228)</w:t>
            </w:r>
          </w:p>
        </w:tc>
        <w:tc>
          <w:tcPr>
            <w:tcW w:w="80" w:type="dxa"/>
            <w:vAlign w:val="bottom"/>
          </w:tcPr>
          <w:p>
            <w:pPr>
              <w:spacing w:after="0"/>
              <w:rPr>
                <w:sz w:val="11"/>
                <w:szCs w:val="11"/>
                <w:color w:val="auto"/>
              </w:rPr>
            </w:pPr>
          </w:p>
        </w:tc>
        <w:tc>
          <w:tcPr>
            <w:tcW w:w="560" w:type="dxa"/>
            <w:vAlign w:val="bottom"/>
          </w:tcPr>
          <w:p>
            <w:pPr>
              <w:jc w:val="right"/>
              <w:ind w:right="3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(13,228)</w:t>
            </w:r>
          </w:p>
        </w:tc>
        <w:tc>
          <w:tcPr>
            <w:tcW w:w="100" w:type="dxa"/>
            <w:vAlign w:val="bottom"/>
          </w:tcPr>
          <w:p>
            <w:pPr>
              <w:spacing w:after="0"/>
              <w:rPr>
                <w:sz w:val="11"/>
                <w:szCs w:val="11"/>
                <w:color w:val="auto"/>
              </w:rPr>
            </w:pPr>
          </w:p>
        </w:tc>
        <w:tc>
          <w:tcPr>
            <w:tcW w:w="8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(13,403)</w:t>
            </w:r>
          </w:p>
        </w:tc>
      </w:tr>
      <w:tr>
        <w:trPr>
          <w:trHeight w:val="135"/>
        </w:trPr>
        <w:tc>
          <w:tcPr>
            <w:tcW w:w="2340" w:type="dxa"/>
            <w:vAlign w:val="bottom"/>
            <w:tcBorders>
              <w:right w:val="single" w:sz="8" w:color="auto"/>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720" w:type="dxa"/>
            <w:vAlign w:val="bottom"/>
            <w:tcBorders>
              <w:right w:val="single" w:sz="8" w:color="CCEEFF"/>
            </w:tcBorders>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jc w:val="center"/>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ind w:right="41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center"/>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(2,538)</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(2,538)</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(2,541)</w:t>
            </w:r>
          </w:p>
        </w:tc>
      </w:tr>
      <w:tr>
        <w:trPr>
          <w:trHeight w:val="135"/>
        </w:trPr>
        <w:tc>
          <w:tcPr>
            <w:tcW w:w="2340" w:type="dxa"/>
            <w:vAlign w:val="bottom"/>
            <w:tcBorders>
              <w:right w:val="single" w:sz="8" w:color="auto"/>
            </w:tcBorders>
            <w:gridSpan w:val="2"/>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7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380" w:type="dxa"/>
            <w:vAlign w:val="bottom"/>
            <w:tcBorders>
              <w:right w:val="single" w:sz="8" w:color="auto"/>
            </w:tcBorders>
          </w:tcPr>
          <w:p>
            <w:pPr>
              <w:jc w:val="center"/>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41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center"/>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678</w:t>
            </w:r>
          </w:p>
        </w:tc>
        <w:tc>
          <w:tcPr>
            <w:tcW w:w="16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ind w:right="3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678</w:t>
            </w:r>
          </w:p>
        </w:tc>
        <w:tc>
          <w:tcPr>
            <w:tcW w:w="100" w:type="dxa"/>
            <w:vAlign w:val="bottom"/>
          </w:tcPr>
          <w:p>
            <w:pPr>
              <w:spacing w:after="0"/>
              <w:rPr>
                <w:sz w:val="11"/>
                <w:szCs w:val="11"/>
                <w:color w:val="auto"/>
              </w:rPr>
            </w:pPr>
          </w:p>
        </w:tc>
        <w:tc>
          <w:tcPr>
            <w:tcW w:w="8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678</w:t>
            </w:r>
          </w:p>
        </w:tc>
      </w:tr>
      <w:tr>
        <w:trPr>
          <w:trHeight w:val="135"/>
        </w:trPr>
        <w:tc>
          <w:tcPr>
            <w:tcW w:w="118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9"/>
              </w:rPr>
              <w:t>Restricted Stock Units</w:t>
            </w:r>
          </w:p>
        </w:tc>
        <w:tc>
          <w:tcPr>
            <w:tcW w:w="1160" w:type="dxa"/>
            <w:vAlign w:val="bottom"/>
            <w:tcBorders>
              <w:bottom w:val="single" w:sz="8" w:color="auto"/>
              <w:right w:val="single" w:sz="8" w:color="auto"/>
            </w:tcBorders>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2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right w:val="single" w:sz="8" w:color="auto"/>
            </w:tcBorders>
            <w:shd w:val="clear" w:color="auto" w:fill="CCEEFF"/>
          </w:tcPr>
          <w:p>
            <w:pPr>
              <w:jc w:val="center"/>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right w:val="single" w:sz="8" w:color="CCEEFF"/>
            </w:tcBorders>
            <w:shd w:val="clear" w:color="auto" w:fill="CCEEFF"/>
          </w:tcPr>
          <w:p>
            <w:pPr>
              <w:jc w:val="right"/>
              <w:ind w:right="41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right w:val="single" w:sz="8" w:color="auto"/>
            </w:tcBorders>
            <w:shd w:val="clear" w:color="auto" w:fill="CCEEFF"/>
          </w:tcPr>
          <w:p>
            <w:pPr>
              <w:jc w:val="center"/>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3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r>
      <w:tr>
        <w:trPr>
          <w:trHeight w:val="136"/>
        </w:trPr>
        <w:tc>
          <w:tcPr>
            <w:tcW w:w="11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At March 31, 2024</w:t>
            </w:r>
          </w:p>
        </w:tc>
        <w:tc>
          <w:tcPr>
            <w:tcW w:w="116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20,673</w:t>
            </w:r>
          </w:p>
        </w:tc>
        <w:tc>
          <w:tcPr>
            <w:tcW w:w="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237</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156,078</w:t>
            </w: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(92,717)</w:t>
            </w: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(5,211)</w:t>
            </w: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17,997</w:t>
            </w:r>
          </w:p>
        </w:tc>
        <w:tc>
          <w:tcPr>
            <w:tcW w:w="1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(269)</w:t>
            </w:r>
          </w:p>
        </w:tc>
        <w:tc>
          <w:tcPr>
            <w:tcW w:w="1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17,728</w:t>
            </w:r>
          </w:p>
        </w:tc>
      </w:tr>
      <w:tr>
        <w:trPr>
          <w:trHeight w:val="540"/>
        </w:trPr>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gridSpan w:val="2"/>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80" w:type="dxa"/>
            <w:vAlign w:val="bottom"/>
          </w:tcPr>
          <w:p>
            <w:pPr>
              <w:spacing w:after="0"/>
              <w:rPr>
                <w:sz w:val="24"/>
                <w:szCs w:val="24"/>
                <w:color w:val="auto"/>
              </w:rPr>
            </w:pPr>
          </w:p>
        </w:tc>
        <w:tc>
          <w:tcPr>
            <w:tcW w:w="84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9"/>
              </w:rPr>
              <w:t>Reading</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8"/>
        </w:trPr>
        <w:tc>
          <w:tcPr>
            <w:tcW w:w="118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20" w:type="dxa"/>
            <w:vAlign w:val="bottom"/>
            <w:tcBorders>
              <w:right w:val="single" w:sz="8" w:color="auto"/>
            </w:tcBorders>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72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640" w:type="dxa"/>
            <w:vAlign w:val="bottom"/>
            <w:tcBorders>
              <w:right w:val="single" w:sz="8" w:color="auto"/>
            </w:tcBorders>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820" w:type="dxa"/>
            <w:vAlign w:val="bottom"/>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40" w:type="dxa"/>
            <w:vAlign w:val="bottom"/>
            <w:gridSpan w:val="2"/>
          </w:tcPr>
          <w:p>
            <w:pPr>
              <w:jc w:val="center"/>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jc w:val="right"/>
              <w:ind w:right="298"/>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120" w:type="dxa"/>
            <w:vAlign w:val="bottom"/>
            <w:gridSpan w:val="2"/>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International Inc.</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ind w:right="118"/>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35"/>
        </w:trPr>
        <w:tc>
          <w:tcPr>
            <w:tcW w:w="118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24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118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Voting</w:t>
            </w:r>
          </w:p>
        </w:tc>
        <w:tc>
          <w:tcPr>
            <w:tcW w:w="6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Voting</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80" w:type="dxa"/>
            <w:vAlign w:val="bottom"/>
          </w:tcPr>
          <w:p>
            <w:pPr>
              <w:spacing w:after="0"/>
              <w:rPr>
                <w:sz w:val="11"/>
                <w:szCs w:val="11"/>
                <w:color w:val="auto"/>
              </w:rPr>
            </w:pPr>
          </w:p>
        </w:tc>
        <w:tc>
          <w:tcPr>
            <w:tcW w:w="2120" w:type="dxa"/>
            <w:vAlign w:val="bottom"/>
            <w:gridSpan w:val="5"/>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Paid-In   (Accumulated   Treasury</w:t>
            </w:r>
          </w:p>
        </w:tc>
        <w:tc>
          <w:tcPr>
            <w:tcW w:w="1000" w:type="dxa"/>
            <w:vAlign w:val="bottom"/>
            <w:gridSpan w:val="2"/>
          </w:tcPr>
          <w:p>
            <w:pPr>
              <w:jc w:val="center"/>
              <w:ind w:right="18"/>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12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w w:val="99"/>
              </w:rPr>
              <w:t>(Dollars in thousands,</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except shares)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40" w:type="dxa"/>
            <w:vAlign w:val="bottom"/>
            <w:tcBorders>
              <w:bottom w:val="single" w:sz="8" w:color="auto"/>
              <w:right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35"/>
        </w:trPr>
        <w:tc>
          <w:tcPr>
            <w:tcW w:w="1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At January 1, 2023</w:t>
            </w:r>
          </w:p>
        </w:tc>
        <w:tc>
          <w:tcPr>
            <w:tcW w:w="1160" w:type="dxa"/>
            <w:vAlign w:val="bottom"/>
            <w:tcBorders>
              <w:bottom w:val="single" w:sz="8" w:color="auto"/>
              <w:right w:val="single" w:sz="8" w:color="auto"/>
            </w:tcBorders>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20,410</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235</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1,680</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153,784</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(48,816)</w:t>
            </w: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(1,957)</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62,856</w:t>
            </w: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423</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63,279</w:t>
            </w:r>
          </w:p>
        </w:tc>
      </w:tr>
      <w:tr>
        <w:trPr>
          <w:trHeight w:val="135"/>
        </w:trPr>
        <w:tc>
          <w:tcPr>
            <w:tcW w:w="1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160" w:type="dxa"/>
            <w:vAlign w:val="bottom"/>
            <w:tcBorders>
              <w:right w:val="single" w:sz="8" w:color="auto"/>
            </w:tcBorders>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38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(11,111)</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(11,111)</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(11,324)</w:t>
            </w:r>
          </w:p>
        </w:tc>
      </w:tr>
      <w:tr>
        <w:trPr>
          <w:trHeight w:val="135"/>
        </w:trPr>
        <w:tc>
          <w:tcPr>
            <w:tcW w:w="2340" w:type="dxa"/>
            <w:vAlign w:val="bottom"/>
            <w:tcBorders>
              <w:right w:val="single" w:sz="8" w:color="auto"/>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(1,293)</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(1,293)</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(1,294)</w:t>
            </w:r>
          </w:p>
        </w:tc>
      </w:tr>
      <w:tr>
        <w:trPr>
          <w:trHeight w:val="135"/>
        </w:trPr>
        <w:tc>
          <w:tcPr>
            <w:tcW w:w="2340" w:type="dxa"/>
            <w:vAlign w:val="bottom"/>
            <w:tcBorders>
              <w:right w:val="single" w:sz="8" w:color="auto"/>
            </w:tcBorders>
            <w:gridSpan w:val="2"/>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38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r>
      <w:tr>
        <w:trPr>
          <w:trHeight w:val="135"/>
        </w:trPr>
        <w:tc>
          <w:tcPr>
            <w:tcW w:w="118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9"/>
              </w:rPr>
              <w:t>Restricted Stock Units</w:t>
            </w:r>
          </w:p>
        </w:tc>
        <w:tc>
          <w:tcPr>
            <w:tcW w:w="1160" w:type="dxa"/>
            <w:vAlign w:val="bottom"/>
            <w:tcBorders>
              <w:bottom w:val="single" w:sz="8" w:color="auto"/>
              <w:right w:val="single" w:sz="8" w:color="auto"/>
            </w:tcBorders>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2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r>
      <w:tr>
        <w:trPr>
          <w:trHeight w:val="135"/>
        </w:trPr>
        <w:tc>
          <w:tcPr>
            <w:tcW w:w="11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At March 31, 2023</w:t>
            </w:r>
          </w:p>
        </w:tc>
        <w:tc>
          <w:tcPr>
            <w:tcW w:w="116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20,499</w:t>
            </w:r>
          </w:p>
        </w:tc>
        <w:tc>
          <w:tcPr>
            <w:tcW w:w="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235</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1,680</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154,095</w:t>
            </w: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(59,927)</w:t>
            </w: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(3,250)</w:t>
            </w: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50,763</w:t>
            </w:r>
          </w:p>
        </w:tc>
        <w:tc>
          <w:tcPr>
            <w:tcW w:w="1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209</w:t>
            </w:r>
          </w:p>
        </w:tc>
        <w:tc>
          <w:tcPr>
            <w:tcW w:w="1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50,972</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Stock-Based Compensation and Stock Repurchases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and Director Stock Incentive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2020 Stock Incentive Plan</w:t>
      </w:r>
    </w:p>
    <w:p>
      <w:pPr>
        <w:spacing w:after="0" w:line="2"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color w:val="auto"/>
        </w:rPr>
        <w:t>On November 4, 2020, the Company enacted the 2020 Stock Incentive Plan, which was also approved by the Company’s stockholders on December 8, 2020 (as amended, the “2020 Plan”). Under the 2020 Plan, the number of permitted authorized shares for issuance was originally set at 1,250,000, plus any shares reserved for awards outstanding under the 2010 Plan that were subsequently forfeited (for instance, through a then outstanding out of the money option) or if the related shares are repurchased, a corresponding number of shares would automatically become available for issuance under the 2020 Plan. On December 7, 2023, the Company’s stockholders,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0" w:name="page21"/>
    <w:bookmarkEnd w:id="20"/>
    <w:p>
      <w:pPr>
        <w:ind w:right="360"/>
        <w:spacing w:after="0" w:line="251" w:lineRule="auto"/>
        <w:rPr>
          <w:sz w:val="20"/>
          <w:szCs w:val="20"/>
          <w:color w:val="auto"/>
        </w:rPr>
      </w:pPr>
      <w:r>
        <w:rPr>
          <w:rFonts w:ascii="Times New Roman" w:cs="Times New Roman" w:eastAsia="Times New Roman" w:hAnsi="Times New Roman"/>
          <w:sz w:val="18"/>
          <w:szCs w:val="18"/>
          <w:color w:val="auto"/>
        </w:rPr>
        <w:t>upon recommendation of the Company’s board of directors, approved the First Amendment to the 2020 Stock Incentive Plan, increasing the number of Class A Common Stock reserved for issuance under the 2020 Plan by an additional 971,807 shares.</w:t>
      </w:r>
    </w:p>
    <w:p>
      <w:pPr>
        <w:spacing w:after="0" w:line="148" w:lineRule="exact"/>
        <w:rPr>
          <w:sz w:val="20"/>
          <w:szCs w:val="20"/>
          <w:color w:val="auto"/>
        </w:rPr>
      </w:pPr>
    </w:p>
    <w:p>
      <w:pPr>
        <w:jc w:val="both"/>
        <w:ind w:right="200"/>
        <w:spacing w:after="0" w:line="242" w:lineRule="auto"/>
        <w:rPr>
          <w:sz w:val="20"/>
          <w:szCs w:val="20"/>
          <w:color w:val="auto"/>
        </w:rPr>
      </w:pPr>
      <w:r>
        <w:rPr>
          <w:rFonts w:ascii="Times New Roman" w:cs="Times New Roman" w:eastAsia="Times New Roman" w:hAnsi="Times New Roman"/>
          <w:sz w:val="18"/>
          <w:szCs w:val="18"/>
          <w:color w:val="auto"/>
        </w:rPr>
        <w:t>Under the 2020 Plan, the Company may grant stock options and other share-based payment awards of our Class A Common Stock to eligible employees, directors and consultants. At March 31, 2024, there were 1,468,375 shares of Class A Common Stock available for issuance under the 2020 Plan, which includes shares from the 2010 Plan that become available for issuance due to the forfeiture of then outstanding out of the money stock options.</w:t>
      </w:r>
    </w:p>
    <w:p>
      <w:pPr>
        <w:spacing w:after="0" w:line="157"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Stock options are granted at exercise prices equal to the grant-date market prices and typically expire no later than five years from the grant date. In contrast to a stock option where the grantee buys our Company’s share at an exercise price determined on the grant date, a restricted stock unit (“RSU”) entitles the grantee to receive one share for every RSU based on a vesting plan, typically between one year and four years from grant. As discussed further below, a performance component has been added to certain of the RSUs granted to management. At the time the options are exercised or RSUs vest and are settled, at the discretion of management, we will issue treasury shares or make a new issuance of shares to the option or RSU holder.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have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to purchase 207,657 shares of Class A Common Stock were issued to the Board of Directors upon their reelection to the Board in December 2023 for their services for their 2024 term. No other stock options were granted in 2023 or during the first quarter of 2024.</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For the three months ended March 31, 2024, and 2023, we recorded a compensation expense of $49,000 and $9,000, respectively, with respect to our prior stock option grants. At March 31, 2024, the total unrecognized estimated compensation expense related to non-vested stock options was $147,000, which we expect to recognize over a weighted average vesting period of 0.75 years. The intrinsic, unrealized value of all options outstanding vested and expected to vest, at March 31, 2024, was nil, as the closing price of our Class A Common Stock on that date was $1.82.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number of options outstanding and exercisable as of March 31, 2024, and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Stock Options - Class A Shares</w:t>
            </w: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of</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4"/>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of‎</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52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40" w:type="dxa"/>
            <w:vAlign w:val="bottom"/>
            <w:tcBorders>
              <w:top w:val="single" w:sz="8" w:color="auto"/>
              <w:bottom w:val="single" w:sz="8" w:color="auto"/>
            </w:tcBorders>
            <w:gridSpan w:val="2"/>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bottom w:val="single" w:sz="8" w:color="CCEEFF"/>
            </w:tcBorders>
          </w:tcPr>
          <w:p>
            <w:pPr>
              <w:spacing w:after="0"/>
              <w:rPr>
                <w:sz w:val="14"/>
                <w:szCs w:val="14"/>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327,498</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15.87</w:t>
            </w:r>
          </w:p>
        </w:tc>
        <w:tc>
          <w:tcPr>
            <w:tcW w:w="18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ind w:left="9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207,657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ind w:left="9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ind w:left="9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(122,376)</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ind w:left="9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412,779</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14.19</w:t>
            </w:r>
          </w:p>
        </w:tc>
        <w:tc>
          <w:tcPr>
            <w:tcW w:w="1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1.79</w:t>
            </w: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ind w:left="9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6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ind w:left="9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ind w:left="96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(205,122)</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ind w:left="9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6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 March 31, 2024</w:t>
            </w: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207,657</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9.69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ind w:left="9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4"/>
        </w:trPr>
        <w:tc>
          <w:tcPr>
            <w:tcW w:w="5900" w:type="dxa"/>
            <w:vAlign w:val="bottom"/>
            <w:gridSpan w:val="3"/>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RSUs granted to date as of March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RSU Grants (in units)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Forfeited,</w:t>
            </w:r>
          </w:p>
        </w:tc>
        <w:tc>
          <w:tcPr>
            <w:tcW w:w="0" w:type="dxa"/>
            <w:vAlign w:val="bottom"/>
          </w:tcPr>
          <w:p>
            <w:pPr>
              <w:spacing w:after="0"/>
              <w:rPr>
                <w:sz w:val="1"/>
                <w:szCs w:val="1"/>
                <w:color w:val="auto"/>
              </w:rPr>
            </w:pPr>
          </w:p>
        </w:tc>
      </w:tr>
      <w:tr>
        <w:trPr>
          <w:trHeight w:val="124"/>
        </w:trPr>
        <w:tc>
          <w:tcPr>
            <w:tcW w:w="3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1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3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3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0"/>
        </w:trPr>
        <w:tc>
          <w:tcPr>
            <w:tcW w:w="3580" w:type="dxa"/>
            <w:vAlign w:val="bottom"/>
            <w:gridSpan w:val="3"/>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12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Opening balance</w:t>
            </w:r>
          </w:p>
        </w:tc>
        <w:tc>
          <w:tcPr>
            <w:tcW w:w="11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265,755</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793,353</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1,059,108</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839,176</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156,278</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63,654</w:t>
            </w:r>
          </w:p>
        </w:tc>
        <w:tc>
          <w:tcPr>
            <w:tcW w:w="0" w:type="dxa"/>
            <w:vAlign w:val="bottom"/>
          </w:tcPr>
          <w:p>
            <w:pPr>
              <w:spacing w:after="0"/>
              <w:rPr>
                <w:sz w:val="1"/>
                <w:szCs w:val="1"/>
                <w:color w:val="auto"/>
              </w:rPr>
            </w:pPr>
          </w:p>
        </w:tc>
      </w:tr>
      <w:tr>
        <w:trPr>
          <w:trHeight w:val="189"/>
        </w:trPr>
        <w:tc>
          <w:tcPr>
            <w:tcW w:w="1220" w:type="dxa"/>
            <w:vAlign w:val="bottom"/>
            <w:tcBorders>
              <w:top w:val="single" w:sz="8" w:color="auto"/>
            </w:tcBorders>
          </w:tcPr>
          <w:p>
            <w:pPr>
              <w:spacing w:after="0"/>
              <w:rPr>
                <w:sz w:val="16"/>
                <w:szCs w:val="16"/>
                <w:color w:val="auto"/>
              </w:rPr>
            </w:pPr>
          </w:p>
        </w:tc>
        <w:tc>
          <w:tcPr>
            <w:tcW w:w="22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April 18, 2022</w:t>
            </w:r>
          </w:p>
        </w:tc>
        <w:tc>
          <w:tcPr>
            <w:tcW w:w="132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428,899</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428,899</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75,721</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306,638</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46,540</w:t>
            </w:r>
          </w:p>
        </w:tc>
        <w:tc>
          <w:tcPr>
            <w:tcW w:w="0" w:type="dxa"/>
            <w:vAlign w:val="bottom"/>
          </w:tcPr>
          <w:p>
            <w:pPr>
              <w:spacing w:after="0"/>
              <w:rPr>
                <w:sz w:val="1"/>
                <w:szCs w:val="1"/>
                <w:color w:val="auto"/>
              </w:rPr>
            </w:pPr>
          </w:p>
        </w:tc>
      </w:tr>
      <w:tr>
        <w:trPr>
          <w:trHeight w:val="189"/>
        </w:trPr>
        <w:tc>
          <w:tcPr>
            <w:tcW w:w="3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December 15, 2022</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73,683</w:t>
            </w:r>
          </w:p>
        </w:tc>
        <w:tc>
          <w:tcPr>
            <w:tcW w:w="160" w:type="dxa"/>
            <w:vAlign w:val="bottom"/>
          </w:tcPr>
          <w:p>
            <w:pPr>
              <w:spacing w:after="0"/>
              <w:rPr>
                <w:sz w:val="16"/>
                <w:szCs w:val="16"/>
                <w:color w:val="auto"/>
              </w:rPr>
            </w:pPr>
          </w:p>
        </w:tc>
        <w:tc>
          <w:tcPr>
            <w:tcW w:w="134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73,683</w:t>
            </w:r>
          </w:p>
        </w:tc>
        <w:tc>
          <w:tcPr>
            <w:tcW w:w="1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73,683</w:t>
            </w:r>
          </w:p>
        </w:tc>
        <w:tc>
          <w:tcPr>
            <w:tcW w:w="16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April 11, 2023</w:t>
            </w:r>
          </w:p>
        </w:tc>
        <w:tc>
          <w:tcPr>
            <w:tcW w:w="132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413,536</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413,536</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404,504</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9,032</w:t>
            </w:r>
          </w:p>
        </w:tc>
        <w:tc>
          <w:tcPr>
            <w:tcW w:w="0" w:type="dxa"/>
            <w:vAlign w:val="bottom"/>
          </w:tcPr>
          <w:p>
            <w:pPr>
              <w:spacing w:after="0"/>
              <w:rPr>
                <w:sz w:val="1"/>
                <w:szCs w:val="1"/>
                <w:color w:val="auto"/>
              </w:rPr>
            </w:pPr>
          </w:p>
        </w:tc>
      </w:tr>
      <w:tr>
        <w:trPr>
          <w:trHeight w:val="189"/>
        </w:trPr>
        <w:tc>
          <w:tcPr>
            <w:tcW w:w="3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April 21, 2023</w:t>
            </w:r>
          </w:p>
        </w:tc>
        <w:tc>
          <w:tcPr>
            <w:tcW w:w="13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237,719</w:t>
            </w: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237,719</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229,194</w:t>
            </w:r>
          </w:p>
        </w:tc>
        <w:tc>
          <w:tcPr>
            <w:tcW w:w="1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8,525</w:t>
            </w:r>
          </w:p>
        </w:tc>
        <w:tc>
          <w:tcPr>
            <w:tcW w:w="0" w:type="dxa"/>
            <w:vAlign w:val="bottom"/>
          </w:tcPr>
          <w:p>
            <w:pPr>
              <w:spacing w:after="0"/>
              <w:rPr>
                <w:sz w:val="1"/>
                <w:szCs w:val="1"/>
                <w:color w:val="auto"/>
              </w:rPr>
            </w:pPr>
          </w:p>
        </w:tc>
      </w:tr>
      <w:tr>
        <w:trPr>
          <w:trHeight w:val="189"/>
        </w:trPr>
        <w:tc>
          <w:tcPr>
            <w:tcW w:w="3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April 28, 2023</w:t>
            </w:r>
          </w:p>
        </w:tc>
        <w:tc>
          <w:tcPr>
            <w:tcW w:w="132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20,427</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20,427</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20,427</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1220" w:type="dxa"/>
            <w:vAlign w:val="bottom"/>
            <w:tcBorders>
              <w:bottom w:val="single" w:sz="8" w:color="CCEEFF"/>
            </w:tcBorders>
          </w:tcPr>
          <w:p>
            <w:pPr>
              <w:spacing w:after="0"/>
              <w:rPr>
                <w:sz w:val="16"/>
                <w:szCs w:val="16"/>
                <w:color w:val="auto"/>
              </w:rPr>
            </w:pPr>
          </w:p>
        </w:tc>
        <w:tc>
          <w:tcPr>
            <w:tcW w:w="2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Borders>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339,438</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1,893,934</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2,233,372</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988,580</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1,117,041</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127,751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8"/>
          <w:szCs w:val="18"/>
          <w:color w:val="auto"/>
        </w:rPr>
        <w:t>Time vested RSU awards to management typically vest 25% on the anniversary of the grant date and the remainder over a period of four years. Beginning in 2020, a performance component has been added to certain of the RSUs granted to management, which vest on the third anniversary of their grant date based on the achievement of certain performance metrics. From 2021 onwards, RSUs have two vesting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 with the remaining 50%, contingent upon the achievement of certain performance metrics, vesting in full on the third anniversary of the grant date. On April 11 and April 21, 2023, the Board of Directors determined that our Company was not in a position to pay cash bonuses that would otherwise have been earned by certain members of management under our Company’s Incentive Compensation Plan for 2022, and authorized the issuance in lieu of such cash bonuses 85,139 RSUs, vesting on April 11, 2024 and 52,360 RSUs, vesting on April 21, 2024.</w:t>
      </w:r>
    </w:p>
    <w:p>
      <w:pPr>
        <w:spacing w:after="0" w:line="15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three months ended March 31, 2024, and 2023, we recorded compensation expense of $628,000 and $434,000, respectively. The total unrecognized compensation expense related to the non-vested RSUs was $3.0 million as of March 31, 2024, which we expect to recognize over a weighted average vesting period of 1.29 years.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Repurchase Program expired on March 10, 2024. No stock has been repurchased by our Company since March 10,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Hedge Accounting</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of March 31, 2024, and December 31, 2023, our Company held no derivative instruments. The Company held interest rate derivatives in the first quarter of 2023. The changes in fair value of that instrument were recorded in Other Comprehensive Income and released into interest expense in the same period(s) in which the hedged transactions affect earnings. In the quarter ended March 31, 2024 and March 31, 2023, respectively, the derivative instruments affected Comprehensive Income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7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Location of Loss Recognized in Income on Derivatives</w:t>
            </w:r>
          </w:p>
        </w:tc>
        <w:tc>
          <w:tcPr>
            <w:tcW w:w="2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r>
      <w:tr>
        <w:trPr>
          <w:trHeight w:val="169"/>
        </w:trPr>
        <w:tc>
          <w:tcPr>
            <w:tcW w:w="25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r>
      <w:tr>
        <w:trPr>
          <w:trHeight w:val="169"/>
        </w:trPr>
        <w:tc>
          <w:tcPr>
            <w:tcW w:w="2540" w:type="dxa"/>
            <w:vAlign w:val="bottom"/>
            <w:tcBorders>
              <w:bottom w:val="single" w:sz="8" w:color="CCEEFF"/>
            </w:tcBorders>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r>
      <w:tr>
        <w:trPr>
          <w:trHeight w:val="162"/>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contracts</w:t>
            </w:r>
          </w:p>
        </w:tc>
        <w:tc>
          <w:tcPr>
            <w:tcW w:w="47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r>
      <w:tr>
        <w:trPr>
          <w:trHeight w:val="163"/>
        </w:trPr>
        <w:tc>
          <w:tcPr>
            <w:tcW w:w="25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12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4"/>
                <w:szCs w:val="14"/>
                <w:color w:val="auto"/>
              </w:rPr>
            </w:pPr>
          </w:p>
        </w:tc>
        <w:tc>
          <w:tcPr>
            <w:tcW w:w="1300" w:type="dxa"/>
            <w:vAlign w:val="bottom"/>
            <w:tcBorders>
              <w:bottom w:val="single" w:sz="8" w:color="auto"/>
            </w:tcBorders>
          </w:tcPr>
          <w:p>
            <w:pPr>
              <w:jc w:val="right"/>
              <w:ind w:right="11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(564)</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6"/>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5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Borders>
              <w:top w:val="single" w:sz="8" w:color="auto"/>
              <w:bottom w:val="single" w:sz="8" w:color="auto"/>
            </w:tcBorders>
          </w:tcPr>
          <w:p>
            <w:pPr>
              <w:spacing w:after="0"/>
              <w:rPr>
                <w:sz w:val="17"/>
                <w:szCs w:val="17"/>
                <w:color w:val="auto"/>
              </w:rPr>
            </w:pPr>
          </w:p>
        </w:tc>
        <w:tc>
          <w:tcPr>
            <w:tcW w:w="2280" w:type="dxa"/>
            <w:vAlign w:val="bottom"/>
            <w:tcBorders>
              <w:top w:val="single" w:sz="8" w:color="auto"/>
              <w:bottom w:val="single" w:sz="8" w:color="auto"/>
            </w:tcBorders>
            <w:gridSpan w:val="4"/>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20" w:type="dxa"/>
            <w:vAlign w:val="bottom"/>
            <w:tcBorders>
              <w:top w:val="single" w:sz="8" w:color="auto"/>
              <w:bottom w:val="single" w:sz="8" w:color="auto"/>
            </w:tcBorders>
          </w:tcPr>
          <w:p>
            <w:pPr>
              <w:spacing w:after="0"/>
              <w:rPr>
                <w:sz w:val="17"/>
                <w:szCs w:val="17"/>
                <w:color w:val="auto"/>
              </w:rPr>
            </w:pPr>
          </w:p>
        </w:tc>
      </w:tr>
      <w:tr>
        <w:trPr>
          <w:trHeight w:val="169"/>
        </w:trPr>
        <w:tc>
          <w:tcPr>
            <w:tcW w:w="18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tcBorders>
              <w:bottom w:val="single" w:sz="8" w:color="auto"/>
            </w:tcBorders>
          </w:tcPr>
          <w:p>
            <w:pPr>
              <w:spacing w:after="0"/>
              <w:rPr>
                <w:sz w:val="14"/>
                <w:szCs w:val="14"/>
                <w:color w:val="auto"/>
              </w:rPr>
            </w:pPr>
          </w:p>
        </w:tc>
      </w:tr>
      <w:tr>
        <w:trPr>
          <w:trHeight w:val="169"/>
        </w:trPr>
        <w:tc>
          <w:tcPr>
            <w:tcW w:w="1880" w:type="dxa"/>
            <w:vAlign w:val="bottom"/>
            <w:tcBorders>
              <w:bottom w:val="single" w:sz="8" w:color="CCEEFF"/>
            </w:tcBorders>
          </w:tcPr>
          <w:p>
            <w:pPr>
              <w:spacing w:after="0"/>
              <w:rPr>
                <w:sz w:val="14"/>
                <w:szCs w:val="14"/>
                <w:color w:val="auto"/>
              </w:rPr>
            </w:pPr>
          </w:p>
        </w:tc>
        <w:tc>
          <w:tcPr>
            <w:tcW w:w="3900" w:type="dxa"/>
            <w:vAlign w:val="bottom"/>
            <w:tcBorders>
              <w:bottom w:val="single" w:sz="8" w:color="CCEEFF"/>
            </w:tcBorders>
            <w:gridSpan w:val="2"/>
          </w:tcPr>
          <w:p>
            <w:pPr>
              <w:spacing w:after="0"/>
              <w:rPr>
                <w:sz w:val="14"/>
                <w:szCs w:val="14"/>
                <w:color w:val="auto"/>
              </w:rPr>
            </w:pPr>
          </w:p>
        </w:tc>
        <w:tc>
          <w:tcPr>
            <w:tcW w:w="16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2"/>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contracts</w:t>
            </w:r>
          </w:p>
        </w:tc>
        <w:tc>
          <w:tcPr>
            <w:tcW w:w="3900" w:type="dxa"/>
            <w:vAlign w:val="bottom"/>
            <w:gridSpan w:val="2"/>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1538"/>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5"/>
                <w:szCs w:val="5"/>
                <w:color w:val="auto"/>
                <w:w w:val="7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3"/>
        </w:trPr>
        <w:tc>
          <w:tcPr>
            <w:tcW w:w="18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3900" w:type="dxa"/>
            <w:vAlign w:val="bottom"/>
            <w:gridSpan w:val="2"/>
          </w:tcPr>
          <w:p>
            <w:pPr>
              <w:spacing w:after="0"/>
              <w:rPr>
                <w:sz w:val="14"/>
                <w:szCs w:val="14"/>
                <w:color w:val="auto"/>
              </w:rPr>
            </w:pPr>
          </w:p>
        </w:tc>
        <w:tc>
          <w:tcPr>
            <w:tcW w:w="1660" w:type="dxa"/>
            <w:vAlign w:val="bottom"/>
            <w:tcBorders>
              <w:bottom w:val="single" w:sz="8" w:color="auto"/>
            </w:tcBorders>
          </w:tcPr>
          <w:p>
            <w:pPr>
              <w:jc w:val="right"/>
              <w:ind w:right="153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w:t>
            </w:r>
          </w:p>
        </w:tc>
      </w:tr>
      <w:tr>
        <w:trPr>
          <w:trHeight w:val="331"/>
        </w:trPr>
        <w:tc>
          <w:tcPr>
            <w:tcW w:w="18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169"/>
        </w:trPr>
        <w:tc>
          <w:tcPr>
            <w:tcW w:w="188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3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20" w:type="dxa"/>
            <w:vAlign w:val="bottom"/>
            <w:tcBorders>
              <w:bottom w:val="single" w:sz="8" w:color="auto"/>
            </w:tcBorders>
          </w:tcPr>
          <w:p>
            <w:pPr>
              <w:spacing w:after="0"/>
              <w:rPr>
                <w:sz w:val="14"/>
                <w:szCs w:val="14"/>
                <w:color w:val="auto"/>
              </w:rPr>
            </w:pPr>
          </w:p>
        </w:tc>
      </w:tr>
      <w:tr>
        <w:trPr>
          <w:trHeight w:val="169"/>
        </w:trPr>
        <w:tc>
          <w:tcPr>
            <w:tcW w:w="18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tcBorders>
              <w:bottom w:val="single" w:sz="8" w:color="auto"/>
            </w:tcBorders>
          </w:tcPr>
          <w:p>
            <w:pPr>
              <w:spacing w:after="0"/>
              <w:rPr>
                <w:sz w:val="14"/>
                <w:szCs w:val="14"/>
                <w:color w:val="auto"/>
              </w:rPr>
            </w:pPr>
          </w:p>
        </w:tc>
      </w:tr>
      <w:tr>
        <w:trPr>
          <w:trHeight w:val="169"/>
        </w:trPr>
        <w:tc>
          <w:tcPr>
            <w:tcW w:w="188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2"/>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1538"/>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5"/>
                <w:szCs w:val="5"/>
                <w:color w:val="auto"/>
                <w:w w:val="7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r>
      <w:tr>
        <w:trPr>
          <w:trHeight w:val="163"/>
        </w:trPr>
        <w:tc>
          <w:tcPr>
            <w:tcW w:w="18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3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Borders>
              <w:bottom w:val="single" w:sz="8" w:color="auto"/>
            </w:tcBorders>
          </w:tcPr>
          <w:p>
            <w:pPr>
              <w:jc w:val="right"/>
              <w:ind w:right="153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(564)</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Fair Value Measurements</w:t>
      </w:r>
    </w:p>
    <w:p>
      <w:pPr>
        <w:spacing w:after="0" w:line="18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establishes a fair value hierarchy that prioritizes the inputs to valuation techniques used to measure fair value. The statement requires that assets and liabilities carried at fair value be classified and disclosed in one of the following three categories:</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76"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Valuations derived from valuation techniques in which one or more significant inputs or significant value drivers are unobservable.</w:t>
      </w:r>
    </w:p>
    <w:p>
      <w:pPr>
        <w:spacing w:after="0" w:line="18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following tables summarize our financial liabilities that are carried at cost and measured at fair value on a non-recurring basis as of March 31, 2024, and December 31, 2023, by level within the fair value hierarchy.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 at March 31, 2024</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3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payable</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167,345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10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168,391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168,391</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Subordinated debt</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28,306</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27,771</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27,771</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195,651</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CEEFF"/>
          </w:tcPr>
          <w:p>
            <w:pPr>
              <w:ind w:left="88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gridSpan w:val="2"/>
            <w:shd w:val="clear" w:color="auto" w:fill="CCEEFF"/>
          </w:tcPr>
          <w:p>
            <w:pPr>
              <w:ind w:left="104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196,162</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196,162</w:t>
            </w:r>
          </w:p>
        </w:tc>
        <w:tc>
          <w:tcPr>
            <w:tcW w:w="0" w:type="dxa"/>
            <w:vAlign w:val="bottom"/>
          </w:tcPr>
          <w:p>
            <w:pPr>
              <w:spacing w:after="0"/>
              <w:rPr>
                <w:sz w:val="1"/>
                <w:szCs w:val="1"/>
                <w:color w:val="auto"/>
              </w:rPr>
            </w:pPr>
          </w:p>
        </w:tc>
      </w:tr>
      <w:tr>
        <w:trPr>
          <w:trHeight w:val="345"/>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2023</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40" w:type="dxa"/>
            <w:vAlign w:val="bottom"/>
            <w:tcBorders>
              <w:top w:val="single" w:sz="8" w:color="auto"/>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payable</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5"/>
              <w:spacing w:after="0" w:line="189" w:lineRule="exact"/>
              <w:rPr>
                <w:sz w:val="20"/>
                <w:szCs w:val="20"/>
                <w:color w:val="auto"/>
              </w:rPr>
            </w:pPr>
            <w:r>
              <w:rPr>
                <w:rFonts w:ascii="Times New Roman" w:cs="Times New Roman" w:eastAsia="Times New Roman" w:hAnsi="Times New Roman"/>
                <w:sz w:val="18"/>
                <w:szCs w:val="18"/>
                <w:color w:val="auto"/>
              </w:rPr>
              <w:t>181,801</w:t>
            </w: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10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148,325</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gridSpan w:val="2"/>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148,325</w:t>
            </w:r>
          </w:p>
        </w:tc>
        <w:tc>
          <w:tcPr>
            <w:tcW w:w="0" w:type="dxa"/>
            <w:vAlign w:val="bottom"/>
          </w:tcPr>
          <w:p>
            <w:pPr>
              <w:spacing w:after="0"/>
              <w:rPr>
                <w:sz w:val="1"/>
                <w:szCs w:val="1"/>
                <w:color w:val="auto"/>
              </w:rPr>
            </w:pPr>
          </w:p>
        </w:tc>
      </w:tr>
      <w:tr>
        <w:trPr>
          <w:trHeight w:val="189"/>
        </w:trPr>
        <w:tc>
          <w:tcPr>
            <w:tcW w:w="35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Subordinated debt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28,499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10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27,832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27,832</w:t>
            </w:r>
          </w:p>
        </w:tc>
        <w:tc>
          <w:tcPr>
            <w:tcW w:w="0" w:type="dxa"/>
            <w:vAlign w:val="bottom"/>
          </w:tcPr>
          <w:p>
            <w:pPr>
              <w:spacing w:after="0"/>
              <w:rPr>
                <w:sz w:val="1"/>
                <w:szCs w:val="1"/>
                <w:color w:val="auto"/>
              </w:rPr>
            </w:pPr>
          </w:p>
        </w:tc>
      </w:tr>
      <w:tr>
        <w:trPr>
          <w:trHeight w:val="190"/>
        </w:trPr>
        <w:tc>
          <w:tcPr>
            <w:tcW w:w="35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210,300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ind w:left="8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ind w:left="102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176,157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176,157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balances are presented before any deduction for deferred financing costs.</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to estimate the fair value of our financial assets and liabilities. There have been no changes in the methodologies used as of March 31, 2024, and December 31, 2023.</w:t>
      </w:r>
    </w:p>
    <w:p>
      <w:pPr>
        <w:spacing w:after="0" w:line="23"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investments in marketable securities primarily consist of investments associated with the ownership of marketable securities in 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Zealand. These investments are valued based on observable market quotes on the last trading date of the reporting period.</w:t>
      </w:r>
    </w:p>
    <w:p>
      <w:pPr>
        <w:spacing w:after="0" w:line="32" w:lineRule="exact"/>
        <w:rPr>
          <w:sz w:val="20"/>
          <w:szCs w:val="20"/>
          <w:color w:val="auto"/>
        </w:rPr>
      </w:pPr>
    </w:p>
    <w:p>
      <w:pPr>
        <w:ind w:left="66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derivative financial instruments are valued based on discounted cash flow models that incorporate observable inputs such as interest 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yield curves from the derivative counterparties. The credit valuation adjustments associated with our non-performance risk and counterparty credit risk are incorporated in the fair value estimates of our derivatives. As of March 31, 2024, and December 31, 2023, we concluded that the credit valuation adjustments were not significant to the overall valuation of our derivatives.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23" w:name="page24"/>
    <w:bookmarkEnd w:id="23"/>
    <w:p>
      <w:pPr>
        <w:ind w:left="660"/>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borrowings include our secured and unsecured notes payable, trust preferred securities and other debt instruments. The borrowings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spacing w:after="0" w:line="16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Company’s financial instruments also include cash, cash equivalents, receivables and accounts payable. The carrying values of these financial instruments approximate the fair values due to their short maturities. Additionally, there were no transfers of assets and liabilities between levels 1, 2, or 3 during the quarter ended March 31, 2024, and March 31,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On April 4, 2024, we executed an amendment to our NAB facility, and on April 23, 2024, we exercised the first of our two 12-month extension options on our Union Square facility.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April 2024, our Board of Directors authorized management to enter into an AU$20 million bridge loan with NAB, due on March 31, 2025, to be repaid from the proceeds of a sale of our Cannon Park ETC and authorized management to proceed with the sale of that property.</w:t>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i w:val="1"/>
          <w:iCs w:val="1"/>
          <w:color w:val="auto"/>
        </w:rPr>
        <w:t>This MD&amp;A should be read in conjunction with the accompanying unaudited consolidated financial statements included in Part I, Item 1 (Financial Statements). The foregoing discussions and analyses contain certain forward-looking statements. Please refer to the “Cautionary Statement Regarding Forward-Looking Statements” included at the conclusion of this section and our “Risk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Factors” set forth in our 2023 Form 10-K, Part 1 – Financial Information, Item 1A and the Risk Factors set out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 Management’s Discussion and Analysis (“MD&amp;A”) of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should be read in conjunction with our consolidated financial statements and related notes in this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Overview &amp; Updates</w:t>
      </w:r>
    </w:p>
    <w:p>
      <w:pPr>
        <w:spacing w:after="0" w:line="1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continue to be optimistic about the current trajectory of our cinema business and the cinema industry as a whole. Although we remain positive, we are currently, and have in recent years, been impacted by multiple factors, such as COVID-19, the 2023 Hollywood Strikes and current macroeconomic situations. These factors are largely beyond our control, and continue to adversely impact the profitability of our global cinema segment when compared to pre-pandemic levels: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Cinema patronage levels that have not yet returned to the pre-pandemic levels;</w:t>
      </w:r>
    </w:p>
    <w:p>
      <w:pPr>
        <w:spacing w:after="0" w:line="15" w:lineRule="exact"/>
        <w:rPr>
          <w:sz w:val="20"/>
          <w:szCs w:val="20"/>
          <w:color w:val="auto"/>
        </w:rPr>
      </w:pPr>
    </w:p>
    <w:p>
      <w:pPr>
        <w:ind w:left="980"/>
        <w:spacing w:after="0" w:line="226" w:lineRule="auto"/>
        <w:rPr>
          <w:sz w:val="20"/>
          <w:szCs w:val="20"/>
          <w:color w:val="auto"/>
        </w:rPr>
      </w:pPr>
      <w:r>
        <w:rPr>
          <w:rFonts w:ascii="Times New Roman" w:cs="Times New Roman" w:eastAsia="Times New Roman" w:hAnsi="Times New Roman"/>
          <w:sz w:val="18"/>
          <w:szCs w:val="18"/>
          <w:color w:val="auto"/>
        </w:rPr>
        <w:t>The number of movies released by the major Hollywood studios and other distributors, while increasing from pandemic levels, have not yet returned to their higher pre-pandemic levels;</w:t>
      </w:r>
    </w:p>
    <w:p>
      <w:pPr>
        <w:spacing w:after="0" w:line="1" w:lineRule="exact"/>
        <w:rPr>
          <w:sz w:val="20"/>
          <w:szCs w:val="20"/>
          <w:color w:val="auto"/>
        </w:rPr>
      </w:pPr>
    </w:p>
    <w:p>
      <w:pPr>
        <w:ind w:left="660"/>
        <w:spacing w:after="0" w:line="219" w:lineRule="auto"/>
        <w:rPr>
          <w:sz w:val="20"/>
          <w:szCs w:val="20"/>
          <w:color w:val="auto"/>
        </w:rPr>
      </w:pPr>
      <w:r>
        <w:rPr>
          <w:rFonts w:ascii="Times New Roman" w:cs="Times New Roman" w:eastAsia="Times New Roman" w:hAnsi="Times New Roman"/>
          <w:sz w:val="18"/>
          <w:szCs w:val="18"/>
          <w:color w:val="auto"/>
        </w:rPr>
        <w:t>The duration of the exclusive theatrical release window is under continuing pressure from cable and streaming;</w:t>
      </w:r>
    </w:p>
    <w:p>
      <w:pPr>
        <w:ind w:left="980"/>
        <w:spacing w:after="0" w:line="226" w:lineRule="auto"/>
        <w:rPr>
          <w:sz w:val="20"/>
          <w:szCs w:val="20"/>
          <w:color w:val="auto"/>
        </w:rPr>
      </w:pPr>
      <w:r>
        <w:rPr>
          <w:rFonts w:ascii="Times New Roman" w:cs="Times New Roman" w:eastAsia="Times New Roman" w:hAnsi="Times New Roman"/>
          <w:sz w:val="18"/>
          <w:szCs w:val="18"/>
          <w:color w:val="auto"/>
        </w:rPr>
        <w:t>Inflationary pressures, ongoing supply chain issues and increased operating expenses arising post-pandemic continue to push up our variable costs while we encounter consumer resistance to higher ticket prices;</w:t>
      </w:r>
    </w:p>
    <w:p>
      <w:pPr>
        <w:spacing w:after="0" w:line="1" w:lineRule="exact"/>
        <w:rPr>
          <w:sz w:val="20"/>
          <w:szCs w:val="20"/>
          <w:color w:val="auto"/>
        </w:rPr>
      </w:pPr>
    </w:p>
    <w:p>
      <w:pPr>
        <w:ind w:left="660"/>
        <w:spacing w:after="0" w:line="219" w:lineRule="auto"/>
        <w:rPr>
          <w:sz w:val="20"/>
          <w:szCs w:val="20"/>
          <w:color w:val="auto"/>
        </w:rPr>
      </w:pPr>
      <w:r>
        <w:rPr>
          <w:rFonts w:ascii="Times New Roman" w:cs="Times New Roman" w:eastAsia="Times New Roman" w:hAnsi="Times New Roman"/>
          <w:sz w:val="18"/>
          <w:szCs w:val="18"/>
          <w:color w:val="auto"/>
        </w:rPr>
        <w:t>Labor costs continue to increase due to inflation and labor shortages and government mandates;</w:t>
      </w:r>
    </w:p>
    <w:p>
      <w:pPr>
        <w:ind w:left="980"/>
        <w:spacing w:after="0" w:line="224" w:lineRule="auto"/>
        <w:rPr>
          <w:sz w:val="20"/>
          <w:szCs w:val="20"/>
          <w:color w:val="auto"/>
        </w:rPr>
      </w:pPr>
      <w:r>
        <w:rPr>
          <w:rFonts w:ascii="Times New Roman" w:cs="Times New Roman" w:eastAsia="Times New Roman" w:hAnsi="Times New Roman"/>
          <w:sz w:val="18"/>
          <w:szCs w:val="18"/>
          <w:color w:val="auto"/>
        </w:rPr>
        <w:t>Increased fixed costs for third party cinema rents, some of which are increasing due to fixed rent escalations, some of which are fixed and some of which are adjusted by reference to changes in the cost of living index, which are exacerbated by having to also pay our COVID-19 related rent deferrals for the periods of time when our operations were closed or restricted;</w:t>
      </w:r>
    </w:p>
    <w:p>
      <w:pPr>
        <w:ind w:left="980" w:right="120"/>
        <w:spacing w:after="0" w:line="243" w:lineRule="auto"/>
        <w:rPr>
          <w:sz w:val="20"/>
          <w:szCs w:val="20"/>
          <w:color w:val="auto"/>
        </w:rPr>
      </w:pPr>
      <w:r>
        <w:rPr>
          <w:rFonts w:ascii="Times New Roman" w:cs="Times New Roman" w:eastAsia="Times New Roman" w:hAnsi="Times New Roman"/>
          <w:sz w:val="18"/>
          <w:szCs w:val="18"/>
          <w:color w:val="auto"/>
        </w:rPr>
        <w:t>Reserve banks in the U.S., Australia and New Zealand have increased interest rates causing our cost of borrowing to increase materially; and Declines in exchange rates for the Australian and New Zealand currencies when compared to the U.S. Dollar.</w:t>
      </w:r>
    </w:p>
    <w:p>
      <w:pPr>
        <w:spacing w:after="0" w:line="1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 xml:space="preserve">In addition to the above factors influencing the revenue streams of our global cinema business, we are closely monitoring the repercussions of the 2023 Hollywood strikes on our operations. While we celebrated the resolution of the strikes, we acknowledge that their aftermath will continue to impact our global cinema business throughout 2024, primarily due to production delays and the rescheduling of theatrical release dates. Several notable titles initially slated for 2024 have been postponed to 2025, including </w:t>
      </w:r>
      <w:r>
        <w:rPr>
          <w:rFonts w:ascii="Times New Roman" w:cs="Times New Roman" w:eastAsia="Times New Roman" w:hAnsi="Times New Roman"/>
          <w:sz w:val="18"/>
          <w:szCs w:val="18"/>
          <w:i w:val="1"/>
          <w:iCs w:val="1"/>
          <w:color w:val="auto"/>
        </w:rPr>
        <w:t>Captain America: Brave New World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Thunderbolts</w:t>
      </w:r>
      <w:r>
        <w:rPr>
          <w:rFonts w:ascii="Times New Roman" w:cs="Times New Roman" w:eastAsia="Times New Roman" w:hAnsi="Times New Roman"/>
          <w:sz w:val="18"/>
          <w:szCs w:val="18"/>
          <w:color w:val="auto"/>
        </w:rPr>
        <w:t xml:space="preserve">, Disney’s </w:t>
      </w:r>
      <w:r>
        <w:rPr>
          <w:rFonts w:ascii="Times New Roman" w:cs="Times New Roman" w:eastAsia="Times New Roman" w:hAnsi="Times New Roman"/>
          <w:sz w:val="18"/>
          <w:szCs w:val="18"/>
          <w:i w:val="1"/>
          <w:iCs w:val="1"/>
          <w:color w:val="auto"/>
        </w:rPr>
        <w:t>Snow White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Impossible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SpongeBob SquarePants</w:t>
      </w:r>
      <w:r>
        <w:rPr>
          <w:rFonts w:ascii="Times New Roman" w:cs="Times New Roman" w:eastAsia="Times New Roman" w:hAnsi="Times New Roman"/>
          <w:sz w:val="18"/>
          <w:szCs w:val="18"/>
          <w:color w:val="auto"/>
        </w:rPr>
        <w:t>, and James Cameron’s eagerly awaited</w:t>
      </w:r>
      <w:r>
        <w:rPr>
          <w:rFonts w:ascii="Times New Roman" w:cs="Times New Roman" w:eastAsia="Times New Roman" w:hAnsi="Times New Roman"/>
          <w:sz w:val="18"/>
          <w:szCs w:val="18"/>
          <w:i w:val="1"/>
          <w:iCs w:val="1"/>
          <w:color w:val="auto"/>
        </w:rPr>
        <w:t xml:space="preserve"> Avatar </w:t>
      </w:r>
      <w:r>
        <w:rPr>
          <w:rFonts w:ascii="Times New Roman" w:cs="Times New Roman" w:eastAsia="Times New Roman" w:hAnsi="Times New Roman"/>
          <w:sz w:val="18"/>
          <w:szCs w:val="18"/>
          <w:color w:val="auto"/>
        </w:rPr>
        <w:t>sequel. However, the remaining 2024 film lineup remains robust,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featuring highly anticipated releases that are expected to continue driving audiences to our big screens, including: </w:t>
      </w:r>
      <w:r>
        <w:rPr>
          <w:rFonts w:ascii="Times New Roman" w:cs="Times New Roman" w:eastAsia="Times New Roman" w:hAnsi="Times New Roman"/>
          <w:sz w:val="18"/>
          <w:szCs w:val="18"/>
          <w:i w:val="1"/>
          <w:iCs w:val="1"/>
          <w:color w:val="auto"/>
        </w:rPr>
        <w:t>Inside Out 2, Deadpool &amp; Wolverine</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Joker: Folie a Deux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Wicked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Gladiator 2</w:t>
      </w:r>
      <w:r>
        <w:rPr>
          <w:rFonts w:ascii="Times New Roman" w:cs="Times New Roman" w:eastAsia="Times New Roman" w:hAnsi="Times New Roman"/>
          <w:sz w:val="18"/>
          <w:szCs w:val="18"/>
          <w:color w:val="auto"/>
        </w:rPr>
        <w: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4" w:name="page25"/>
    <w:bookmarkEnd w:id="24"/>
    <w:p>
      <w:pPr>
        <w:jc w:val="both"/>
        <w:spacing w:after="0" w:line="233" w:lineRule="auto"/>
        <w:rPr>
          <w:sz w:val="20"/>
          <w:szCs w:val="20"/>
          <w:color w:val="auto"/>
        </w:rPr>
      </w:pPr>
      <w:r>
        <w:rPr>
          <w:rFonts w:ascii="Times New Roman" w:cs="Times New Roman" w:eastAsia="Times New Roman" w:hAnsi="Times New Roman"/>
          <w:sz w:val="18"/>
          <w:szCs w:val="18"/>
          <w:color w:val="auto"/>
        </w:rPr>
        <w:t>Despite the above factors, we believe that with (i) the re-recognition by the major studios, and other distributors, including streamers such as Amazon and Apple, of the economic importance of the theatrical release of movies, (ii) the increasing quantity and quality of films being released to the cinemas compared to pandemic levels and (iii) the expansion of certain movie audiences (such as audiences for concert films and faith based films), the long term prospects for our industry are positive. Still, it is generally recognized that there are currently too many cinemas in the U.S., and we are reviewing and culling our poor performers where possible. Fortunately, most of our cinemas are in strong markets which are not, in our view, over-screened and we believe that oversupply is less of an issue in post-pandemic Australia and New Zealand. We have confidence that in the next few years, we will return to being able to again use our cinema cash flow to support our real estate development activities.</w:t>
      </w:r>
    </w:p>
    <w:p>
      <w:pPr>
        <w:spacing w:after="0" w:line="1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continuing to address the challenges of the post-COVID world. For instance, we are (i) increasing and improving our automated and self-service options at the cinema level to reduce labor costs, (ii) continuing to focus on our food and beverage offerings and now have liquor licenses for every U.S. cinema, and (iii) continuing to expand our alternative content program with the intention of attracting a broader and more diversified range of patrons.</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also continuing to reduce our fixed costs of operation by closing non-performing cinemas upon the expiration of their current lease terms. In addition, in light of potential impacts to the movie release schedule in the next few years due to the 2023 Hollywood Strikes, we are in the process of seeking occupancy relief from existing cinema landlords.</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beginning of 2024, recognizing a reduction in our corporate demand for administrative space, we streamlined our operations by divesting our administrative building in Culver City, California. This strategic move freed up approximately $1.2 million in cash reserves after covering mortgage settlements, brokerage commissions, and transactional fees. It is our expectation that this asset disposition will yield savings of approximately $1.5 million in operational and holding expenses between now and the end of 2025.</w:t>
      </w:r>
    </w:p>
    <w:p>
      <w:pPr>
        <w:spacing w:after="0" w:line="15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Additionally, we anticipate sustained improvements in the operational performance of our cinemas as our global circuit continues its recovery. One driving factor for this optimism is the ongoing expansion and refinement of our F&amp;B menus. Notably, as mentioned above, in 2023, our U.S. circuit became 100% licensed for the sale of liquor, beer and wine. Looking ahead, we are committed to obtaining liquor licenses and enriching our F&amp;B offerings across our circuits in Australia and New Zealand. This strategic focus underscores our dedication to enhancing the overall cinema experience for our valued customers.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Box Office Improvements</w:t>
      </w:r>
    </w:p>
    <w:p>
      <w:pPr>
        <w:spacing w:after="0" w:line="18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Despite the impact from the 2023 Hollywood Strikes, the end of the first quarter of 2024 delivered stronger box office results. Audiences were treated to the eagerly anticipated return of beloved franchises, with highlights including the success of </w:t>
      </w:r>
      <w:r>
        <w:rPr>
          <w:rFonts w:ascii="Times New Roman" w:cs="Times New Roman" w:eastAsia="Times New Roman" w:hAnsi="Times New Roman"/>
          <w:sz w:val="18"/>
          <w:szCs w:val="18"/>
          <w:i w:val="1"/>
          <w:iCs w:val="1"/>
          <w:color w:val="auto"/>
        </w:rPr>
        <w:t>Dune: Part Two</w:t>
      </w:r>
      <w:r>
        <w:rPr>
          <w:rFonts w:ascii="Times New Roman" w:cs="Times New Roman" w:eastAsia="Times New Roman" w:hAnsi="Times New Roman"/>
          <w:sz w:val="18"/>
          <w:szCs w:val="18"/>
          <w:color w:val="auto"/>
        </w:rPr>
        <w:t xml:space="preserve">. Surpassing its predecessor's performance from 2021, </w:t>
      </w:r>
      <w:r>
        <w:rPr>
          <w:rFonts w:ascii="Times New Roman" w:cs="Times New Roman" w:eastAsia="Times New Roman" w:hAnsi="Times New Roman"/>
          <w:sz w:val="18"/>
          <w:szCs w:val="18"/>
          <w:i w:val="1"/>
          <w:iCs w:val="1"/>
          <w:color w:val="auto"/>
        </w:rPr>
        <w:t>Dune: Part Two</w:t>
      </w:r>
      <w:r>
        <w:rPr>
          <w:rFonts w:ascii="Times New Roman" w:cs="Times New Roman" w:eastAsia="Times New Roman" w:hAnsi="Times New Roman"/>
          <w:sz w:val="18"/>
          <w:szCs w:val="18"/>
          <w:color w:val="auto"/>
        </w:rPr>
        <w:t xml:space="preserve"> has soared to over $710 million in worldwide grosses, solidifying its place as one of the most successful IMAX releases of all time. Adding to the excitement, after an eight-year hiatus, the fourth installment of the Kung Fu Panda franchise delighted audiences worldwide. </w:t>
      </w:r>
      <w:r>
        <w:rPr>
          <w:rFonts w:ascii="Times New Roman" w:cs="Times New Roman" w:eastAsia="Times New Roman" w:hAnsi="Times New Roman"/>
          <w:sz w:val="18"/>
          <w:szCs w:val="18"/>
          <w:i w:val="1"/>
          <w:iCs w:val="1"/>
          <w:color w:val="auto"/>
        </w:rPr>
        <w:t>Kung Fu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Panda 4 </w:t>
      </w:r>
      <w:r>
        <w:rPr>
          <w:rFonts w:ascii="Times New Roman" w:cs="Times New Roman" w:eastAsia="Times New Roman" w:hAnsi="Times New Roman"/>
          <w:sz w:val="18"/>
          <w:szCs w:val="18"/>
          <w:color w:val="auto"/>
        </w:rPr>
        <w:t>has generated over $529 million in worldwide grosses, pushing the franchise past the $2 billion mark and securing its position as the seventh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highest-grossing animated franchise ever. Further bolstering the box office of Q1 2024 was the highly anticipated biopic, </w:t>
      </w:r>
      <w:r>
        <w:rPr>
          <w:rFonts w:ascii="Times New Roman" w:cs="Times New Roman" w:eastAsia="Times New Roman" w:hAnsi="Times New Roman"/>
          <w:sz w:val="18"/>
          <w:szCs w:val="18"/>
          <w:i w:val="1"/>
          <w:iCs w:val="1"/>
          <w:color w:val="auto"/>
        </w:rPr>
        <w:t>Bob Marley: One Love</w:t>
      </w:r>
      <w:r>
        <w:rPr>
          <w:rFonts w:ascii="Times New Roman" w:cs="Times New Roman" w:eastAsia="Times New Roman" w:hAnsi="Times New Roman"/>
          <w:sz w:val="18"/>
          <w:szCs w:val="18"/>
          <w:color w:val="auto"/>
        </w:rPr>
        <w:t xml:space="preserve">. Premiering on February 14th, the film made history as the highest-grossing Valentine’s Day opener ever, pulling in over $14 million in domestic grosses on its debut. As of today, </w:t>
      </w:r>
      <w:r>
        <w:rPr>
          <w:rFonts w:ascii="Times New Roman" w:cs="Times New Roman" w:eastAsia="Times New Roman" w:hAnsi="Times New Roman"/>
          <w:sz w:val="18"/>
          <w:szCs w:val="18"/>
          <w:i w:val="1"/>
          <w:iCs w:val="1"/>
          <w:color w:val="auto"/>
        </w:rPr>
        <w:t>Bob Marley: One Love</w:t>
      </w:r>
      <w:r>
        <w:rPr>
          <w:rFonts w:ascii="Times New Roman" w:cs="Times New Roman" w:eastAsia="Times New Roman" w:hAnsi="Times New Roman"/>
          <w:sz w:val="18"/>
          <w:szCs w:val="18"/>
          <w:color w:val="auto"/>
        </w:rPr>
        <w:t xml:space="preserve"> has amassed over $177 million in worldwide grosses. Finishing off the first quarter of 2024, </w:t>
      </w:r>
      <w:r>
        <w:rPr>
          <w:rFonts w:ascii="Times New Roman" w:cs="Times New Roman" w:eastAsia="Times New Roman" w:hAnsi="Times New Roman"/>
          <w:sz w:val="18"/>
          <w:szCs w:val="18"/>
          <w:i w:val="1"/>
          <w:iCs w:val="1"/>
          <w:color w:val="auto"/>
        </w:rPr>
        <w:t>Godzilla x Kong: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New Empire </w:t>
      </w:r>
      <w:r>
        <w:rPr>
          <w:rFonts w:ascii="Times New Roman" w:cs="Times New Roman" w:eastAsia="Times New Roman" w:hAnsi="Times New Roman"/>
          <w:sz w:val="18"/>
          <w:szCs w:val="18"/>
          <w:color w:val="auto"/>
        </w:rPr>
        <w:t>has also generated over $558 million in worldwide grosses since its release on March 29.</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The success of these films not only bolsters our confidence in the enduring strength of the global cinema industry but also underscores its resilience in the face of persistent challenges, including rescheduled release dates, labor shortages, supply chain disruptions, and escalating costs. The unwavering enthusiasm of moviegoers for the cinematic experience has been instrumental in driving this success. As we venture into the second quarter of the year, we are poised to capitalize on this momentum with another compelling movie lineup. Audiences can anticipate a diverse range of releases, including </w:t>
      </w:r>
      <w:r>
        <w:rPr>
          <w:rFonts w:ascii="Times New Roman" w:cs="Times New Roman" w:eastAsia="Times New Roman" w:hAnsi="Times New Roman"/>
          <w:sz w:val="18"/>
          <w:szCs w:val="18"/>
          <w:i w:val="1"/>
          <w:iCs w:val="1"/>
          <w:color w:val="auto"/>
        </w:rPr>
        <w:t>Inside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 2, The Garfield Movie, A Quiet Place: Day One and Bad Boys: Ride or Die.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242424"/>
        </w:rPr>
        <w:t>In the United States, during the first quarter of 2022, we leased to Petco Animal Supplies Stores, Inc. (“Petco”), the cellar, ground floor, and second floor of our 44 Union Square property, representing approximately 42 percent of the leasable area of that building. Petco is in possession of the space and began paying cash rent in December 2022. Petco’s 44 Union Square flagship store opened on June 1, 2023.</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242424"/>
        </w:rPr>
        <w:t>We recognize that the lingering effects of the pandemic on the office leasing market in New York City, coupled with the slow pace of the “return to office” effort, have presented challenges in finding an office tenant for the space at 44 Union Square. As a result, we are also exploring non-office and alternative uses for the remaining space within the building. To bolster our efforts, we recently engaged George Comfort &amp; Sons as our exclusive leasing broker for the remaining space. Leveraging their esteemed reputation and extensive experience in New York City real estate, we are optimistic about their ability to bring fresh perspectives and innovative strategies to</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jc w:val="both"/>
        <w:spacing w:after="0" w:line="251" w:lineRule="auto"/>
        <w:rPr>
          <w:sz w:val="20"/>
          <w:szCs w:val="20"/>
          <w:color w:val="auto"/>
        </w:rPr>
      </w:pPr>
      <w:r>
        <w:rPr>
          <w:rFonts w:ascii="Times New Roman" w:cs="Times New Roman" w:eastAsia="Times New Roman" w:hAnsi="Times New Roman"/>
          <w:sz w:val="18"/>
          <w:szCs w:val="18"/>
          <w:color w:val="242424"/>
        </w:rPr>
        <w:t>attract tenants to 44 Union Square. We remain prepared for any leasing opportunities that may arise. With mortgage financing already secured for the project, we are well-positioned to cover leasing and tenant improvement costs upon securing a tenant.</w:t>
      </w:r>
    </w:p>
    <w:p>
      <w:pPr>
        <w:spacing w:after="0" w:line="18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242424"/>
        </w:rPr>
        <w:t>As of March 31, 2024, all of our tenants were currently open for business at our Australian and New Zealand properties. Most of the rentable retail portions of our Courtenay Central location in New Zealand continue to be closed due to seismic concerns, however one tenant remains open and trading. Furthermore, there is also one tenant trading on our Wakefield property. Our open land areas in Wellington are generating parking revenues.</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242424"/>
        </w:rPr>
        <w:t>Our development endeavors have largely been put on hold (other than advancing certain predevelopment work). Our limited capital expenditures during 2023 and the first quarter of 2024 have been largely focused on the enhancement of our existing cinemas.</w:t>
      </w:r>
    </w:p>
    <w:p>
      <w:pPr>
        <w:spacing w:after="0" w:line="14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242424"/>
        </w:rPr>
        <w:t>With respect to our assets in Wellington, New Zealand, we were approached by the Wellington City Council (“WCC”) in late 2022 about accelerating the redevelopment of our cinema and retail property known as Courtenay Central. For approximately 18 months, we engaged with representatives of the WCC about a transaction that would accelerate the redevelopment of our Courtenay Central building. While we were able to negotiate an agreement that was approved by the WCC and which would have facilitated financing for the initiation of the project, that agreement required the negotiation of definitive additional documentation. After months of negotiating that documentation and believing that we had substantively finished it in all material respects, negotiations were purportedly terminated by the WCC on a unilateral basis without warning. Following this, the Company is reassessing its options with respect to all of our real estate holdings in Wellington.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internationally diversified company principally focused on the development, ownership, and operation of entertainment and real estate assets in the United States, Australia, and New Zealand. Currently, we operate in two business segments: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Cinema exhibition, through our 61 cinemas as of March 31, 2024.</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Real estate, including real estate development and the rental of retail, commercial, and live theatre assets.</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believe these two business segments complement and support one another. Prior to COVID-19, we used cash flows generated by our cinema operations to fund the front-end cash demands of our real estate development business. As a result of COVID-19, we relied more upon income from our real estate assets, and tapped into the imbedded value in those assets, to support our Company through the COVID-19 crisis. As the residual COVID-19 and the 2023 Hollywood Strikes impacts continue to subside, quality film product will improve and entice patrons to return to our cinemas, reaffirming our belief that we will once again be able to rely on the cash flows generated by our cinema portfolio.</w:t>
      </w:r>
    </w:p>
    <w:p>
      <w:pPr>
        <w:spacing w:after="0" w:line="16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Despite the fact that our global cinema segment is improving at an income level, in light of our upcoming liquidity needs due to debt maturities, we have identified certain real estate assets to monetize to support our liquidity needs and will be exploring the monetization of other properties to the extent our liquidity needs require. We are steadfast in our belief that our two-pronged, diversified international business strategy will keep carrying our Company through these difficult times as we continue to navigate the uncertainty and challenges posed by the recent macroeconomic obstacles. See Note 3 – </w:t>
      </w:r>
      <w:r>
        <w:rPr>
          <w:rFonts w:ascii="Times New Roman" w:cs="Times New Roman" w:eastAsia="Times New Roman" w:hAnsi="Times New Roman"/>
          <w:sz w:val="18"/>
          <w:szCs w:val="18"/>
          <w:i w:val="1"/>
          <w:iCs w:val="1"/>
          <w:color w:val="auto"/>
        </w:rPr>
        <w:t>Impacts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our Business Due to the COVID-19 Pandemic, the 2023 Hollywood Strikes, the Dramatic Interest Rate Rise and Increased Operating Costs, together</w:t>
      </w:r>
    </w:p>
    <w:p>
      <w:pPr>
        <w:spacing w:after="0"/>
        <w:rPr>
          <w:sz w:val="20"/>
          <w:szCs w:val="20"/>
          <w:color w:val="auto"/>
        </w:rPr>
      </w:pPr>
      <w:r>
        <w:rPr>
          <w:rFonts w:ascii="Times New Roman" w:cs="Times New Roman" w:eastAsia="Times New Roman" w:hAnsi="Times New Roman"/>
          <w:sz w:val="18"/>
          <w:szCs w:val="18"/>
          <w:i w:val="1"/>
          <w:iCs w:val="1"/>
          <w:color w:val="auto"/>
        </w:rPr>
        <w:t>with our Company’s Resources, above.</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Food and Beverage Spend Per Patron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key performance indicator utilized by management in our cinema segment is Food and Beverage (“F&amp;B”) Spend Per Patron (“SPP”), which is calculated based on our total Food &amp; Beverage Revenues on a post-tax basis divided by our attendance during a specific period.</w:t>
      </w:r>
    </w:p>
    <w:p>
      <w:pPr>
        <w:spacing w:after="0" w:line="13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One of our strategic priorities has been to continue upgrading the food and beverage menu at several of our global cinemas. As of March 31, 2024, we have a total of 39 theater locations with elevated food and beverage menus (i.e. menus that are beyond traditional popcorn, soda, and candy). We use F&amp;B SPP as a measure of our food and beverage operational performance as compared to that of our competitors. Although the profitability of our food and beverage operations is influenced by numerous factors, including labor and cost of goods, F&amp;B SPP serves as an indicator of our ability to achieve consistent strong top-line performance. In addition, F&amp;B SPP highlights our ability to optimize revenue by effectively promoting and selling supplementary products to our customers during each visit. Moreover, this metric assists in evaluating how well we can differentiate our F&amp;B offerings from our competitors. Management in turn uses F&amp;B SPP to adjust food and beverage pricing strategies at our individual theaters, measure the effectiveness of promotional marketing initiatives, optimize menu offerings, and to ensure price barriers are not created for our attendance.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1656715</wp:posOffset>
            </wp:positionH>
            <wp:positionV relativeFrom="page">
              <wp:posOffset>208915</wp:posOffset>
            </wp:positionV>
            <wp:extent cx="4243070" cy="13284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424307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Average Ticket Price Per Patron</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An additional key performance indicator utilized by management in our cinema segment is Average Ticket Price (“ATP”) Per Patron, which is calculated based on our total Box Office Revenues on a post-tax basis divided by our attendance during a specific period. ATP serves to measure our operational cinema performance when compared to that of our competitors. ATP is a useful metric for evaluating our ability to achieve a strong top line performance, gauging the effectiveness of our cinemas’ pricing strategies and our ability to draw back audiences to our theaters. Management uses ATP to adjust and inform ticket pricing schemes for our individual theaters, measure the effectiveness of our content programming, and ensure that price barriers are not created for core guests.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111760</wp:posOffset>
            </wp:positionV>
            <wp:extent cx="4320540" cy="14833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2054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Key Performance Indicators</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key performance indicators used by management in our real estate segment with respect to our properties held for rent (other than our Live Theatres) are net operating income, occupancy factor (the percentage of the net rentable area of our properties that is leased) and average lease duration. Set forth in the table below are a comparison of these indicators for our first quarter 2024 compared to our first quarter 2023. As a matter of clarification, we do not include in our calculation of net rentable area available for lease any space that is closed for renovation or redevelopment (such as our Courtenay Central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1905</wp:posOffset>
            </wp:positionV>
            <wp:extent cx="4037330" cy="17487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3733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case of our Live Theatres, with respect to key performance indicators, we primarily look to the live theater rental revenue and ancillary income from the theatres. This key performance indicator represents box office revenues less amounts paid to producers for license fee settlements, plus ancillary income earned by us from certain theater operations. Our live theater rental revenue and ancillary income for the first quarter 2024 was $413,402 and was $339,364 for the first quarter 2023.</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both"/>
        <w:spacing w:after="0" w:line="242" w:lineRule="auto"/>
        <w:rPr>
          <w:sz w:val="20"/>
          <w:szCs w:val="20"/>
          <w:color w:val="auto"/>
        </w:rPr>
      </w:pPr>
      <w:r>
        <w:rPr>
          <w:rFonts w:ascii="Times New Roman" w:cs="Times New Roman" w:eastAsia="Times New Roman" w:hAnsi="Times New Roman"/>
          <w:sz w:val="18"/>
          <w:szCs w:val="18"/>
          <w:color w:val="auto"/>
        </w:rPr>
        <w:t>In the case of our development properties (such as 44 Union Square in New York City and our various properties in Wellington, New Zealand) we do not have specific key performance standards to compare performance from period to period. Rather we look to budgets and projections and compare actual results to budgeted or projected results from time to time.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Cinema Exhibition Overview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worldwide cinema exhibition businesses through various subsidiaries under various brands: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U.S., under the Reading Cinemas, Angelika Film Centers, and Consolidated Theatres brands.</w:t>
      </w:r>
    </w:p>
    <w:p>
      <w:pPr>
        <w:spacing w:after="0" w:line="76"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in Australia, under the Reading Cinemas, Angelika Cinemas, the State Cinema by Angelika, and for our one unconsolidated joint venture theatre, Event Cinemas brands.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New Zealand, under the Reading Cinemas and our two unconsolidated joint venture theatres, Rialto Cinemas brands.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Shown in the following table are the number of locations and screens in our cinema circuit in each country, by state/territory/region, our cinema brands, and our interest in the underlying assets as of March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State / Territory /</w:t>
            </w: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Screen</w:t>
            </w:r>
          </w:p>
        </w:tc>
        <w:tc>
          <w:tcPr>
            <w:tcW w:w="21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Interest in Asset</w:t>
            </w:r>
          </w:p>
        </w:tc>
        <w:tc>
          <w:tcPr>
            <w:tcW w:w="1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 Cinema</w:t>
            </w:r>
          </w:p>
        </w:tc>
        <w:tc>
          <w:tcPr>
            <w:tcW w:w="1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60" w:type="dxa"/>
            <w:vAlign w:val="bottom"/>
          </w:tcPr>
          <w:p>
            <w:pPr>
              <w:spacing w:after="0"/>
              <w:rPr>
                <w:sz w:val="16"/>
                <w:szCs w:val="16"/>
                <w:color w:val="auto"/>
              </w:rPr>
            </w:pPr>
          </w:p>
        </w:tc>
        <w:tc>
          <w:tcPr>
            <w:tcW w:w="20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98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3"/>
                <w:szCs w:val="13"/>
                <w:b w:val="1"/>
                <w:bCs w:val="1"/>
                <w:color w:val="auto"/>
              </w:rPr>
              <w:t>Count</w:t>
            </w:r>
            <w:r>
              <w:rPr>
                <w:rFonts w:ascii="Times New Roman" w:cs="Times New Roman" w:eastAsia="Times New Roman" w:hAnsi="Times New Roman"/>
                <w:sz w:val="21"/>
                <w:szCs w:val="21"/>
                <w:b w:val="1"/>
                <w:bCs w:val="1"/>
                <w:color w:val="auto"/>
                <w:vertAlign w:val="superscript"/>
              </w:rPr>
              <w:t>(3)</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6"/>
                <w:szCs w:val="16"/>
                <w:color w:val="auto"/>
              </w:rPr>
            </w:pPr>
          </w:p>
        </w:tc>
        <w:tc>
          <w:tcPr>
            <w:tcW w:w="32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Operating Brands</w:t>
            </w:r>
          </w:p>
        </w:tc>
        <w:tc>
          <w:tcPr>
            <w:tcW w:w="0" w:type="dxa"/>
            <w:vAlign w:val="bottom"/>
          </w:tcPr>
          <w:p>
            <w:pPr>
              <w:spacing w:after="0"/>
              <w:rPr>
                <w:sz w:val="1"/>
                <w:szCs w:val="1"/>
                <w:color w:val="auto"/>
              </w:rPr>
            </w:pPr>
          </w:p>
        </w:tc>
      </w:tr>
      <w:tr>
        <w:trPr>
          <w:trHeight w:val="162"/>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6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Hawaii</w:t>
            </w: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1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Theatres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California</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 Angelika Film Center</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New York</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Angelika Film Center</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Texas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Angelika Film Center</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New Jersey</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Virginia</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Angelika Film Center</w:t>
            </w:r>
          </w:p>
        </w:tc>
        <w:tc>
          <w:tcPr>
            <w:tcW w:w="0" w:type="dxa"/>
            <w:vAlign w:val="bottom"/>
          </w:tcPr>
          <w:p>
            <w:pPr>
              <w:spacing w:after="0"/>
              <w:rPr>
                <w:sz w:val="1"/>
                <w:szCs w:val="1"/>
                <w:color w:val="auto"/>
              </w:rPr>
            </w:pPr>
          </w:p>
        </w:tc>
      </w:tr>
      <w:tr>
        <w:trPr>
          <w:trHeight w:val="162"/>
        </w:trPr>
        <w:tc>
          <w:tcPr>
            <w:tcW w:w="1580" w:type="dxa"/>
            <w:vAlign w:val="bottom"/>
            <w:tcBorders>
              <w:bottom w:val="single" w:sz="8" w:color="auto"/>
            </w:tcBorders>
            <w:shd w:val="clear" w:color="auto" w:fill="CCEEFF"/>
          </w:tcPr>
          <w:p>
            <w:pPr>
              <w:spacing w:after="0"/>
              <w:rPr>
                <w:sz w:val="14"/>
                <w:szCs w:val="14"/>
                <w:color w:val="auto"/>
              </w:rPr>
            </w:pPr>
          </w:p>
        </w:tc>
        <w:tc>
          <w:tcPr>
            <w:tcW w:w="2160" w:type="dxa"/>
            <w:vAlign w:val="bottom"/>
            <w:tcBorders>
              <w:bottom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Washington, D.C.</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44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Angelika Film Center</w:t>
            </w:r>
          </w:p>
        </w:tc>
        <w:tc>
          <w:tcPr>
            <w:tcW w:w="0" w:type="dxa"/>
            <w:vAlign w:val="bottom"/>
          </w:tcPr>
          <w:p>
            <w:pPr>
              <w:spacing w:after="0"/>
              <w:rPr>
                <w:sz w:val="1"/>
                <w:szCs w:val="1"/>
                <w:color w:val="auto"/>
              </w:rPr>
            </w:pPr>
          </w:p>
        </w:tc>
      </w:tr>
      <w:tr>
        <w:trPr>
          <w:trHeight w:val="155"/>
        </w:trPr>
        <w:tc>
          <w:tcPr>
            <w:tcW w:w="1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U.S. Total</w:t>
            </w:r>
          </w:p>
        </w:tc>
        <w:tc>
          <w:tcPr>
            <w:tcW w:w="82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198</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19</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1</w:t>
            </w:r>
          </w:p>
        </w:tc>
        <w:tc>
          <w:tcPr>
            <w:tcW w:w="16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Australia</w:t>
            </w:r>
          </w:p>
        </w:tc>
        <w:tc>
          <w:tcPr>
            <w:tcW w:w="2160" w:type="dxa"/>
            <w:vAlign w:val="bottom"/>
            <w:gridSpan w:val="3"/>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Victoria</w:t>
            </w:r>
          </w:p>
        </w:tc>
        <w:tc>
          <w:tcPr>
            <w:tcW w:w="8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9</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62</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40" w:type="dxa"/>
            <w:vAlign w:val="bottom"/>
            <w:gridSpan w:val="2"/>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New South Wales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10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85"/>
              </w:rPr>
              <w:t>0</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Queensland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3</w:t>
            </w: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 Angelika Cinemas, Event Cinemas(1)</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Western Australia</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10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South Australia</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Tasmania</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 State Cinema by Angelika</w:t>
            </w:r>
          </w:p>
        </w:tc>
        <w:tc>
          <w:tcPr>
            <w:tcW w:w="0" w:type="dxa"/>
            <w:vAlign w:val="bottom"/>
          </w:tcPr>
          <w:p>
            <w:pPr>
              <w:spacing w:after="0"/>
              <w:rPr>
                <w:sz w:val="1"/>
                <w:szCs w:val="1"/>
                <w:color w:val="auto"/>
              </w:rPr>
            </w:pPr>
          </w:p>
        </w:tc>
      </w:tr>
      <w:tr>
        <w:trPr>
          <w:trHeight w:val="155"/>
        </w:trPr>
        <w:tc>
          <w:tcPr>
            <w:tcW w:w="15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Australia Total</w:t>
            </w:r>
          </w:p>
        </w:tc>
        <w:tc>
          <w:tcPr>
            <w:tcW w:w="82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30</w:t>
            </w: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226</w:t>
            </w: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26</w:t>
            </w: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gridSpan w:val="2"/>
            <w:shd w:val="clear" w:color="auto" w:fill="CCEEFF"/>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4</w:t>
            </w:r>
          </w:p>
        </w:tc>
        <w:tc>
          <w:tcPr>
            <w:tcW w:w="160" w:type="dxa"/>
            <w:vAlign w:val="bottom"/>
            <w:tcBorders>
              <w:bottom w:val="single" w:sz="8" w:color="auto"/>
            </w:tcBorders>
            <w:shd w:val="clear" w:color="auto" w:fill="CCEEFF"/>
          </w:tcPr>
          <w:p>
            <w:pPr>
              <w:spacing w:after="0"/>
              <w:rPr>
                <w:sz w:val="13"/>
                <w:szCs w:val="13"/>
                <w:color w:val="auto"/>
              </w:rPr>
            </w:pPr>
          </w:p>
        </w:tc>
        <w:tc>
          <w:tcPr>
            <w:tcW w:w="32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New Zealand</w:t>
            </w:r>
          </w:p>
        </w:tc>
        <w:tc>
          <w:tcPr>
            <w:tcW w:w="216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Wellington</w:t>
            </w:r>
          </w:p>
        </w:tc>
        <w:tc>
          <w:tcPr>
            <w:tcW w:w="8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2</w:t>
            </w:r>
          </w:p>
        </w:tc>
        <w:tc>
          <w:tcPr>
            <w:tcW w:w="16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15</w:t>
            </w:r>
          </w:p>
        </w:tc>
        <w:tc>
          <w:tcPr>
            <w:tcW w:w="18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3"/>
                <w:szCs w:val="13"/>
                <w:color w:val="auto"/>
              </w:rPr>
            </w:pPr>
          </w:p>
        </w:tc>
        <w:tc>
          <w:tcPr>
            <w:tcW w:w="1060" w:type="dxa"/>
            <w:vAlign w:val="bottom"/>
            <w:gridSpan w:val="2"/>
          </w:tcPr>
          <w:p>
            <w:pPr>
              <w:jc w:val="center"/>
              <w:ind w:left="8"/>
              <w:spacing w:after="0" w:line="155" w:lineRule="exact"/>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spacing w:after="0"/>
              <w:rPr>
                <w:sz w:val="17"/>
                <w:szCs w:val="17"/>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Otago</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4"/>
                <w:szCs w:val="14"/>
                <w:color w:val="auto"/>
              </w:rPr>
              <w:t>Reading Cinemas, Rialto Cinemas</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Auckland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4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4"/>
                <w:szCs w:val="14"/>
                <w:color w:val="auto"/>
              </w:rPr>
              <w:t>Reading Cinemas, Rialto Cinemas</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Canterbury</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Southland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85"/>
              </w:rPr>
              <w:t>0</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Bay of Plenty</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Hawke's Bay</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55"/>
        </w:trPr>
        <w:tc>
          <w:tcPr>
            <w:tcW w:w="15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New Zealand Total</w:t>
            </w:r>
          </w:p>
        </w:tc>
        <w:tc>
          <w:tcPr>
            <w:tcW w:w="82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11</w:t>
            </w: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67</w:t>
            </w: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7</w:t>
            </w: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gridSpan w:val="2"/>
            <w:shd w:val="clear" w:color="auto" w:fill="CCEEFF"/>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4</w:t>
            </w:r>
          </w:p>
        </w:tc>
        <w:tc>
          <w:tcPr>
            <w:tcW w:w="160" w:type="dxa"/>
            <w:vAlign w:val="bottom"/>
            <w:tcBorders>
              <w:bottom w:val="single" w:sz="8" w:color="auto"/>
            </w:tcBorders>
            <w:shd w:val="clear" w:color="auto" w:fill="CCEEFF"/>
          </w:tcPr>
          <w:p>
            <w:pPr>
              <w:spacing w:after="0"/>
              <w:rPr>
                <w:sz w:val="13"/>
                <w:szCs w:val="13"/>
                <w:color w:val="auto"/>
              </w:rPr>
            </w:pPr>
          </w:p>
        </w:tc>
        <w:tc>
          <w:tcPr>
            <w:tcW w:w="32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GRAND TOTAL</w:t>
            </w: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61</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491</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52</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9</w:t>
            </w:r>
          </w:p>
        </w:tc>
        <w:tc>
          <w:tcPr>
            <w:tcW w:w="1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Company has a 33.3% unincorporated joint venture interest in a 16-screen cinema located in Mt. Gravatt, Queensland managed by Event Cinemas.</w:t>
      </w:r>
    </w:p>
    <w:p>
      <w:pPr>
        <w:spacing w:after="0" w:line="17" w:lineRule="exact"/>
        <w:rPr>
          <w:rFonts w:ascii="Times New Roman" w:cs="Times New Roman" w:eastAsia="Times New Roman" w:hAnsi="Times New Roman"/>
          <w:sz w:val="14"/>
          <w:szCs w:val="14"/>
          <w:color w:val="auto"/>
        </w:rPr>
      </w:pPr>
    </w:p>
    <w:p>
      <w:pPr>
        <w:ind w:left="660" w:hanging="328"/>
        <w:spacing w:after="0" w:line="231"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Company is a 50% joint venture partner in two New Zealand Rialto Cinemas, with a total of 13 screens. We are responsible for the booking of these cinemas and our joint venture partner, Event Cinemas, manages their day-to-day operations.</w:t>
      </w:r>
    </w:p>
    <w:p>
      <w:pPr>
        <w:jc w:val="both"/>
        <w:ind w:left="660" w:hanging="328"/>
        <w:spacing w:after="0" w:line="231"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total location counts as of March 31, 2024, reflects all operating cinemas, including (i) the Angelika Cinemas at South City Square in Australia, which opened on August 24, 2023, (ii) the Reading Cinemas at Busselton in Australia, which opened on September 22, 2023, (iii) the Reading Cinemas at Courtenay Central in New Zealand, which remains closed for</w:t>
      </w:r>
    </w:p>
    <w:p>
      <w:pPr>
        <w:spacing w:after="0" w:line="1" w:lineRule="exact"/>
        <w:rPr>
          <w:sz w:val="20"/>
          <w:szCs w:val="20"/>
          <w:color w:val="auto"/>
        </w:rPr>
      </w:pPr>
    </w:p>
    <w:p>
      <w:pPr>
        <w:ind w:left="660"/>
        <w:spacing w:after="0" w:line="239" w:lineRule="auto"/>
        <w:rPr>
          <w:sz w:val="20"/>
          <w:szCs w:val="20"/>
          <w:color w:val="auto"/>
        </w:rPr>
      </w:pPr>
      <w:r>
        <w:rPr>
          <w:rFonts w:ascii="Times New Roman" w:cs="Times New Roman" w:eastAsia="Times New Roman" w:hAnsi="Times New Roman"/>
          <w:sz w:val="14"/>
          <w:szCs w:val="14"/>
          <w:color w:val="auto"/>
        </w:rPr>
        <w:t>seismic issues and (iv) two underperforming Consolidated Theatres in Hawaii were closed, as of July 9, 2023 and July 31, 2023, respectively, one underperforming Reading Cinemas in Northern California closed on November 1, 2023, and one underperforming Reading Cinemas in New Zealand was closed on May 7, 2023.</w:t>
      </w:r>
    </w:p>
    <w:p>
      <w:pPr>
        <w:spacing w:after="0" w:line="22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Our cinema revenues consist primarily of cinema ticket sales, F&amp;B sales, screen advertising, gift card sales, cinema rentals, and online convenience fee revenue generated by the sale of our cinema tickets through our websites and mobile apps. Cinema operating expenses consist of the costs directly attributable to the operation of the cinemas, including (i) film rent expense, (ii) operating costs, such as employment costs and utilities, and (iii) occupancy costs. Cinema revenues and certain expenses fluctuate with the availability of quality first run films and the number of weeks such first run films stay in the market. For a breakdown of our current cinema assets that we own and/or manage, please refer to </w:t>
      </w:r>
      <w:r>
        <w:rPr>
          <w:rFonts w:ascii="Times New Roman" w:cs="Times New Roman" w:eastAsia="Times New Roman" w:hAnsi="Times New Roman"/>
          <w:sz w:val="18"/>
          <w:szCs w:val="18"/>
          <w:i w:val="1"/>
          <w:iCs w:val="1"/>
          <w:color w:val="auto"/>
        </w:rPr>
        <w:t>Part I, Item 1 – Our Business</w:t>
      </w:r>
      <w:r>
        <w:rPr>
          <w:rFonts w:ascii="Times New Roman" w:cs="Times New Roman" w:eastAsia="Times New Roman" w:hAnsi="Times New Roman"/>
          <w:sz w:val="18"/>
          <w:szCs w:val="18"/>
          <w:color w:val="auto"/>
        </w:rPr>
        <w:t xml:space="preserve"> of our 2023 Form 10-K. We now present a discussion of recent material developments.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Cinema Additions and Pipeline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latest additions to our cinema portfolio as of March 31, 2024, were as follows:</w:t>
      </w:r>
    </w:p>
    <w:p>
      <w:pPr>
        <w:spacing w:after="0" w:line="2" w:lineRule="exact"/>
        <w:rPr>
          <w:sz w:val="20"/>
          <w:szCs w:val="20"/>
          <w:color w:val="auto"/>
        </w:rPr>
      </w:pPr>
    </w:p>
    <w:p>
      <w:pPr>
        <w:ind w:left="660" w:right="340"/>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Armadale, Western Australia,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13, 2023, we took over an existing six-screen cinema in Armadale, Australia, a suburb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Perth in Western Australia.</w:t>
      </w:r>
    </w:p>
    <w:p>
      <w:pPr>
        <w:spacing w:after="0" w:line="139" w:lineRule="exact"/>
        <w:rPr>
          <w:sz w:val="20"/>
          <w:szCs w:val="20"/>
          <w:color w:val="auto"/>
        </w:rPr>
      </w:pPr>
    </w:p>
    <w:p>
      <w:pPr>
        <w:ind w:left="660" w:right="180"/>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South City Square, Brisbane,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24, 2023, we launched our first-ever Angelika Cinemas outside of the United States at South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City Square in Woolloongabba, Brisbane. The location operates as an eight-screen complex, featuring elevated food and beverage offerings (including alcoholic beverages) and recliner seating.</w:t>
      </w:r>
    </w:p>
    <w:p>
      <w:pPr>
        <w:spacing w:after="0" w:line="154" w:lineRule="exact"/>
        <w:rPr>
          <w:sz w:val="20"/>
          <w:szCs w:val="20"/>
          <w:color w:val="auto"/>
        </w:rPr>
      </w:pPr>
    </w:p>
    <w:p>
      <w:pPr>
        <w:ind w:left="660" w:right="440"/>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Busselton, Western Australia,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22, 2023, we opened a five-screen complex in the newly expanded Busselton Central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Centre precinct of Busselton, Western Australia. The state-of-the-art complex features a TITAN LUXE screen, elevated food and beverage offerings, and recliner seating.</w:t>
      </w:r>
    </w:p>
    <w:p>
      <w:pPr>
        <w:spacing w:after="0" w:line="143" w:lineRule="exact"/>
        <w:rPr>
          <w:sz w:val="20"/>
          <w:szCs w:val="20"/>
          <w:color w:val="auto"/>
        </w:rPr>
      </w:pPr>
    </w:p>
    <w:p>
      <w:pPr>
        <w:ind w:left="340" w:right="280"/>
        <w:spacing w:after="0" w:line="266" w:lineRule="auto"/>
        <w:rPr>
          <w:sz w:val="20"/>
          <w:szCs w:val="20"/>
          <w:color w:val="auto"/>
        </w:rPr>
      </w:pPr>
      <w:r>
        <w:rPr>
          <w:rFonts w:ascii="Times New Roman" w:cs="Times New Roman" w:eastAsia="Times New Roman" w:hAnsi="Times New Roman"/>
          <w:sz w:val="18"/>
          <w:szCs w:val="18"/>
          <w:color w:val="auto"/>
        </w:rPr>
        <w:t>Our Board has authorized management to proceed with the negotiation of leases for one new state-of-the-art cinema, located in Noosa, Queensland, Australia.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Cinema Upgrades</w:t>
      </w:r>
    </w:p>
    <w:p>
      <w:pPr>
        <w:spacing w:after="0" w:line="175"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As of March 31, 2024, the upgrades to our cinema circuits’ film exhibition technology and amenities over the years are as summarized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Location  Count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Screen</w:t>
            </w:r>
          </w:p>
        </w:tc>
        <w:tc>
          <w:tcPr>
            <w:tcW w:w="0" w:type="dxa"/>
            <w:vAlign w:val="bottom"/>
          </w:tcPr>
          <w:p>
            <w:pPr>
              <w:spacing w:after="0"/>
              <w:rPr>
                <w:sz w:val="1"/>
                <w:szCs w:val="1"/>
                <w:color w:val="auto"/>
              </w:rPr>
            </w:pPr>
          </w:p>
        </w:tc>
      </w:tr>
      <w:tr>
        <w:trPr>
          <w:trHeight w:val="180"/>
        </w:trPr>
        <w:tc>
          <w:tcPr>
            <w:tcW w:w="84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w:t>
            </w:r>
          </w:p>
        </w:tc>
        <w:tc>
          <w:tcPr>
            <w:tcW w:w="0" w:type="dxa"/>
            <w:vAlign w:val="bottom"/>
          </w:tcPr>
          <w:p>
            <w:pPr>
              <w:spacing w:after="0"/>
              <w:rPr>
                <w:sz w:val="1"/>
                <w:szCs w:val="1"/>
                <w:color w:val="auto"/>
              </w:rPr>
            </w:pPr>
          </w:p>
        </w:tc>
      </w:tr>
      <w:tr>
        <w:trPr>
          <w:trHeight w:val="189"/>
        </w:trPr>
        <w:tc>
          <w:tcPr>
            <w:tcW w:w="840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Screen Format</w:t>
            </w:r>
          </w:p>
        </w:tc>
        <w:tc>
          <w:tcPr>
            <w:tcW w:w="1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Digital (all cinemas in our cinema circuit)</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491</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IMAX</w:t>
            </w:r>
          </w:p>
        </w:tc>
        <w:tc>
          <w:tcPr>
            <w:tcW w:w="13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9"/>
        </w:trPr>
        <w:tc>
          <w:tcPr>
            <w:tcW w:w="840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TITAN XC and TITAN LUXE</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26</w:t>
            </w:r>
          </w:p>
        </w:tc>
        <w:tc>
          <w:tcPr>
            <w:tcW w:w="18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Dine-in Service</w:t>
            </w: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40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Gold Lounge (AU/NZ)</w:t>
            </w:r>
            <w:r>
              <w:rPr>
                <w:rFonts w:ascii="Times New Roman" w:cs="Times New Roman" w:eastAsia="Times New Roman" w:hAnsi="Times New Roman"/>
                <w:sz w:val="29"/>
                <w:szCs w:val="29"/>
                <w:color w:val="auto"/>
                <w:vertAlign w:val="superscript"/>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57"/>
        </w:trPr>
        <w:tc>
          <w:tcPr>
            <w:tcW w:w="8400" w:type="dxa"/>
            <w:vAlign w:val="bottom"/>
            <w:shd w:val="clear" w:color="auto" w:fill="CCEEFF"/>
          </w:tcPr>
          <w:p>
            <w:pPr>
              <w:ind w:left="220"/>
              <w:spacing w:after="0" w:line="256" w:lineRule="exact"/>
              <w:rPr>
                <w:sz w:val="20"/>
                <w:szCs w:val="20"/>
                <w:color w:val="auto"/>
              </w:rPr>
            </w:pPr>
            <w:r>
              <w:rPr>
                <w:rFonts w:ascii="Times New Roman" w:cs="Times New Roman" w:eastAsia="Times New Roman" w:hAnsi="Times New Roman"/>
                <w:sz w:val="18"/>
                <w:szCs w:val="18"/>
                <w:color w:val="auto"/>
              </w:rPr>
              <w:t>Premium (AU/NZ)</w:t>
            </w:r>
            <w:r>
              <w:rPr>
                <w:rFonts w:ascii="Times New Roman" w:cs="Times New Roman" w:eastAsia="Times New Roman" w:hAnsi="Times New Roman"/>
                <w:sz w:val="29"/>
                <w:szCs w:val="29"/>
                <w:color w:val="auto"/>
                <w:vertAlign w:val="superscript"/>
              </w:rPr>
              <w:t>(2)</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57"/>
        </w:trPr>
        <w:tc>
          <w:tcPr>
            <w:tcW w:w="840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Spotlight (U.S.)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8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i w:val="1"/>
                <w:iCs w:val="1"/>
                <w:color w:val="auto"/>
              </w:rPr>
              <w:t>Upgraded Food &amp; Beverage menu (U.S.)</w:t>
            </w:r>
            <w:r>
              <w:rPr>
                <w:rFonts w:ascii="Times New Roman" w:cs="Times New Roman" w:eastAsia="Times New Roman" w:hAnsi="Times New Roman"/>
                <w:sz w:val="29"/>
                <w:szCs w:val="29"/>
                <w:i w:val="1"/>
                <w:iCs w:val="1"/>
                <w:color w:val="auto"/>
                <w:vertAlign w:val="superscript"/>
              </w:rPr>
              <w:t>(4)</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189"/>
        </w:trPr>
        <w:tc>
          <w:tcPr>
            <w:tcW w:w="840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Premium Seating (features recliner seating)</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33</w:t>
            </w:r>
          </w:p>
        </w:tc>
        <w:tc>
          <w:tcPr>
            <w:tcW w:w="18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198</w:t>
            </w:r>
          </w:p>
        </w:tc>
        <w:tc>
          <w:tcPr>
            <w:tcW w:w="0" w:type="dxa"/>
            <w:vAlign w:val="bottom"/>
          </w:tcPr>
          <w:p>
            <w:pPr>
              <w:spacing w:after="0"/>
              <w:rPr>
                <w:sz w:val="1"/>
                <w:szCs w:val="1"/>
                <w:color w:val="auto"/>
              </w:rPr>
            </w:pPr>
          </w:p>
        </w:tc>
      </w:tr>
      <w:tr>
        <w:trPr>
          <w:trHeight w:val="257"/>
        </w:trPr>
        <w:tc>
          <w:tcPr>
            <w:tcW w:w="8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i w:val="1"/>
                <w:iCs w:val="1"/>
                <w:color w:val="auto"/>
              </w:rPr>
              <w:t xml:space="preserve">Liquor Licenses </w:t>
            </w:r>
            <w:r>
              <w:rPr>
                <w:rFonts w:ascii="Times New Roman" w:cs="Times New Roman" w:eastAsia="Times New Roman" w:hAnsi="Times New Roman"/>
                <w:sz w:val="29"/>
                <w:szCs w:val="29"/>
                <w:i w:val="1"/>
                <w:iCs w:val="1"/>
                <w:color w:val="auto"/>
                <w:vertAlign w:val="superscript"/>
              </w:rPr>
              <w:t>(5)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60" w:right="20" w:hanging="328"/>
        <w:spacing w:after="0" w:line="244"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Gold Lounge</w:t>
      </w:r>
      <w:r>
        <w:rPr>
          <w:rFonts w:ascii="Times New Roman" w:cs="Times New Roman" w:eastAsia="Times New Roman" w:hAnsi="Times New Roman"/>
          <w:sz w:val="14"/>
          <w:szCs w:val="14"/>
          <w:color w:val="auto"/>
        </w:rPr>
        <w:t>: This is our "First Class Full Dine-in Service" in our Australian and New Zealand cinemas, which includes an upgraded F&amp;B menu (with alcoholic beverages), luxury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recliner seating features (intimate 25-50 seat cinemas) and waiter service.</w:t>
      </w:r>
    </w:p>
    <w:p>
      <w:pPr>
        <w:spacing w:after="0" w:line="1" w:lineRule="exact"/>
        <w:rPr>
          <w:rFonts w:ascii="Times New Roman" w:cs="Times New Roman" w:eastAsia="Times New Roman" w:hAnsi="Times New Roman"/>
          <w:sz w:val="14"/>
          <w:szCs w:val="14"/>
          <w:color w:val="auto"/>
        </w:rPr>
      </w:pPr>
    </w:p>
    <w:p>
      <w:pPr>
        <w:ind w:left="660" w:hanging="328"/>
        <w:spacing w:after="0" w:line="231"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Premium Service</w:t>
      </w:r>
      <w:r>
        <w:rPr>
          <w:rFonts w:ascii="Times New Roman" w:cs="Times New Roman" w:eastAsia="Times New Roman" w:hAnsi="Times New Roman"/>
          <w:sz w:val="14"/>
          <w:szCs w:val="14"/>
          <w:color w:val="auto"/>
        </w:rPr>
        <w:t>: This is our "Business Class Dine-in Service" in our Australian and New Zealand cinemas, which typically includes upgraded F&amp;B menu (some with alcoholic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beverages) and may include luxury recliner seating features (less intimate 80-seat cinemas), but no waiter service.</w:t>
      </w:r>
    </w:p>
    <w:p>
      <w:pPr>
        <w:jc w:val="both"/>
        <w:ind w:left="660" w:hanging="328"/>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Spotlight Service: </w:t>
      </w:r>
      <w:r>
        <w:rPr>
          <w:rFonts w:ascii="Times New Roman" w:cs="Times New Roman" w:eastAsia="Times New Roman" w:hAnsi="Times New Roman"/>
          <w:sz w:val="14"/>
          <w:szCs w:val="14"/>
          <w:color w:val="auto"/>
        </w:rPr>
        <w:t>Our first dine-in cinema concept in the U.S. at Reading Cinemas in Murrieta, California. Six of our 17 auditoriums at this cinema feature waiter service before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movie begins with a full F&amp;B menu, luxury recliner seating, and laser focus on customer service. Our Spotlight service has been temporarily suspended since the initial COVID-19 shutdown.</w:t>
      </w:r>
    </w:p>
    <w:p>
      <w:pPr>
        <w:spacing w:after="0" w:line="137" w:lineRule="exact"/>
        <w:rPr>
          <w:rFonts w:ascii="Times New Roman" w:cs="Times New Roman" w:eastAsia="Times New Roman" w:hAnsi="Times New Roman"/>
          <w:sz w:val="14"/>
          <w:szCs w:val="14"/>
          <w:color w:val="auto"/>
        </w:rPr>
      </w:pPr>
    </w:p>
    <w:p>
      <w:pPr>
        <w:ind w:left="660" w:right="20" w:hanging="328"/>
        <w:spacing w:after="0" w:line="231"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Upgraded Food &amp; Beverage Menu</w:t>
      </w:r>
      <w:r>
        <w:rPr>
          <w:rFonts w:ascii="Times New Roman" w:cs="Times New Roman" w:eastAsia="Times New Roman" w:hAnsi="Times New Roman"/>
          <w:sz w:val="14"/>
          <w:szCs w:val="14"/>
          <w:color w:val="auto"/>
        </w:rPr>
        <w:t>: Features an elevated F&amp;B menu including a menu of locally inspired and freshly prepared items that go beyond traditional concessions,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 have worked with former Food Network executives to create. The elevated menu also includes beer, wine and/or spirits at most of our locations.</w:t>
      </w:r>
    </w:p>
    <w:p>
      <w:pPr>
        <w:jc w:val="both"/>
        <w:ind w:left="660" w:hanging="328"/>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Liquor Licenses: </w:t>
      </w:r>
      <w:r>
        <w:rPr>
          <w:rFonts w:ascii="Times New Roman" w:cs="Times New Roman" w:eastAsia="Times New Roman" w:hAnsi="Times New Roman"/>
          <w:sz w:val="14"/>
          <w:szCs w:val="14"/>
          <w:color w:val="auto"/>
        </w:rPr>
        <w:t>Licenses are applicable at each cinema location, rather than each cinema auditorium. As of today, we have liquor licenses in 100% of our cinemas operating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 In Australia, 72% of our cinemas are licensed and we have three liquor licenses pending. In New Zealand, 33% of our cinemas are licensed and we have two liquor licenses pending.</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Enhancements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85"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Renovation Work</w:t>
      </w:r>
      <w:r>
        <w:rPr>
          <w:rFonts w:ascii="Times New Roman" w:cs="Times New Roman" w:eastAsia="Times New Roman" w:hAnsi="Times New Roman"/>
          <w:sz w:val="18"/>
          <w:szCs w:val="18"/>
          <w:color w:val="auto"/>
        </w:rPr>
        <w:t>: As of March 31, 2024, we have converted 110 of our 198 U.S. auditoriums to luxury recliner seating. We have an agreement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 with our landlord at the Dallas Angelika for a complete remodel of that cinema.</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Australia and New Zealand</w:t>
      </w:r>
    </w:p>
    <w:p>
      <w:pPr>
        <w:spacing w:after="0" w:line="185" w:lineRule="exact"/>
        <w:rPr>
          <w:sz w:val="20"/>
          <w:szCs w:val="20"/>
          <w:color w:val="auto"/>
        </w:rPr>
      </w:pPr>
    </w:p>
    <w:p>
      <w:pPr>
        <w:ind w:left="660"/>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Rouse Hill renovation</w:t>
      </w:r>
      <w:r>
        <w:rPr>
          <w:rFonts w:ascii="Times New Roman" w:cs="Times New Roman" w:eastAsia="Times New Roman" w:hAnsi="Times New Roman"/>
          <w:sz w:val="18"/>
          <w:szCs w:val="18"/>
          <w:color w:val="auto"/>
        </w:rPr>
        <w:t>: Reading Cinema Rouse Hill will undergo a lease obligated refurbishment focusing on the foyer, concessions,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introduction of hot food offerings, and the addition of another all reclining Premium auditorium. The Preliminary drawings have been completed and will develop into a construction set for project/lessor approval, building consents and tender.</w:t>
      </w:r>
    </w:p>
    <w:p>
      <w:pPr>
        <w:spacing w:after="0" w:line="154"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Angelika Film Centre, South City Square</w:t>
      </w:r>
      <w:r>
        <w:rPr>
          <w:rFonts w:ascii="Times New Roman" w:cs="Times New Roman" w:eastAsia="Times New Roman" w:hAnsi="Times New Roman"/>
          <w:sz w:val="18"/>
          <w:szCs w:val="18"/>
          <w:color w:val="auto"/>
        </w:rPr>
        <w:t>: Australia’s first Angelika opened on August 24, 2023 in the Woolloongabba (Queensland) South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development. The complex offers eight screens, all reclining seating, and exceptional hot food and liquor offerings.</w:t>
      </w:r>
    </w:p>
    <w:p>
      <w:pPr>
        <w:spacing w:after="0" w:line="238"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Other Cinema Upgrades</w:t>
      </w:r>
      <w:r>
        <w:rPr>
          <w:rFonts w:ascii="Times New Roman" w:cs="Times New Roman" w:eastAsia="Times New Roman" w:hAnsi="Times New Roman"/>
          <w:sz w:val="18"/>
          <w:szCs w:val="18"/>
          <w:color w:val="auto"/>
        </w:rPr>
        <w:t>: In addition, during the three-year period 2021 to 2023, we have improved Sunbury and State Cinema in Australia,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some non-lease driven renovations at Rouse Hill in New South Wales, Australia.</w:t>
      </w:r>
    </w:p>
    <w:p>
      <w:pPr>
        <w:spacing w:after="0" w:line="3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2024, we will continue to focus on the enhancement of our proprietary online ticketing and Food &amp; Beverage capabilities, together with improving and expanding our social media platforms and interfaces. These are intended to enhance the convenience of our offerings and to promote guest affinity with the experiences and products that we are offering.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Cinema Closures</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May 7, 2023, The Hutt Pop-Up in New Zealand was permanently closed due to the expiration of our lease for that location. We chose not to continue the cinema as it was only brought online as a “pop up” to address a temporary opening in the market. During 2023, we have also closed and terminated our lease agreements at two underperforming Consolidated Theatre locations in Hawaii (Koko Marina Center and Queen Kaahumanu Center) and a Reading Cinemas in California (Rohnert Park). One cinema was on a month-to-month arrangement and the other two were at the end of their respective terms. The decision to terminate these three venues was based on our belief that none of these locations could be operated profitably in the current environment on any meaningful rent paying basis at the rents being demanded by their respective landlords.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Overview</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Through our various subsidiaries, we engage in the real estate business through the development, ownership, rental or licensing to third parties of retail, commercial, and live theatre assets. Our real estate business creates long-term value for our stockholders through the continuous improvement and development of our investment and operating properties, including our ETCs. In addition to owning the fee interests in nine of our cinemas (as presented in the table under </w:t>
      </w:r>
      <w:r>
        <w:rPr>
          <w:rFonts w:ascii="Times New Roman" w:cs="Times New Roman" w:eastAsia="Times New Roman" w:hAnsi="Times New Roman"/>
          <w:sz w:val="18"/>
          <w:szCs w:val="18"/>
          <w:i w:val="1"/>
          <w:iCs w:val="1"/>
          <w:color w:val="auto"/>
        </w:rPr>
        <w:t>Cinema Exhibition Overview</w:t>
      </w:r>
      <w:r>
        <w:rPr>
          <w:rFonts w:ascii="Times New Roman" w:cs="Times New Roman" w:eastAsia="Times New Roman" w:hAnsi="Times New Roman"/>
          <w:sz w:val="18"/>
          <w:szCs w:val="18"/>
          <w:color w:val="auto"/>
        </w:rPr>
        <w:t>), as of March 31, 2024, we:</w:t>
      </w:r>
    </w:p>
    <w:p>
      <w:pPr>
        <w:spacing w:after="0" w:line="158" w:lineRule="exact"/>
        <w:rPr>
          <w:sz w:val="20"/>
          <w:szCs w:val="20"/>
          <w:color w:val="auto"/>
        </w:rPr>
      </w:pPr>
    </w:p>
    <w:p>
      <w:pPr>
        <w:ind w:left="660"/>
        <w:spacing w:after="0" w:line="230" w:lineRule="auto"/>
        <w:rPr>
          <w:sz w:val="20"/>
          <w:szCs w:val="20"/>
          <w:color w:val="auto"/>
        </w:rPr>
      </w:pPr>
      <w:r>
        <w:rPr>
          <w:rFonts w:ascii="Times New Roman" w:cs="Times New Roman" w:eastAsia="Times New Roman" w:hAnsi="Times New Roman"/>
          <w:sz w:val="18"/>
          <w:szCs w:val="18"/>
          <w:color w:val="auto"/>
        </w:rPr>
        <w:t>own our 44 Union Square property in Manhattan comprised of retail and office space which is currently in the lease-up phase. The cellar, ground floor, and second floor of the building are now fully leased to Petco, which is in occupancy of its premises on a full rent paying basis.</w:t>
      </w:r>
    </w:p>
    <w:p>
      <w:pPr>
        <w:spacing w:after="0" w:line="1" w:lineRule="exact"/>
        <w:rPr>
          <w:sz w:val="20"/>
          <w:szCs w:val="20"/>
          <w:color w:val="auto"/>
        </w:rPr>
      </w:pPr>
    </w:p>
    <w:p>
      <w:pPr>
        <w:ind w:left="340"/>
        <w:spacing w:after="0" w:line="234" w:lineRule="auto"/>
        <w:rPr>
          <w:sz w:val="20"/>
          <w:szCs w:val="20"/>
          <w:color w:val="auto"/>
        </w:rPr>
      </w:pPr>
      <w:r>
        <w:rPr>
          <w:rFonts w:ascii="Times New Roman" w:cs="Times New Roman" w:eastAsia="Times New Roman" w:hAnsi="Times New Roman"/>
          <w:sz w:val="18"/>
          <w:szCs w:val="18"/>
          <w:color w:val="auto"/>
        </w:rPr>
        <w:t>own and operate three ETCs known as Newmarket Village (in a suburb of Brisbane), The Belmont Common (in a suburb of Perth), and Cannon</w:t>
      </w:r>
    </w:p>
    <w:p>
      <w:pPr>
        <w:ind w:left="660" w:right="340"/>
        <w:spacing w:after="0" w:line="219" w:lineRule="auto"/>
        <w:rPr>
          <w:sz w:val="20"/>
          <w:szCs w:val="20"/>
          <w:color w:val="auto"/>
        </w:rPr>
      </w:pPr>
      <w:r>
        <w:rPr>
          <w:rFonts w:ascii="Times New Roman" w:cs="Times New Roman" w:eastAsia="Times New Roman" w:hAnsi="Times New Roman"/>
          <w:sz w:val="18"/>
          <w:szCs w:val="18"/>
          <w:color w:val="auto"/>
        </w:rPr>
        <w:t>Park (in Townsville) in Australia. We also own Courtenay Central (in Wellington) in New Zealand, which we historically operated as an ETC; owned and operated our administrative office building in Culver City, California, which was sold on February 23, 2024;</w:t>
      </w:r>
    </w:p>
    <w:p>
      <w:pPr>
        <w:ind w:left="340"/>
        <w:spacing w:after="0" w:line="234" w:lineRule="auto"/>
        <w:rPr>
          <w:sz w:val="20"/>
          <w:szCs w:val="20"/>
          <w:color w:val="auto"/>
        </w:rPr>
      </w:pPr>
      <w:r>
        <w:rPr>
          <w:rFonts w:ascii="Times New Roman" w:cs="Times New Roman" w:eastAsia="Times New Roman" w:hAnsi="Times New Roman"/>
          <w:sz w:val="18"/>
          <w:szCs w:val="18"/>
          <w:color w:val="auto"/>
        </w:rPr>
        <w:t>own and operate our administrative office building in South Melbourne, Australia;</w:t>
      </w:r>
    </w:p>
    <w:p>
      <w:pPr>
        <w:ind w:left="660"/>
        <w:spacing w:after="0" w:line="226" w:lineRule="auto"/>
        <w:rPr>
          <w:sz w:val="20"/>
          <w:szCs w:val="20"/>
          <w:color w:val="auto"/>
        </w:rPr>
      </w:pPr>
      <w:r>
        <w:rPr>
          <w:rFonts w:ascii="Times New Roman" w:cs="Times New Roman" w:eastAsia="Times New Roman" w:hAnsi="Times New Roman"/>
          <w:sz w:val="18"/>
          <w:szCs w:val="18"/>
          <w:color w:val="auto"/>
        </w:rPr>
        <w:t>own and operate the fee interests in two developed commercial properties in Manhattan improved with live theatres comprised of a single stage in each location;</w:t>
      </w:r>
    </w:p>
    <w:p>
      <w:pPr>
        <w:spacing w:after="0" w:line="1" w:lineRule="exact"/>
        <w:rPr>
          <w:sz w:val="20"/>
          <w:szCs w:val="20"/>
          <w:color w:val="auto"/>
        </w:rPr>
      </w:pPr>
    </w:p>
    <w:p>
      <w:pPr>
        <w:ind w:left="660"/>
        <w:spacing w:after="0" w:line="219" w:lineRule="auto"/>
        <w:rPr>
          <w:sz w:val="20"/>
          <w:szCs w:val="20"/>
          <w:color w:val="auto"/>
        </w:rPr>
      </w:pPr>
      <w:r>
        <w:rPr>
          <w:rFonts w:ascii="Times New Roman" w:cs="Times New Roman" w:eastAsia="Times New Roman" w:hAnsi="Times New Roman"/>
          <w:sz w:val="18"/>
          <w:szCs w:val="18"/>
          <w:color w:val="auto"/>
        </w:rPr>
        <w:t>own a 75% managing member interest in a limited liability company which in turn owns the fee interest in and improvements constituting our Cinemas 1,2,3 located in Manhattan;</w:t>
      </w:r>
    </w:p>
    <w:p>
      <w:pPr>
        <w:ind w:left="340"/>
        <w:spacing w:after="0" w:line="234" w:lineRule="auto"/>
        <w:rPr>
          <w:sz w:val="20"/>
          <w:szCs w:val="20"/>
          <w:color w:val="auto"/>
        </w:rPr>
      </w:pPr>
      <w:r>
        <w:rPr>
          <w:rFonts w:ascii="Times New Roman" w:cs="Times New Roman" w:eastAsia="Times New Roman" w:hAnsi="Times New Roman"/>
          <w:sz w:val="18"/>
          <w:szCs w:val="18"/>
          <w:color w:val="auto"/>
        </w:rPr>
        <w:t>own an approximately 26.6-acre property in Williamsport, Pennsylvania, which is currently being held for sale; and</w:t>
      </w:r>
    </w:p>
    <w:p>
      <w:pPr>
        <w:ind w:left="660"/>
        <w:spacing w:after="0" w:line="233" w:lineRule="auto"/>
        <w:rPr>
          <w:sz w:val="20"/>
          <w:szCs w:val="20"/>
          <w:color w:val="auto"/>
        </w:rPr>
      </w:pPr>
      <w:r>
        <w:rPr>
          <w:rFonts w:ascii="Times New Roman" w:cs="Times New Roman" w:eastAsia="Times New Roman" w:hAnsi="Times New Roman"/>
          <w:sz w:val="18"/>
          <w:szCs w:val="18"/>
          <w:color w:val="auto"/>
        </w:rPr>
        <w:t>own approximately 201-acres principally in Pennsylvania from our legacy railroad business, including the Reading Viaduct in downtown Philadelphia;</w:t>
      </w:r>
    </w:p>
    <w:p>
      <w:pPr>
        <w:spacing w:after="0" w:line="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For a breakdown of our real estate assets, made current by our discussion below, please refer to </w:t>
      </w:r>
      <w:r>
        <w:rPr>
          <w:rFonts w:ascii="Times New Roman" w:cs="Times New Roman" w:eastAsia="Times New Roman" w:hAnsi="Times New Roman"/>
          <w:sz w:val="18"/>
          <w:szCs w:val="18"/>
          <w:i w:val="1"/>
          <w:iCs w:val="1"/>
          <w:color w:val="auto"/>
        </w:rPr>
        <w:t>Part I, Item 1 – Our Business</w:t>
      </w:r>
      <w:r>
        <w:rPr>
          <w:rFonts w:ascii="Times New Roman" w:cs="Times New Roman" w:eastAsia="Times New Roman" w:hAnsi="Times New Roman"/>
          <w:sz w:val="18"/>
          <w:szCs w:val="18"/>
          <w:color w:val="auto"/>
        </w:rPr>
        <w:t xml:space="preserve"> of our 2023 Form 10-K. We now present a discussion of recent material developments.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Value-creating Opportunities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While the COVID-19 pandemic significantly impacted the global cinema industry and necessitated capital conservation to sustain our cinema operations, resulting in delays in executing many of our Company’s real estate development plans, we are now actively refocusing on advancing these initiatives as we continue to operate in post-pandemic era. Our commitment to the prudent development of our real estate assets remains steadfast, and we are dedicated to leveraging this post-pandemic period to go forward with our strategic real estate endeavors.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8" w:lineRule="exact"/>
        <w:rPr>
          <w:sz w:val="20"/>
          <w:szCs w:val="20"/>
          <w:color w:val="auto"/>
        </w:rPr>
      </w:pPr>
    </w:p>
    <w:p>
      <w:pPr>
        <w:ind w:left="660"/>
        <w:spacing w:after="0" w:line="226" w:lineRule="auto"/>
        <w:rPr>
          <w:sz w:val="20"/>
          <w:szCs w:val="20"/>
          <w:color w:val="auto"/>
        </w:rPr>
      </w:pPr>
      <w:r>
        <w:rPr>
          <w:rFonts w:ascii="Times New Roman" w:cs="Times New Roman" w:eastAsia="Times New Roman" w:hAnsi="Times New Roman"/>
          <w:sz w:val="18"/>
          <w:szCs w:val="18"/>
          <w:i w:val="1"/>
          <w:iCs w:val="1"/>
          <w:u w:val="single" w:color="auto"/>
          <w:color w:val="auto"/>
        </w:rPr>
        <w:t>44 Union Square Redevelopment (New York, 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On January 27, 2022, we finalized a long-term lease agreement with Petco, securing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occupancy of the cellar, ground floor, and second floor of the building, amounting to 42% of the leasable area. Petco commenced full-rent, cash-paying occupancy and officially opened its doors to the public on June 1, 2023. During mid-March 2024, we engaged George Comfort &amp; Sons as our exclusive leasing broker for the remaining space at 44 Union Square. Originally designated for office use, the property's striking presence in Union Square, coupled with the resurgence of foot traffic in the area, and its exceptional branding potential, prompt us to explore a spectrum of uses beyond traditional office tenants. This includes consideration for short-term and special-purpose arrangements. While we cannot guarantee the successful leasing of the remaining space, we are optimistic that George Comfort &amp; Sons, well known for their extensive experience in New York City real estate, will bring a fresh perspective and innovative strategies to activate the remaining space at 44 Union Square.</w:t>
      </w:r>
    </w:p>
    <w:p>
      <w:pPr>
        <w:spacing w:after="0" w:line="79" w:lineRule="exact"/>
        <w:rPr>
          <w:sz w:val="20"/>
          <w:szCs w:val="20"/>
          <w:color w:val="auto"/>
        </w:rPr>
      </w:pPr>
    </w:p>
    <w:p>
      <w:pPr>
        <w:ind w:left="660"/>
        <w:spacing w:after="0" w:line="229" w:lineRule="auto"/>
        <w:rPr>
          <w:sz w:val="20"/>
          <w:szCs w:val="20"/>
          <w:color w:val="auto"/>
        </w:rPr>
      </w:pPr>
      <w:r>
        <w:rPr>
          <w:rFonts w:ascii="Times New Roman" w:cs="Times New Roman" w:eastAsia="Times New Roman" w:hAnsi="Times New Roman"/>
          <w:sz w:val="18"/>
          <w:szCs w:val="18"/>
          <w:i w:val="1"/>
          <w:iCs w:val="1"/>
          <w:u w:val="single" w:color="auto"/>
          <w:color w:val="auto"/>
        </w:rPr>
        <w:t>Minetta Lane Theatre (New York, 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Prior to the pandemic, our theater hosted Audible productions featuring a limited cast and special live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performances streamed on the Audible platform. Public performances resumed on October 8, 2021, after an approximate 1.5-year hiatus, during which we provided certain abatements. Audible has since resumed full operations and extended its license with us through March 15, 2026, with an option to extend for an additional year.</w:t>
      </w:r>
    </w:p>
    <w:p>
      <w:pPr>
        <w:spacing w:after="0" w:line="1"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8"/>
          <w:szCs w:val="18"/>
          <w:i w:val="1"/>
          <w:iCs w:val="1"/>
          <w:u w:val="single" w:color="auto"/>
          <w:color w:val="auto"/>
        </w:rPr>
        <w:t>Orpheum Theatre (New York, N.Y.)</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Before COVID-19, our Orpheum Theatre was home to STOMP. While shows ceased from April 2020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2021 due to the pandemic, performances afterward were intermittent. During this time, we provided certain abatements. STOMP concluded its 30-year run at our theater on January 8, 2023. Under our termination agreement, we retain rights to host any future productions of the show. Following STOMP's departure, new productions like </w:t>
      </w:r>
      <w:r>
        <w:rPr>
          <w:rFonts w:ascii="Times New Roman" w:cs="Times New Roman" w:eastAsia="Times New Roman" w:hAnsi="Times New Roman"/>
          <w:sz w:val="18"/>
          <w:szCs w:val="18"/>
          <w:i w:val="1"/>
          <w:iCs w:val="1"/>
          <w:color w:val="auto"/>
        </w:rPr>
        <w:t>The Empire Strips Back</w:t>
      </w:r>
      <w:r>
        <w:rPr>
          <w:rFonts w:ascii="Times New Roman" w:cs="Times New Roman" w:eastAsia="Times New Roman" w:hAnsi="Times New Roman"/>
          <w:sz w:val="18"/>
          <w:szCs w:val="18"/>
          <w:color w:val="auto"/>
        </w:rPr>
        <w:t xml:space="preserve"> and Comedian Rachel Bloom's </w:t>
      </w:r>
      <w:r>
        <w:rPr>
          <w:rFonts w:ascii="Times New Roman" w:cs="Times New Roman" w:eastAsia="Times New Roman" w:hAnsi="Times New Roman"/>
          <w:sz w:val="18"/>
          <w:szCs w:val="18"/>
          <w:i w:val="1"/>
          <w:iCs w:val="1"/>
          <w:color w:val="auto"/>
        </w:rPr>
        <w:t>Death, Let Me Do My Show</w:t>
      </w:r>
      <w:r>
        <w:rPr>
          <w:rFonts w:ascii="Times New Roman" w:cs="Times New Roman" w:eastAsia="Times New Roman" w:hAnsi="Times New Roman"/>
          <w:sz w:val="18"/>
          <w:szCs w:val="18"/>
          <w:color w:val="auto"/>
        </w:rPr>
        <w:t xml:space="preserve"> brought fresh excitement to audiences during 2023. During Q1 2024, the Orpheum hosted Eddie Izzard’s </w:t>
      </w:r>
      <w:r>
        <w:rPr>
          <w:rFonts w:ascii="Times New Roman" w:cs="Times New Roman" w:eastAsia="Times New Roman" w:hAnsi="Times New Roman"/>
          <w:sz w:val="18"/>
          <w:szCs w:val="18"/>
          <w:i w:val="1"/>
          <w:iCs w:val="1"/>
          <w:color w:val="auto"/>
        </w:rPr>
        <w:t>Hamlet</w:t>
      </w:r>
      <w:r>
        <w:rPr>
          <w:rFonts w:ascii="Times New Roman" w:cs="Times New Roman" w:eastAsia="Times New Roman" w:hAnsi="Times New Roman"/>
          <w:sz w:val="18"/>
          <w:szCs w:val="18"/>
          <w:color w:val="auto"/>
        </w:rPr>
        <w:t xml:space="preserve"> which had a four-week run through April 14, 2024. And, on September 14, 2024 performances of </w:t>
      </w:r>
      <w:r>
        <w:rPr>
          <w:rFonts w:ascii="Times New Roman" w:cs="Times New Roman" w:eastAsia="Times New Roman" w:hAnsi="Times New Roman"/>
          <w:sz w:val="18"/>
          <w:szCs w:val="18"/>
          <w:i w:val="1"/>
          <w:iCs w:val="1"/>
          <w:color w:val="auto"/>
        </w:rPr>
        <w:t>The Big Gay Jamboree</w:t>
      </w:r>
      <w:r>
        <w:rPr>
          <w:rFonts w:ascii="Times New Roman" w:cs="Times New Roman" w:eastAsia="Times New Roman" w:hAnsi="Times New Roman"/>
          <w:sz w:val="18"/>
          <w:szCs w:val="18"/>
          <w:color w:val="auto"/>
        </w:rPr>
        <w:t xml:space="preserve"> begin at the Orpheum. This new show is from LuckyChap, the producing team, which includes Margot Robbie, behind </w:t>
      </w:r>
      <w:r>
        <w:rPr>
          <w:rFonts w:ascii="Times New Roman" w:cs="Times New Roman" w:eastAsia="Times New Roman" w:hAnsi="Times New Roman"/>
          <w:sz w:val="18"/>
          <w:szCs w:val="18"/>
          <w:i w:val="1"/>
          <w:iCs w:val="1"/>
          <w:color w:val="auto"/>
        </w:rPr>
        <w:t>Barbie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Saltburn</w:t>
      </w:r>
      <w:r>
        <w:rPr>
          <w:rFonts w:ascii="Times New Roman" w:cs="Times New Roman" w:eastAsia="Times New Roman" w:hAnsi="Times New Roman"/>
          <w:sz w:val="18"/>
          <w:szCs w:val="18"/>
          <w:color w:val="auto"/>
        </w:rPr>
        <w:t xml:space="preserve"> and multiple-Tony-winning Broadway producing veterans Sue Wagner and John Johnson (</w:t>
      </w:r>
      <w:r>
        <w:rPr>
          <w:rFonts w:ascii="Times New Roman" w:cs="Times New Roman" w:eastAsia="Times New Roman" w:hAnsi="Times New Roman"/>
          <w:sz w:val="18"/>
          <w:szCs w:val="18"/>
          <w:i w:val="1"/>
          <w:iCs w:val="1"/>
          <w:color w:val="auto"/>
        </w:rPr>
        <w:t>Stereophonic, Lempicka</w:t>
      </w:r>
      <w:r>
        <w:rPr>
          <w:rFonts w:ascii="Times New Roman" w:cs="Times New Roman" w:eastAsia="Times New Roman" w:hAnsi="Times New Roman"/>
          <w:sz w:val="18"/>
          <w:szCs w:val="18"/>
          <w:color w:val="auto"/>
        </w:rPr>
        <w:t xml:space="preserve">) from a book by Marla Mindelle, the co-author and original star of the Off Broadway hit musical-comedy </w:t>
      </w:r>
      <w:r>
        <w:rPr>
          <w:rFonts w:ascii="Times New Roman" w:cs="Times New Roman" w:eastAsia="Times New Roman" w:hAnsi="Times New Roman"/>
          <w:sz w:val="18"/>
          <w:szCs w:val="18"/>
          <w:i w:val="1"/>
          <w:iCs w:val="1"/>
          <w:color w:val="auto"/>
        </w:rPr>
        <w:t>Titaníque.</w:t>
      </w:r>
    </w:p>
    <w:p>
      <w:pPr>
        <w:spacing w:after="0" w:line="268"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i w:val="1"/>
          <w:iCs w:val="1"/>
          <w:u w:val="single" w:color="auto"/>
          <w:color w:val="auto"/>
        </w:rPr>
        <w:t>Cinemas 1,2,3 (New York, 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Currently operated as the Cinemas 123 by Angelika, we have historically treated this property as an asset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long term development. However, in light of a variety of factors, such as market conditions in Manhattan for real estate assets, cost of capital and demands on our liquidity, we have begun to explore alternatives for this property. These alternatives may include, again by way of example, the bringing in of a capital partner, the entering into a long-term ground lease (which could serve as the basis for medium to long term finance), and/or the sale (in whole or in part) of our interest in the property.</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1" w:name="page32"/>
    <w:bookmarkEnd w:id="31"/>
    <w:p>
      <w:pPr>
        <w:ind w:left="660"/>
        <w:spacing w:after="0" w:line="228" w:lineRule="auto"/>
        <w:rPr>
          <w:sz w:val="20"/>
          <w:szCs w:val="20"/>
          <w:color w:val="auto"/>
        </w:rPr>
      </w:pPr>
      <w:r>
        <w:rPr>
          <w:rFonts w:ascii="Times New Roman" w:cs="Times New Roman" w:eastAsia="Times New Roman" w:hAnsi="Times New Roman"/>
          <w:sz w:val="18"/>
          <w:szCs w:val="18"/>
          <w:i w:val="1"/>
          <w:iCs w:val="1"/>
          <w:u w:val="single" w:color="auto"/>
          <w:color w:val="auto"/>
        </w:rPr>
        <w:t>The Philadelphia Viaduct and Adjacent Properties (Philadelphia, Pennsylvania)</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This continues to be an area of focus in 2024 as we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efforts to develop and maximize the potential of our real estate holdings in Philadelphia. Since 2023, we have resumed work on this project, particularly concentrating on the Reading Viaduct—an 0.7-mile-long raised rail bed and bridge system spanning the Callowhill and Poplar neighborhoods, extending to Vine Street in the heart of the city's Central Business District, near the proposed new home of the Philadelphia 76ers. Comprising approximately 6.5 acres of land, along with various connecting bridges over public streets and sidewalks, the Reading Viaduct represents a significant contiguous land holding unobstructed by public thoroughfares. While there has been interest from the City of Philadelphia and the City Center District in acquiring the Reading Viaduct for park purposes, no concrete steps have been taken to proceed with condemnation or transfer of the property. We are currently evaluating whether a dedicated public park is the most beneficial use of the space. While a public park and pedestrian corridor, similar to the New York High Line, could be integral to the Viaduct's development, we are also exploring mixed-use options such as residential, retail, and entertainment developments. Recent developments in the area, such as the announcement of a $158 million federal grant for the Chinatown Stitch project in mid-March 2024, further highlight the potential of the Reading Viaduct. This project aims to reconnect the Chinatown community and surrounding neighborhoods by capping the Vine Street Expressway I-676, which directly intersects with the Reading Viaduct at Vine Street. We believe that capping the expressway at our property would significantly enhance the attractiveness and viability of the Reading Viaduct for future development.</w:t>
      </w:r>
    </w:p>
    <w:p>
      <w:pPr>
        <w:spacing w:after="0" w:line="3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90"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18"/>
          <w:szCs w:val="18"/>
          <w:i w:val="1"/>
          <w:iCs w:val="1"/>
          <w:u w:val="single" w:color="auto"/>
          <w:color w:val="auto"/>
        </w:rPr>
        <w:t>Newmarket Village ETC (Brisbane, Australia)</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Through 2024 and 2025 we will continue to operate our Newmarket Village ETC, which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Reading Cinemas as an anchor tenant Our site includes a 23,218 square foot parcel adjacent to the center, improved with an office building. Over the next few years, we will be evaluating different development options for this space. As of the date of this report, the combined center and office building is 99% leased.</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18"/>
          <w:szCs w:val="18"/>
          <w:i w:val="1"/>
          <w:iCs w:val="1"/>
          <w:u w:val="single" w:color="auto"/>
          <w:color w:val="auto"/>
        </w:rPr>
        <w:t>Cannon Park Center ETC, (Queensland,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own two adjoining properties in Townsville, Queensland, Australia, (Cannon Park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and Cannon Park Discount Center) comprising approximately 9.4-acres which we operate as our Cannon Park Center ETC. The total gross leasable area of the two properties is 126,433 square feet. Our multiplex cinema is an anchor tenant. These properties are currently 94% leased.</w:t>
      </w:r>
    </w:p>
    <w:p>
      <w:pPr>
        <w:spacing w:after="0" w:line="373" w:lineRule="exact"/>
        <w:rPr>
          <w:sz w:val="20"/>
          <w:szCs w:val="20"/>
          <w:color w:val="auto"/>
        </w:rPr>
      </w:pPr>
    </w:p>
    <w:p>
      <w:pPr>
        <w:ind w:left="660" w:right="20"/>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The Belmont Common, (Belmont, Perth,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total gross leasable area of the Belmont Common is 60,117 square feet. Our multiplex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cinema is the anchor tenant with six third-party tenants. The site is currently 100% leased.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Zealand:</w:t>
      </w:r>
    </w:p>
    <w:p>
      <w:pPr>
        <w:spacing w:after="0" w:line="18" w:lineRule="exact"/>
        <w:rPr>
          <w:sz w:val="20"/>
          <w:szCs w:val="20"/>
          <w:color w:val="auto"/>
        </w:rPr>
      </w:pPr>
    </w:p>
    <w:p>
      <w:pPr>
        <w:jc w:val="right"/>
        <w:ind w:left="660"/>
        <w:spacing w:after="0" w:line="226" w:lineRule="auto"/>
        <w:rPr>
          <w:sz w:val="20"/>
          <w:szCs w:val="20"/>
          <w:color w:val="auto"/>
        </w:rPr>
      </w:pPr>
      <w:r>
        <w:rPr>
          <w:rFonts w:ascii="Times New Roman" w:cs="Times New Roman" w:eastAsia="Times New Roman" w:hAnsi="Times New Roman"/>
          <w:sz w:val="18"/>
          <w:szCs w:val="18"/>
          <w:i w:val="1"/>
          <w:iCs w:val="1"/>
          <w:u w:val="single" w:color="auto"/>
          <w:color w:val="auto"/>
        </w:rPr>
        <w:t>Courtenay Central Redevelopment (Wellington)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Wellington property is comprised of three parcels representing approximately 161,082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of land in the entertainment core of Wellington.  While our own plans for the redevelopment of our cinema complex at Courtenay</w:t>
      </w:r>
    </w:p>
    <w:p>
      <w:pPr>
        <w:spacing w:after="0" w:line="2" w:lineRule="exact"/>
        <w:rPr>
          <w:sz w:val="20"/>
          <w:szCs w:val="20"/>
          <w:color w:val="auto"/>
        </w:rPr>
      </w:pPr>
    </w:p>
    <w:p>
      <w:pPr>
        <w:jc w:val="both"/>
        <w:ind w:left="660"/>
        <w:spacing w:after="0" w:line="230" w:lineRule="auto"/>
        <w:rPr>
          <w:sz w:val="20"/>
          <w:szCs w:val="20"/>
          <w:color w:val="auto"/>
        </w:rPr>
      </w:pPr>
      <w:r>
        <w:rPr>
          <w:rFonts w:ascii="Times New Roman" w:cs="Times New Roman" w:eastAsia="Times New Roman" w:hAnsi="Times New Roman"/>
          <w:sz w:val="18"/>
          <w:szCs w:val="18"/>
          <w:color w:val="auto"/>
        </w:rPr>
        <w:t>Central have encountered difficulties (see discussion above under the Caption Real Estate Developments) we remain optimistic about the potential for our Wellington assemblage, in light of, among other things, (i) the successful June 3, 2023 opening of Takina Wellington Convention and Exhibition Center (wcec.co.nz), this capital city’s first premium conference and exhibition space, (ii) the loosening of certain height and density restrictions, and (iii) the lack of comparable building sites. We are currently in the process of reassessing our options.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 complete list of our principal properties, see </w:t>
      </w:r>
      <w:r>
        <w:rPr>
          <w:rFonts w:ascii="Times New Roman" w:cs="Times New Roman" w:eastAsia="Times New Roman" w:hAnsi="Times New Roman"/>
          <w:sz w:val="18"/>
          <w:szCs w:val="18"/>
          <w:i w:val="1"/>
          <w:iCs w:val="1"/>
          <w:color w:val="auto"/>
        </w:rPr>
        <w:t>Part I, Item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xml:space="preserve"> under the heading “</w:t>
      </w:r>
      <w:r>
        <w:rPr>
          <w:rFonts w:ascii="Times New Roman" w:cs="Times New Roman" w:eastAsia="Times New Roman" w:hAnsi="Times New Roman"/>
          <w:sz w:val="18"/>
          <w:szCs w:val="18"/>
          <w:i w:val="1"/>
          <w:iCs w:val="1"/>
          <w:color w:val="auto"/>
        </w:rPr>
        <w:t>Investment and Development Property.”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Part I – Financial Information, Item 1 – Notes to Consolidated Financial Statements-- Note 17 – Stock-Based Compensation and Stock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Repurchases </w:t>
      </w:r>
      <w:r>
        <w:rPr>
          <w:rFonts w:ascii="Times New Roman" w:cs="Times New Roman" w:eastAsia="Times New Roman" w:hAnsi="Times New Roman"/>
          <w:sz w:val="18"/>
          <w:szCs w:val="18"/>
          <w:color w:val="auto"/>
        </w:rPr>
        <w:t>for details regarding our stock repurchase program and Board, Executive and Employee stock-based remuneration programs.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color w:val="auto"/>
        </w:rPr>
        <w:t>Please refer to our 2023 Form 10-K for more details on our cinema and real estate segments.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table below summarizes the results of operations for each of our principal business segments along with the non-segment information for the quarter and three months ended March 31, 2024, and March 31, 2023,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ind w:right="268"/>
              <w:spacing w:after="0" w:line="137" w:lineRule="exact"/>
              <w:rPr>
                <w:sz w:val="20"/>
                <w:szCs w:val="20"/>
                <w:color w:val="auto"/>
              </w:rPr>
            </w:pPr>
            <w:r>
              <w:rPr>
                <w:rFonts w:ascii="Times New Roman" w:cs="Times New Roman" w:eastAsia="Times New Roman" w:hAnsi="Times New Roman"/>
                <w:sz w:val="14"/>
                <w:szCs w:val="14"/>
                <w:b w:val="1"/>
                <w:bCs w:val="1"/>
                <w:color w:val="auto"/>
              </w:rPr>
              <w:t>Fav/</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440" w:type="dxa"/>
            <w:vAlign w:val="bottom"/>
            <w:gridSpan w:val="2"/>
            <w:vMerge w:val="continue"/>
          </w:tcPr>
          <w:p>
            <w:pPr>
              <w:spacing w:after="0"/>
              <w:rPr>
                <w:sz w:val="15"/>
                <w:szCs w:val="15"/>
                <w:color w:val="auto"/>
              </w:rPr>
            </w:pP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(Unfav)‎</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RESULTS</w:t>
            </w: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Cinema exhibition</w:t>
            </w:r>
          </w:p>
        </w:tc>
        <w:tc>
          <w:tcPr>
            <w:tcW w:w="1220" w:type="dxa"/>
            <w:vAlign w:val="bottom"/>
            <w:shd w:val="clear" w:color="auto" w:fill="CCEEFF"/>
          </w:tcPr>
          <w:p>
            <w:pPr>
              <w:jc w:val="right"/>
              <w:ind w:right="109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41,271</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41,987</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4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Real estate</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12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Inter-segment elimination</w:t>
            </w:r>
          </w:p>
        </w:tc>
        <w:tc>
          <w:tcPr>
            <w:tcW w:w="1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(1,152)</w:t>
            </w:r>
          </w:p>
        </w:tc>
        <w:tc>
          <w:tcPr>
            <w:tcW w:w="13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(1,245)</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4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5440" w:type="dxa"/>
            <w:vAlign w:val="bottom"/>
            <w:gridSpan w:val="2"/>
          </w:tcPr>
          <w:p>
            <w:pPr>
              <w:ind w:left="560"/>
              <w:spacing w:after="0" w:line="155" w:lineRule="exact"/>
              <w:rPr>
                <w:sz w:val="20"/>
                <w:szCs w:val="20"/>
                <w:color w:val="auto"/>
              </w:rPr>
            </w:pPr>
            <w:r>
              <w:rPr>
                <w:rFonts w:ascii="Times New Roman" w:cs="Times New Roman" w:eastAsia="Times New Roman" w:hAnsi="Times New Roman"/>
                <w:sz w:val="14"/>
                <w:szCs w:val="14"/>
                <w:color w:val="auto"/>
              </w:rPr>
              <w:t>Total revenue</w:t>
            </w:r>
          </w:p>
        </w:tc>
        <w:tc>
          <w:tcPr>
            <w:tcW w:w="1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45,052</w:t>
            </w:r>
          </w:p>
        </w:tc>
        <w:tc>
          <w:tcPr>
            <w:tcW w:w="12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45,807</w:t>
            </w:r>
          </w:p>
        </w:tc>
        <w:tc>
          <w:tcPr>
            <w:tcW w:w="120" w:type="dxa"/>
            <w:vAlign w:val="bottom"/>
          </w:tcPr>
          <w:p>
            <w:pPr>
              <w:spacing w:after="0"/>
              <w:rPr>
                <w:sz w:val="13"/>
                <w:szCs w:val="13"/>
                <w:color w:val="auto"/>
              </w:rPr>
            </w:pPr>
          </w:p>
        </w:tc>
        <w:tc>
          <w:tcPr>
            <w:tcW w:w="144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(2)</w:t>
            </w:r>
          </w:p>
        </w:tc>
        <w:tc>
          <w:tcPr>
            <w:tcW w:w="460" w:type="dxa"/>
            <w:vAlign w:val="bottom"/>
            <w:tcBorders>
              <w:top w:val="single" w:sz="8" w:color="auto"/>
            </w:tcBorders>
          </w:tcPr>
          <w:p>
            <w:pPr>
              <w:jc w:val="center"/>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Operating expense</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Cinema exhibition</w:t>
            </w:r>
          </w:p>
        </w:tc>
        <w:tc>
          <w:tcPr>
            <w:tcW w:w="12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(41,872)</w:t>
            </w:r>
          </w:p>
        </w:tc>
        <w:tc>
          <w:tcPr>
            <w:tcW w:w="13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(42,899)</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4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Real estate</w:t>
            </w:r>
          </w:p>
        </w:tc>
        <w:tc>
          <w:tcPr>
            <w:tcW w:w="1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(2,235)</w:t>
            </w:r>
          </w:p>
        </w:tc>
        <w:tc>
          <w:tcPr>
            <w:tcW w:w="13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(2,215)</w:t>
            </w: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4"/>
                <w:szCs w:val="14"/>
                <w:color w:val="auto"/>
              </w:rPr>
              <w:t>Inter-segment elimination</w:t>
            </w:r>
          </w:p>
        </w:tc>
        <w:tc>
          <w:tcPr>
            <w:tcW w:w="1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4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440" w:type="dxa"/>
            <w:vAlign w:val="bottom"/>
            <w:gridSpan w:val="2"/>
            <w:shd w:val="clear" w:color="auto" w:fill="CCEEFF"/>
          </w:tcPr>
          <w:p>
            <w:pPr>
              <w:ind w:left="560"/>
              <w:spacing w:after="0" w:line="155" w:lineRule="exact"/>
              <w:rPr>
                <w:sz w:val="20"/>
                <w:szCs w:val="20"/>
                <w:color w:val="auto"/>
              </w:rPr>
            </w:pPr>
            <w:r>
              <w:rPr>
                <w:rFonts w:ascii="Times New Roman" w:cs="Times New Roman" w:eastAsia="Times New Roman" w:hAnsi="Times New Roman"/>
                <w:sz w:val="14"/>
                <w:szCs w:val="14"/>
                <w:color w:val="auto"/>
              </w:rPr>
              <w:t>Total operating expense</w:t>
            </w:r>
          </w:p>
        </w:tc>
        <w:tc>
          <w:tcPr>
            <w:tcW w:w="1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(42,955)</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(43,869)</w:t>
            </w: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w:t>
            </w:r>
          </w:p>
        </w:tc>
        <w:tc>
          <w:tcPr>
            <w:tcW w:w="460" w:type="dxa"/>
            <w:vAlign w:val="bottom"/>
            <w:shd w:val="clear" w:color="auto" w:fill="CCEEFF"/>
          </w:tcPr>
          <w:p>
            <w:pPr>
              <w:jc w:val="center"/>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Cinema exhibition</w:t>
            </w:r>
          </w:p>
        </w:tc>
        <w:tc>
          <w:tcPr>
            <w:tcW w:w="1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(2,587)</w:t>
            </w:r>
          </w:p>
        </w:tc>
        <w:tc>
          <w:tcPr>
            <w:tcW w:w="13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(2,873)</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4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Real estate</w:t>
            </w:r>
          </w:p>
        </w:tc>
        <w:tc>
          <w:tcPr>
            <w:tcW w:w="12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(1,517)</w:t>
            </w:r>
          </w:p>
        </w:tc>
        <w:tc>
          <w:tcPr>
            <w:tcW w:w="13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(1,587)</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4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5440" w:type="dxa"/>
            <w:vAlign w:val="bottom"/>
            <w:tcBorders>
              <w:top w:val="single" w:sz="8" w:color="CCEEFF"/>
            </w:tcBorders>
            <w:gridSpan w:val="2"/>
            <w:shd w:val="clear" w:color="auto" w:fill="CCEEFF"/>
          </w:tcPr>
          <w:p>
            <w:pPr>
              <w:ind w:left="560"/>
              <w:spacing w:after="0" w:line="155"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12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(4,104)</w:t>
            </w:r>
          </w:p>
        </w:tc>
        <w:tc>
          <w:tcPr>
            <w:tcW w:w="12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(4,460)</w:t>
            </w:r>
          </w:p>
        </w:tc>
        <w:tc>
          <w:tcPr>
            <w:tcW w:w="12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8</w:t>
            </w:r>
          </w:p>
        </w:tc>
        <w:tc>
          <w:tcPr>
            <w:tcW w:w="460" w:type="dxa"/>
            <w:vAlign w:val="bottom"/>
            <w:tcBorders>
              <w:top w:val="single" w:sz="8" w:color="auto"/>
            </w:tcBorders>
            <w:shd w:val="clear" w:color="auto" w:fill="CCEEFF"/>
          </w:tcPr>
          <w:p>
            <w:pPr>
              <w:jc w:val="center"/>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General and administrative expense</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Cinema exhibition</w:t>
            </w:r>
          </w:p>
        </w:tc>
        <w:tc>
          <w:tcPr>
            <w:tcW w:w="1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(977)</w:t>
            </w:r>
          </w:p>
        </w:tc>
        <w:tc>
          <w:tcPr>
            <w:tcW w:w="13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(827)</w:t>
            </w: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4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Real estate</w:t>
            </w:r>
          </w:p>
        </w:tc>
        <w:tc>
          <w:tcPr>
            <w:tcW w:w="12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(291)</w:t>
            </w:r>
          </w:p>
        </w:tc>
        <w:tc>
          <w:tcPr>
            <w:tcW w:w="13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(257)</w:t>
            </w: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4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440" w:type="dxa"/>
            <w:vAlign w:val="bottom"/>
            <w:tcBorders>
              <w:top w:val="single" w:sz="8" w:color="CCEEFF"/>
            </w:tcBorders>
            <w:gridSpan w:val="2"/>
            <w:shd w:val="clear" w:color="auto" w:fill="CCEEFF"/>
          </w:tcPr>
          <w:p>
            <w:pPr>
              <w:ind w:left="560"/>
              <w:spacing w:after="0" w:line="155" w:lineRule="exact"/>
              <w:rPr>
                <w:sz w:val="20"/>
                <w:szCs w:val="20"/>
                <w:color w:val="auto"/>
              </w:rPr>
            </w:pPr>
            <w:r>
              <w:rPr>
                <w:rFonts w:ascii="Times New Roman" w:cs="Times New Roman" w:eastAsia="Times New Roman" w:hAnsi="Times New Roman"/>
                <w:sz w:val="14"/>
                <w:szCs w:val="14"/>
                <w:color w:val="auto"/>
              </w:rPr>
              <w:t>Total general and administrative expense</w:t>
            </w:r>
          </w:p>
        </w:tc>
        <w:tc>
          <w:tcPr>
            <w:tcW w:w="122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(1,268)</w:t>
            </w:r>
          </w:p>
        </w:tc>
        <w:tc>
          <w:tcPr>
            <w:tcW w:w="12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(1,084)</w:t>
            </w:r>
          </w:p>
        </w:tc>
        <w:tc>
          <w:tcPr>
            <w:tcW w:w="12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460" w:type="dxa"/>
            <w:vAlign w:val="bottom"/>
            <w:tcBorders>
              <w:top w:val="single" w:sz="8" w:color="auto"/>
              <w:bottom w:val="single" w:sz="8" w:color="auto"/>
            </w:tcBorders>
            <w:shd w:val="clear" w:color="auto" w:fill="CCEEFF"/>
          </w:tcPr>
          <w:p>
            <w:pPr>
              <w:jc w:val="center"/>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440" w:type="dxa"/>
            <w:vAlign w:val="bottom"/>
            <w:gridSpan w:val="2"/>
          </w:tcPr>
          <w:p>
            <w:pPr>
              <w:ind w:left="460"/>
              <w:spacing w:after="0" w:line="155" w:lineRule="exact"/>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Cinema exhibition</w:t>
            </w:r>
          </w:p>
        </w:tc>
        <w:tc>
          <w:tcPr>
            <w:tcW w:w="1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(4,165)</w:t>
            </w:r>
          </w:p>
        </w:tc>
        <w:tc>
          <w:tcPr>
            <w:tcW w:w="13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(4,612)</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4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4"/>
                <w:szCs w:val="14"/>
                <w:color w:val="auto"/>
              </w:rPr>
              <w:t>Real estate</w:t>
            </w:r>
          </w:p>
        </w:tc>
        <w:tc>
          <w:tcPr>
            <w:tcW w:w="1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4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440" w:type="dxa"/>
            <w:vAlign w:val="bottom"/>
            <w:gridSpan w:val="2"/>
            <w:shd w:val="clear" w:color="auto" w:fill="CCEEFF"/>
          </w:tcPr>
          <w:p>
            <w:pPr>
              <w:ind w:left="460"/>
              <w:spacing w:after="0" w:line="155" w:lineRule="exact"/>
              <w:rPr>
                <w:sz w:val="20"/>
                <w:szCs w:val="20"/>
                <w:color w:val="auto"/>
              </w:rPr>
            </w:pPr>
            <w:r>
              <w:rPr>
                <w:rFonts w:ascii="Times New Roman" w:cs="Times New Roman" w:eastAsia="Times New Roman" w:hAnsi="Times New Roman"/>
                <w:sz w:val="14"/>
                <w:szCs w:val="14"/>
                <w:b w:val="1"/>
                <w:bCs w:val="1"/>
                <w:color w:val="auto"/>
              </w:rPr>
              <w:t>Total segment operating income (loss)</w:t>
            </w:r>
          </w:p>
        </w:tc>
        <w:tc>
          <w:tcPr>
            <w:tcW w:w="1220" w:type="dxa"/>
            <w:vAlign w:val="bottom"/>
            <w:tcBorders>
              <w:bottom w:val="single" w:sz="8" w:color="auto"/>
            </w:tcBorders>
            <w:shd w:val="clear" w:color="auto" w:fill="CCEEFF"/>
          </w:tcPr>
          <w:p>
            <w:pPr>
              <w:jc w:val="right"/>
              <w:ind w:right="109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(3,275)</w:t>
            </w:r>
          </w:p>
        </w:tc>
        <w:tc>
          <w:tcPr>
            <w:tcW w:w="120" w:type="dxa"/>
            <w:vAlign w:val="bottom"/>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1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(3,606)</w:t>
            </w:r>
          </w:p>
        </w:tc>
        <w:tc>
          <w:tcPr>
            <w:tcW w:w="12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9</w:t>
            </w:r>
          </w:p>
        </w:tc>
        <w:tc>
          <w:tcPr>
            <w:tcW w:w="460" w:type="dxa"/>
            <w:vAlign w:val="bottom"/>
            <w:tcBorders>
              <w:bottom w:val="single" w:sz="8" w:color="auto"/>
            </w:tcBorders>
            <w:shd w:val="clear" w:color="auto" w:fill="CCEEFF"/>
          </w:tcPr>
          <w:p>
            <w:pPr>
              <w:jc w:val="center"/>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4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NON-SEGMENT RESULTS</w:t>
            </w: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1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w:t>
            </w:r>
          </w:p>
        </w:tc>
        <w:tc>
          <w:tcPr>
            <w:tcW w:w="13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(179)</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4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2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(4,154)</w:t>
            </w:r>
          </w:p>
        </w:tc>
        <w:tc>
          <w:tcPr>
            <w:tcW w:w="13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(4,095)</w:t>
            </w: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Interest expense, net</w:t>
            </w:r>
          </w:p>
        </w:tc>
        <w:tc>
          <w:tcPr>
            <w:tcW w:w="1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(5,286)</w:t>
            </w:r>
          </w:p>
        </w:tc>
        <w:tc>
          <w:tcPr>
            <w:tcW w:w="13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(4,117)</w:t>
            </w: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4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Equity earnings of unconsolidated joint ventures</w:t>
            </w:r>
          </w:p>
        </w:tc>
        <w:tc>
          <w:tcPr>
            <w:tcW w:w="12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w:t>
            </w:r>
          </w:p>
        </w:tc>
        <w:tc>
          <w:tcPr>
            <w:tcW w:w="1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(&gt;100)</w:t>
            </w:r>
          </w:p>
        </w:tc>
        <w:tc>
          <w:tcPr>
            <w:tcW w:w="4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1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(1,125)</w:t>
            </w:r>
          </w:p>
        </w:tc>
        <w:tc>
          <w:tcPr>
            <w:tcW w:w="13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Other income (expense)</w:t>
            </w:r>
          </w:p>
        </w:tc>
        <w:tc>
          <w:tcPr>
            <w:tcW w:w="12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341</w:t>
            </w:r>
          </w:p>
        </w:tc>
        <w:tc>
          <w:tcPr>
            <w:tcW w:w="1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4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5440" w:type="dxa"/>
            <w:vAlign w:val="bottom"/>
            <w:tcBorders>
              <w:top w:val="single" w:sz="8" w:color="CCEEFF"/>
            </w:tcBorders>
            <w:gridSpan w:val="2"/>
            <w:shd w:val="clear" w:color="auto" w:fill="CCEEFF"/>
          </w:tcPr>
          <w:p>
            <w:pPr>
              <w:ind w:left="460"/>
              <w:spacing w:after="0" w:line="155" w:lineRule="exact"/>
              <w:rPr>
                <w:sz w:val="20"/>
                <w:szCs w:val="20"/>
                <w:color w:val="auto"/>
              </w:rPr>
            </w:pPr>
            <w:r>
              <w:rPr>
                <w:rFonts w:ascii="Times New Roman" w:cs="Times New Roman" w:eastAsia="Times New Roman" w:hAnsi="Times New Roman"/>
                <w:sz w:val="14"/>
                <w:szCs w:val="14"/>
                <w:color w:val="auto"/>
              </w:rPr>
              <w:t>Income before income taxes</w:t>
            </w:r>
          </w:p>
        </w:tc>
        <w:tc>
          <w:tcPr>
            <w:tcW w:w="12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(13,626)</w:t>
            </w:r>
          </w:p>
        </w:tc>
        <w:tc>
          <w:tcPr>
            <w:tcW w:w="12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(11,804)</w:t>
            </w:r>
          </w:p>
        </w:tc>
        <w:tc>
          <w:tcPr>
            <w:tcW w:w="12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460" w:type="dxa"/>
            <w:vAlign w:val="bottom"/>
            <w:tcBorders>
              <w:top w:val="single" w:sz="8" w:color="auto"/>
            </w:tcBorders>
            <w:shd w:val="clear" w:color="auto" w:fill="CCEEFF"/>
          </w:tcPr>
          <w:p>
            <w:pPr>
              <w:jc w:val="center"/>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4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544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(13,403)</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(11,324)</w:t>
            </w: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460" w:type="dxa"/>
            <w:vAlign w:val="bottom"/>
            <w:shd w:val="clear" w:color="auto" w:fill="CCEEFF"/>
          </w:tcPr>
          <w:p>
            <w:pPr>
              <w:jc w:val="center"/>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4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12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(175)</w:t>
            </w:r>
          </w:p>
        </w:tc>
        <w:tc>
          <w:tcPr>
            <w:tcW w:w="13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(213)</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4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44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 attributable to Reading International, Inc.</w:t>
            </w:r>
          </w:p>
        </w:tc>
        <w:tc>
          <w:tcPr>
            <w:tcW w:w="1220" w:type="dxa"/>
            <w:vAlign w:val="bottom"/>
            <w:tcBorders>
              <w:top w:val="single" w:sz="8" w:color="auto"/>
              <w:bottom w:val="single" w:sz="8" w:color="auto"/>
            </w:tcBorders>
            <w:shd w:val="clear" w:color="auto" w:fill="CCEEFF"/>
          </w:tcPr>
          <w:p>
            <w:pPr>
              <w:jc w:val="right"/>
              <w:ind w:right="109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(13,228)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ind w:right="11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(11,111)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(19)</w:t>
            </w:r>
          </w:p>
        </w:tc>
        <w:tc>
          <w:tcPr>
            <w:tcW w:w="460" w:type="dxa"/>
            <w:vAlign w:val="bottom"/>
            <w:tcBorders>
              <w:top w:val="single" w:sz="8" w:color="auto"/>
              <w:bottom w:val="single" w:sz="8" w:color="auto"/>
            </w:tcBorders>
            <w:shd w:val="clear" w:color="auto" w:fill="CCEEFF"/>
          </w:tcPr>
          <w:p>
            <w:pPr>
              <w:jc w:val="center"/>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56"/>
        </w:trPr>
        <w:tc>
          <w:tcPr>
            <w:tcW w:w="5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Basic earnings (loss) per share</w:t>
            </w:r>
          </w:p>
        </w:tc>
        <w:tc>
          <w:tcPr>
            <w:tcW w:w="1220" w:type="dxa"/>
            <w:vAlign w:val="bottom"/>
            <w:tcBorders>
              <w:bottom w:val="single" w:sz="8" w:color="auto"/>
            </w:tcBorders>
          </w:tcPr>
          <w:p>
            <w:pPr>
              <w:jc w:val="right"/>
              <w:ind w:right="109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(0.59)</w:t>
            </w:r>
          </w:p>
        </w:tc>
        <w:tc>
          <w:tcPr>
            <w:tcW w:w="120" w:type="dxa"/>
            <w:vAlign w:val="bottom"/>
          </w:tcPr>
          <w:p>
            <w:pPr>
              <w:spacing w:after="0"/>
              <w:rPr>
                <w:sz w:val="13"/>
                <w:szCs w:val="13"/>
                <w:color w:val="auto"/>
              </w:rPr>
            </w:pPr>
          </w:p>
        </w:tc>
        <w:tc>
          <w:tcPr>
            <w:tcW w:w="1300" w:type="dxa"/>
            <w:vAlign w:val="bottom"/>
            <w:tcBorders>
              <w:bottom w:val="single" w:sz="8" w:color="auto"/>
            </w:tcBorders>
          </w:tcPr>
          <w:p>
            <w:pPr>
              <w:jc w:val="right"/>
              <w:ind w:right="114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(0.50)</w:t>
            </w:r>
          </w:p>
        </w:tc>
        <w:tc>
          <w:tcPr>
            <w:tcW w:w="120" w:type="dxa"/>
            <w:vAlign w:val="bottom"/>
          </w:tcPr>
          <w:p>
            <w:pPr>
              <w:spacing w:after="0"/>
              <w:rPr>
                <w:sz w:val="13"/>
                <w:szCs w:val="13"/>
                <w:color w:val="auto"/>
              </w:rPr>
            </w:pPr>
          </w:p>
        </w:tc>
        <w:tc>
          <w:tcPr>
            <w:tcW w:w="14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(18)</w:t>
            </w:r>
          </w:p>
        </w:tc>
        <w:tc>
          <w:tcPr>
            <w:tcW w:w="460" w:type="dxa"/>
            <w:vAlign w:val="bottom"/>
            <w:tcBorders>
              <w:bottom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and Non-Segment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First Quarter Net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quarter ended March 31, 2024, decreased by $0.8 million, to $45.1 million, compared to the same period in the prior year, primarily due to</w:t>
      </w:r>
    </w:p>
    <w:p>
      <w:pPr>
        <w:spacing w:after="0" w:line="2" w:lineRule="exact"/>
        <w:rPr>
          <w:sz w:val="20"/>
          <w:szCs w:val="20"/>
          <w:color w:val="auto"/>
        </w:rPr>
      </w:pPr>
    </w:p>
    <w:p>
      <w:pPr>
        <w:jc w:val="both"/>
        <w:ind w:firstLine="53"/>
        <w:spacing w:after="0" w:line="234" w:lineRule="auto"/>
        <w:tabs>
          <w:tab w:leader="none" w:pos="2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slight weakening in cinema operations, as a result of lower US food and beverage revenues, lower US advertising and other revenue, and lowered NZ admissions compounded with a lower Average Ticket Price, (ii) decreased US property rent revenue, in part due to loss of third party rent revenue from our Culver City Office building, which was sold in February 2024, and (iii) a softening of the AU/NZ foreign exchange rates.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Operating Income/(Loss)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total segment operating loss for the quarter ended March 31, 2024, improved by $0.3 million, from a loss of $3.6 million to a loss of $3.3 million, primarily due to improved operating income from our U.S. cinema circuit as a result of lower operating expenses, partially offset by increases in general and administrative expenses, along with a decrease in property operating gain primarily due to the loss of third party rental revenue from our Culver City Office building which was sold in February 2024.</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the first quarter of 2024, both the Australia and New Zealand dollars devalued against the U.S. dollar. The average Australia dollar exchange rate against the U.S. dollar for the first quarter of 2024 decreased 3.9% compared to the same period in 2023. The average New Zealand dollar exchange rate against the U.S. dollar for the first quarter of 2024 decreased 2.8% compared to the same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4" w:right="339" w:bottom="1440" w:gutter="0" w:footer="0" w:header="0"/>
        </w:sectPr>
      </w:pPr>
    </w:p>
    <w:bookmarkStart w:id="33" w:name="page34"/>
    <w:bookmarkEnd w:id="33"/>
    <w:p>
      <w:pPr>
        <w:jc w:val="both"/>
        <w:spacing w:after="0" w:line="251" w:lineRule="auto"/>
        <w:rPr>
          <w:sz w:val="20"/>
          <w:szCs w:val="20"/>
          <w:color w:val="auto"/>
        </w:rPr>
      </w:pPr>
      <w:r>
        <w:rPr>
          <w:rFonts w:ascii="Times New Roman" w:cs="Times New Roman" w:eastAsia="Times New Roman" w:hAnsi="Times New Roman"/>
          <w:sz w:val="18"/>
          <w:szCs w:val="18"/>
          <w:color w:val="auto"/>
        </w:rPr>
        <w:t>period in 2023. The devaluation of the Australia and New Zealand currencies negatively impacts segment operating income and positively impacts segment operating loss in U.S. dollar terms.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Income/(Loss)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net loss attributable to Reading International, Inc. for the quarter ended March 31, 2024, increased by $2.1 million, from a loss of $11.1 million to a loss of $13.2 million, when compared to the same period in the prior year, primarily due to increased interest expense and a loss on the sale of our Culver City office building.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 for the quarter ended March 31, 2024, decreased by $0.3 million compared to the equivalent prior-year period. The change between 2024 and 2023 is primarily related to an increase in reserve for unrecognized tax benefits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Business Segment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Cinema Exhibition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our cinema exhibition segment operating results for the quarter ended March 31, 2024, and March 31, 2023,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74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4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gridSpan w:val="2"/>
          </w:tcPr>
          <w:p>
            <w:pPr>
              <w:jc w:val="right"/>
              <w:ind w:right="400"/>
              <w:spacing w:after="0" w:line="92"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i w:val="1"/>
                <w:iCs w:val="1"/>
                <w:color w:val="auto"/>
              </w:rPr>
              <w:t>% of Revenue</w:t>
            </w:r>
          </w:p>
        </w:tc>
        <w:tc>
          <w:tcPr>
            <w:tcW w:w="200" w:type="dxa"/>
            <w:vAlign w:val="bottom"/>
          </w:tcPr>
          <w:p>
            <w:pPr>
              <w:spacing w:after="0"/>
              <w:rPr>
                <w:sz w:val="8"/>
                <w:szCs w:val="8"/>
                <w:color w:val="auto"/>
              </w:rPr>
            </w:pPr>
          </w:p>
        </w:tc>
        <w:tc>
          <w:tcPr>
            <w:tcW w:w="1000" w:type="dxa"/>
            <w:vAlign w:val="bottom"/>
            <w:gridSpan w:val="2"/>
          </w:tcPr>
          <w:p>
            <w:pPr>
              <w:jc w:val="right"/>
              <w:ind w:right="380"/>
              <w:spacing w:after="0" w:line="92"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i w:val="1"/>
                <w:iCs w:val="1"/>
                <w:color w:val="auto"/>
              </w:rPr>
              <w:t>% of Revenue</w:t>
            </w:r>
          </w:p>
        </w:tc>
        <w:tc>
          <w:tcPr>
            <w:tcW w:w="1220" w:type="dxa"/>
            <w:vAlign w:val="bottom"/>
            <w:vMerge w:val="restart"/>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0" w:type="dxa"/>
            <w:vAlign w:val="bottom"/>
          </w:tcPr>
          <w:p>
            <w:pPr>
              <w:spacing w:after="0"/>
              <w:rPr>
                <w:sz w:val="1"/>
                <w:szCs w:val="1"/>
                <w:color w:val="auto"/>
              </w:rPr>
            </w:pPr>
          </w:p>
        </w:tc>
      </w:tr>
      <w:tr>
        <w:trPr>
          <w:trHeight w:val="144"/>
        </w:trPr>
        <w:tc>
          <w:tcPr>
            <w:tcW w:w="1740" w:type="dxa"/>
            <w:vAlign w:val="bottom"/>
            <w:vMerge w:val="continue"/>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4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42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Admissions revenue</w:t>
            </w: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12,245</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30%</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12,044</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29%</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Food &amp; beverage revenue</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6,960</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17%</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7,448</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18%</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Advertising and other revenue</w:t>
            </w:r>
          </w:p>
        </w:tc>
        <w:tc>
          <w:tcPr>
            <w:tcW w:w="22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2,103</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20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2,319</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6%</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28"/>
        </w:trPr>
        <w:tc>
          <w:tcPr>
            <w:tcW w:w="1740" w:type="dxa"/>
            <w:vAlign w:val="bottom"/>
            <w:tcBorders>
              <w:top w:val="single" w:sz="8" w:color="CCEEFF"/>
            </w:tcBorders>
            <w:shd w:val="clear" w:color="auto" w:fill="CCEEFF"/>
          </w:tcPr>
          <w:p>
            <w:pPr>
              <w:spacing w:after="0"/>
              <w:rPr>
                <w:sz w:val="11"/>
                <w:szCs w:val="11"/>
                <w:color w:val="auto"/>
              </w:rPr>
            </w:pPr>
          </w:p>
        </w:tc>
        <w:tc>
          <w:tcPr>
            <w:tcW w:w="4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21,308</w:t>
            </w: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52%</w:t>
            </w: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21,811</w:t>
            </w:r>
          </w:p>
        </w:tc>
        <w:tc>
          <w:tcPr>
            <w:tcW w:w="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52%</w:t>
            </w: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135"/>
        </w:trPr>
        <w:tc>
          <w:tcPr>
            <w:tcW w:w="17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Admissions revenue</w:t>
            </w: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10,261</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25%</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10,371</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25%</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Food &amp; beverage revenue</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5,765</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14%</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5,634</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13%</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Advertising and other revenue</w:t>
            </w:r>
          </w:p>
        </w:tc>
        <w:tc>
          <w:tcPr>
            <w:tcW w:w="22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1,296</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20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1,207</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3%</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8"/>
        </w:trPr>
        <w:tc>
          <w:tcPr>
            <w:tcW w:w="1740" w:type="dxa"/>
            <w:vAlign w:val="bottom"/>
            <w:tcBorders>
              <w:top w:val="single" w:sz="8" w:color="CCEEFF"/>
            </w:tcBorders>
            <w:shd w:val="clear" w:color="auto" w:fill="CCEEFF"/>
          </w:tcPr>
          <w:p>
            <w:pPr>
              <w:spacing w:after="0"/>
              <w:rPr>
                <w:sz w:val="11"/>
                <w:szCs w:val="11"/>
                <w:color w:val="auto"/>
              </w:rPr>
            </w:pPr>
          </w:p>
        </w:tc>
        <w:tc>
          <w:tcPr>
            <w:tcW w:w="4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17,322</w:t>
            </w: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42%</w:t>
            </w: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17,212</w:t>
            </w:r>
          </w:p>
        </w:tc>
        <w:tc>
          <w:tcPr>
            <w:tcW w:w="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41%</w:t>
            </w: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35"/>
        </w:trPr>
        <w:tc>
          <w:tcPr>
            <w:tcW w:w="17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Admissions revenue</w:t>
            </w: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1,600</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4%</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1,805</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4%</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Food &amp; beverage revenue</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909</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991</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Advertising and other revenue</w:t>
            </w:r>
          </w:p>
        </w:tc>
        <w:tc>
          <w:tcPr>
            <w:tcW w:w="22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20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168</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0%</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28"/>
        </w:trPr>
        <w:tc>
          <w:tcPr>
            <w:tcW w:w="1740" w:type="dxa"/>
            <w:vAlign w:val="bottom"/>
            <w:tcBorders>
              <w:top w:val="single" w:sz="8" w:color="CCEEFF"/>
            </w:tcBorders>
            <w:shd w:val="clear" w:color="auto" w:fill="CCEEFF"/>
          </w:tcPr>
          <w:p>
            <w:pPr>
              <w:spacing w:after="0"/>
              <w:rPr>
                <w:sz w:val="11"/>
                <w:szCs w:val="11"/>
                <w:color w:val="auto"/>
              </w:rPr>
            </w:pPr>
          </w:p>
        </w:tc>
        <w:tc>
          <w:tcPr>
            <w:tcW w:w="4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2,641</w:t>
            </w: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6%</w:t>
            </w: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2,964</w:t>
            </w:r>
          </w:p>
        </w:tc>
        <w:tc>
          <w:tcPr>
            <w:tcW w:w="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(11)%</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74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Total revenue</w:t>
            </w:r>
          </w:p>
        </w:tc>
        <w:tc>
          <w:tcPr>
            <w:tcW w:w="4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41,271</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41,987</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100%</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122"/>
        </w:trPr>
        <w:tc>
          <w:tcPr>
            <w:tcW w:w="1740" w:type="dxa"/>
            <w:vAlign w:val="bottom"/>
            <w:tcBorders>
              <w:top w:val="single" w:sz="8" w:color="CCEEFF"/>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OPERATING EXPENSE</w:t>
            </w:r>
          </w:p>
        </w:tc>
        <w:tc>
          <w:tcPr>
            <w:tcW w:w="42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Film rent and advertising cost</w:t>
            </w: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(6,139)</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15%</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(6,238)</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15%</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Food &amp; beverage cost</w:t>
            </w:r>
          </w:p>
        </w:tc>
        <w:tc>
          <w:tcPr>
            <w:tcW w:w="22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(1,906)</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20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(1,981)</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5%</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Occupancy expense</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(5,787)</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14%</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(6,113)</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15%</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operating expense</w:t>
            </w:r>
          </w:p>
        </w:tc>
        <w:tc>
          <w:tcPr>
            <w:tcW w:w="22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(9,008)</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22%</w:t>
            </w:r>
          </w:p>
        </w:tc>
        <w:tc>
          <w:tcPr>
            <w:tcW w:w="20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(9,899)</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24%</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29"/>
        </w:trPr>
        <w:tc>
          <w:tcPr>
            <w:tcW w:w="1740" w:type="dxa"/>
            <w:vAlign w:val="bottom"/>
            <w:tcBorders>
              <w:top w:val="single" w:sz="8" w:color="CCEEFF"/>
            </w:tcBorders>
            <w:shd w:val="clear" w:color="auto" w:fill="CCEEFF"/>
          </w:tcPr>
          <w:p>
            <w:pPr>
              <w:spacing w:after="0"/>
              <w:rPr>
                <w:sz w:val="11"/>
                <w:szCs w:val="11"/>
                <w:color w:val="auto"/>
              </w:rPr>
            </w:pPr>
          </w:p>
        </w:tc>
        <w:tc>
          <w:tcPr>
            <w:tcW w:w="4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(22,840)</w:t>
            </w: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55%</w:t>
            </w: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(24,231)</w:t>
            </w:r>
          </w:p>
        </w:tc>
        <w:tc>
          <w:tcPr>
            <w:tcW w:w="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58%</w:t>
            </w: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6%</w:t>
            </w:r>
          </w:p>
        </w:tc>
        <w:tc>
          <w:tcPr>
            <w:tcW w:w="0" w:type="dxa"/>
            <w:vAlign w:val="bottom"/>
          </w:tcPr>
          <w:p>
            <w:pPr>
              <w:spacing w:after="0"/>
              <w:rPr>
                <w:sz w:val="1"/>
                <w:szCs w:val="1"/>
                <w:color w:val="auto"/>
              </w:rPr>
            </w:pPr>
          </w:p>
        </w:tc>
      </w:tr>
      <w:tr>
        <w:trPr>
          <w:trHeight w:val="135"/>
        </w:trPr>
        <w:tc>
          <w:tcPr>
            <w:tcW w:w="17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Film rent and advertising cost</w:t>
            </w: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(4,448)</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11%</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(4,366)</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10%</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Food &amp; beverage cost</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(1,275)</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(1,209)</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3%</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Occupancy expense</w:t>
            </w:r>
          </w:p>
        </w:tc>
        <w:tc>
          <w:tcPr>
            <w:tcW w:w="22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(4,402)</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11%</w:t>
            </w:r>
          </w:p>
        </w:tc>
        <w:tc>
          <w:tcPr>
            <w:tcW w:w="20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(4,292)</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10%</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operating expense</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(6,161)</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15%</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(5,822)</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14%</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29"/>
        </w:trPr>
        <w:tc>
          <w:tcPr>
            <w:tcW w:w="17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2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(16,286)</w:t>
            </w:r>
          </w:p>
        </w:tc>
        <w:tc>
          <w:tcPr>
            <w:tcW w:w="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39%</w:t>
            </w:r>
          </w:p>
        </w:tc>
        <w:tc>
          <w:tcPr>
            <w:tcW w:w="2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(15,689)</w:t>
            </w:r>
          </w:p>
        </w:tc>
        <w:tc>
          <w:tcPr>
            <w:tcW w:w="4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37%</w:t>
            </w:r>
          </w:p>
        </w:tc>
        <w:tc>
          <w:tcPr>
            <w:tcW w:w="80" w:type="dxa"/>
            <w:vAlign w:val="bottom"/>
          </w:tcPr>
          <w:p>
            <w:pPr>
              <w:spacing w:after="0"/>
              <w:rPr>
                <w:sz w:val="11"/>
                <w:szCs w:val="11"/>
                <w:color w:val="auto"/>
              </w:rPr>
            </w:pPr>
          </w:p>
        </w:tc>
        <w:tc>
          <w:tcPr>
            <w:tcW w:w="122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Film rent and advertising cost</w:t>
            </w: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(682)</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(772)</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Food &amp; beverage cost</w:t>
            </w:r>
          </w:p>
        </w:tc>
        <w:tc>
          <w:tcPr>
            <w:tcW w:w="22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(204)</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20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(192)</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0%</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Occupancy expense</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(760)</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(789)</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operating expense</w:t>
            </w:r>
          </w:p>
        </w:tc>
        <w:tc>
          <w:tcPr>
            <w:tcW w:w="22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(1,100)</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20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(1,226)</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3%</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28"/>
        </w:trPr>
        <w:tc>
          <w:tcPr>
            <w:tcW w:w="1740" w:type="dxa"/>
            <w:vAlign w:val="bottom"/>
            <w:tcBorders>
              <w:top w:val="single" w:sz="8" w:color="CCEEFF"/>
            </w:tcBorders>
            <w:shd w:val="clear" w:color="auto" w:fill="CCEEFF"/>
          </w:tcPr>
          <w:p>
            <w:pPr>
              <w:spacing w:after="0"/>
              <w:rPr>
                <w:sz w:val="11"/>
                <w:szCs w:val="11"/>
                <w:color w:val="auto"/>
              </w:rPr>
            </w:pPr>
          </w:p>
        </w:tc>
        <w:tc>
          <w:tcPr>
            <w:tcW w:w="4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(2,746)</w:t>
            </w: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7%</w:t>
            </w: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(2,979)</w:t>
            </w:r>
          </w:p>
        </w:tc>
        <w:tc>
          <w:tcPr>
            <w:tcW w:w="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74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Total operating expense</w:t>
            </w:r>
          </w:p>
        </w:tc>
        <w:tc>
          <w:tcPr>
            <w:tcW w:w="4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(41,872)</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8"/>
              </w:rPr>
              <w:t>101%</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(42,899)</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102%</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88"/>
        </w:trPr>
        <w:tc>
          <w:tcPr>
            <w:tcW w:w="5940" w:type="dxa"/>
            <w:vAlign w:val="bottom"/>
            <w:tcBorders>
              <w:top w:val="single" w:sz="8" w:color="CCEEFF"/>
            </w:tcBorders>
            <w:gridSpan w:val="2"/>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DEPRECIATION, AMORTIZATION, IMPAIRMENT AND GENERAL AND ADMINISTRATIVE</w:t>
            </w:r>
          </w:p>
        </w:tc>
        <w:tc>
          <w:tcPr>
            <w:tcW w:w="2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800" w:type="dxa"/>
            <w:vAlign w:val="bottom"/>
            <w:tcBorders>
              <w:top w:val="single" w:sz="8" w:color="CCEEFF"/>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76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22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(1,271)</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(1,483)</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4%</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Impairment of long-lived assets</w:t>
            </w:r>
          </w:p>
        </w:tc>
        <w:tc>
          <w:tcPr>
            <w:tcW w:w="22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20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0%</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(&gt;100)%</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(633)</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(423)</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2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(1,904)</w:t>
            </w:r>
          </w:p>
        </w:tc>
        <w:tc>
          <w:tcPr>
            <w:tcW w:w="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5%</w:t>
            </w:r>
          </w:p>
        </w:tc>
        <w:tc>
          <w:tcPr>
            <w:tcW w:w="2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(1,906)</w:t>
            </w:r>
          </w:p>
        </w:tc>
        <w:tc>
          <w:tcPr>
            <w:tcW w:w="4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5%</w:t>
            </w:r>
          </w:p>
        </w:tc>
        <w:tc>
          <w:tcPr>
            <w:tcW w:w="80" w:type="dxa"/>
            <w:vAlign w:val="bottom"/>
          </w:tcPr>
          <w:p>
            <w:pPr>
              <w:spacing w:after="0"/>
              <w:rPr>
                <w:sz w:val="11"/>
                <w:szCs w:val="11"/>
                <w:color w:val="auto"/>
              </w:rPr>
            </w:pPr>
          </w:p>
        </w:tc>
        <w:tc>
          <w:tcPr>
            <w:tcW w:w="122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(1,190)</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(1,244)</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3%</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Impairment expense</w:t>
            </w:r>
          </w:p>
        </w:tc>
        <w:tc>
          <w:tcPr>
            <w:tcW w:w="22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20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0%</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(344)</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(404)</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29"/>
        </w:trPr>
        <w:tc>
          <w:tcPr>
            <w:tcW w:w="17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2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(1,534)</w:t>
            </w:r>
          </w:p>
        </w:tc>
        <w:tc>
          <w:tcPr>
            <w:tcW w:w="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4%</w:t>
            </w:r>
          </w:p>
        </w:tc>
        <w:tc>
          <w:tcPr>
            <w:tcW w:w="2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(1,648)</w:t>
            </w:r>
          </w:p>
        </w:tc>
        <w:tc>
          <w:tcPr>
            <w:tcW w:w="4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4%</w:t>
            </w:r>
          </w:p>
        </w:tc>
        <w:tc>
          <w:tcPr>
            <w:tcW w:w="80" w:type="dxa"/>
            <w:vAlign w:val="bottom"/>
          </w:tcPr>
          <w:p>
            <w:pPr>
              <w:spacing w:after="0"/>
              <w:rPr>
                <w:sz w:val="11"/>
                <w:szCs w:val="11"/>
                <w:color w:val="auto"/>
              </w:rPr>
            </w:pPr>
          </w:p>
        </w:tc>
        <w:tc>
          <w:tcPr>
            <w:tcW w:w="122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7%</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0%</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Impairment expense</w:t>
            </w:r>
          </w:p>
        </w:tc>
        <w:tc>
          <w:tcPr>
            <w:tcW w:w="22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20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0%</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4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0%</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7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2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(126)</w:t>
            </w:r>
          </w:p>
        </w:tc>
        <w:tc>
          <w:tcPr>
            <w:tcW w:w="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0%</w:t>
            </w:r>
          </w:p>
        </w:tc>
        <w:tc>
          <w:tcPr>
            <w:tcW w:w="2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(146)</w:t>
            </w:r>
          </w:p>
        </w:tc>
        <w:tc>
          <w:tcPr>
            <w:tcW w:w="4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0%</w:t>
            </w:r>
          </w:p>
        </w:tc>
        <w:tc>
          <w:tcPr>
            <w:tcW w:w="80" w:type="dxa"/>
            <w:vAlign w:val="bottom"/>
          </w:tcPr>
          <w:p>
            <w:pPr>
              <w:spacing w:after="0"/>
              <w:rPr>
                <w:sz w:val="11"/>
                <w:szCs w:val="11"/>
                <w:color w:val="auto"/>
              </w:rPr>
            </w:pPr>
          </w:p>
        </w:tc>
        <w:tc>
          <w:tcPr>
            <w:tcW w:w="122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14%</w:t>
            </w:r>
          </w:p>
        </w:tc>
        <w:tc>
          <w:tcPr>
            <w:tcW w:w="0" w:type="dxa"/>
            <w:vAlign w:val="bottom"/>
          </w:tcPr>
          <w:p>
            <w:pPr>
              <w:spacing w:after="0"/>
              <w:rPr>
                <w:sz w:val="1"/>
                <w:szCs w:val="1"/>
                <w:color w:val="auto"/>
              </w:rPr>
            </w:pPr>
          </w:p>
        </w:tc>
      </w:tr>
      <w:tr>
        <w:trPr>
          <w:trHeight w:val="135"/>
        </w:trPr>
        <w:tc>
          <w:tcPr>
            <w:tcW w:w="5940" w:type="dxa"/>
            <w:vAlign w:val="bottom"/>
            <w:gridSpan w:val="2"/>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94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Total depreciation, amortization, general and administrative expense</w:t>
            </w: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(3,564)</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9%</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(3,700)</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9%</w:t>
            </w:r>
          </w:p>
        </w:tc>
        <w:tc>
          <w:tcPr>
            <w:tcW w:w="80" w:type="dxa"/>
            <w:vAlign w:val="bottom"/>
          </w:tcPr>
          <w:p>
            <w:pPr>
              <w:spacing w:after="0"/>
              <w:rPr>
                <w:sz w:val="12"/>
                <w:szCs w:val="12"/>
                <w:color w:val="auto"/>
              </w:rPr>
            </w:pPr>
          </w:p>
        </w:tc>
        <w:tc>
          <w:tcPr>
            <w:tcW w:w="12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135"/>
        </w:trPr>
        <w:tc>
          <w:tcPr>
            <w:tcW w:w="5940" w:type="dxa"/>
            <w:vAlign w:val="bottom"/>
            <w:tcBorders>
              <w:top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INCOME (LOSS) – CINEMA</w:t>
            </w:r>
          </w:p>
        </w:tc>
        <w:tc>
          <w:tcPr>
            <w:tcW w:w="2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4200" w:type="dxa"/>
            <w:vAlign w:val="bottom"/>
          </w:tcPr>
          <w:p>
            <w:pPr>
              <w:spacing w:after="0"/>
              <w:rPr>
                <w:sz w:val="11"/>
                <w:szCs w:val="11"/>
                <w:color w:val="auto"/>
              </w:rPr>
            </w:pP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(3,436)</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(8)%</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(4,326)</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8"/>
              </w:rPr>
              <w:t>(10)%</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4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(498)</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(1)%</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(0)%</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(&gt;100)%</w:t>
            </w:r>
          </w:p>
        </w:tc>
        <w:tc>
          <w:tcPr>
            <w:tcW w:w="0" w:type="dxa"/>
            <w:vAlign w:val="bottom"/>
          </w:tcPr>
          <w:p>
            <w:pPr>
              <w:spacing w:after="0"/>
              <w:rPr>
                <w:sz w:val="1"/>
                <w:szCs w:val="1"/>
                <w:color w:val="auto"/>
              </w:rPr>
            </w:pPr>
          </w:p>
        </w:tc>
      </w:tr>
      <w:tr>
        <w:trPr>
          <w:trHeight w:val="135"/>
        </w:trPr>
        <w:tc>
          <w:tcPr>
            <w:tcW w:w="17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4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(231)</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(1)%</w:t>
            </w:r>
          </w:p>
        </w:tc>
        <w:tc>
          <w:tcPr>
            <w:tcW w:w="20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(0)%</w:t>
            </w:r>
          </w:p>
        </w:tc>
        <w:tc>
          <w:tcPr>
            <w:tcW w:w="80" w:type="dxa"/>
            <w:vAlign w:val="bottom"/>
          </w:tcPr>
          <w:p>
            <w:pPr>
              <w:spacing w:after="0"/>
              <w:rPr>
                <w:sz w:val="11"/>
                <w:szCs w:val="11"/>
                <w:color w:val="auto"/>
              </w:rPr>
            </w:pPr>
          </w:p>
        </w:tc>
        <w:tc>
          <w:tcPr>
            <w:tcW w:w="12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36"/>
        </w:trPr>
        <w:tc>
          <w:tcPr>
            <w:tcW w:w="5940" w:type="dxa"/>
            <w:vAlign w:val="bottom"/>
            <w:tcBorders>
              <w:top w:val="single" w:sz="8" w:color="CCEEFF"/>
              <w:bottom w:val="single" w:sz="8" w:color="CCEEFF"/>
            </w:tcBorders>
            <w:gridSpan w:val="2"/>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b w:val="1"/>
                <w:bCs w:val="1"/>
                <w:color w:val="auto"/>
              </w:rPr>
              <w:t>Total Cinema operating income (loss)</w:t>
            </w:r>
          </w:p>
        </w:tc>
        <w:tc>
          <w:tcPr>
            <w:tcW w:w="220" w:type="dxa"/>
            <w:vAlign w:val="bottom"/>
            <w:tcBorders>
              <w:top w:val="single" w:sz="8" w:color="auto"/>
              <w:bottom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(4,165)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(10)%</w:t>
            </w: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(4,612)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8"/>
              </w:rPr>
              <w:t>(11)%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20" w:type="dxa"/>
            <w:vAlign w:val="bottom"/>
            <w:tcBorders>
              <w:top w:val="single" w:sz="8" w:color="CCEEFF"/>
              <w:bottom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10%</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First Quarter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quarter ended March 31, 2024, cinema revenue decreased by $0.7 million, to $41.3 million compared to the same period in the prior year. This decrease was primarily due to (i) lower US food and beverage revenues, lower US advertising and other revenue, and lowered NZ admissions compounded with a lower Average Ticket Price and (ii) weakening of AU/NZ foreign exchange rates.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Cinema Segment Operating Income/(Loss)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Cinema segment operating loss for the quarter ended March 31, 2024, improved by $0.4 million, from a loss of $4.6 million to a loss of $4.2 million when compared to the same period in the prior year. The improvement is primarily due to improved operating income from our U.S. cinema circuit as a result of lower operating expenses from having shut down underperforming cinemas.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Operating expenses for the quarter ended March 31, 2024, decreased by $1.0 million, to $41.9 million, compared to the same quarter in the prior year. This decrease was due to lower occupancy expenses and other operating expenses in U.S. and New Zealand as a result of the recent cinema closures that occurred in the second half of 2023, partially offset by higher operating expenses in Australia.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amortization, impairment, general and administrative expense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Depreciation, amortization, impairment, and general and administrative expenses for the quarter ended March 31, 2024, decreased by $0.1 million, to $3.6 million, compared to the same quarter in the prior year. These decreases were due to a decrease in depreciation and amortization due to a delay in Capex spending.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Real Estate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our real estate segment operating results for the quarters ended March 31, 2024 and March 31, 2023,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8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80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gridSpan w:val="2"/>
          </w:tcPr>
          <w:p>
            <w:pPr>
              <w:ind w:left="160"/>
              <w:spacing w:after="0" w:line="92"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680" w:type="dxa"/>
            <w:vAlign w:val="bottom"/>
          </w:tcPr>
          <w:p>
            <w:pPr>
              <w:jc w:val="center"/>
              <w:ind w:right="38"/>
              <w:spacing w:after="0" w:line="92" w:lineRule="exact"/>
              <w:rPr>
                <w:sz w:val="20"/>
                <w:szCs w:val="20"/>
                <w:color w:val="auto"/>
              </w:rPr>
            </w:pPr>
            <w:r>
              <w:rPr>
                <w:rFonts w:ascii="Times New Roman" w:cs="Times New Roman" w:eastAsia="Times New Roman" w:hAnsi="Times New Roman"/>
                <w:sz w:val="10"/>
                <w:szCs w:val="10"/>
                <w:b w:val="1"/>
                <w:bCs w:val="1"/>
                <w:i w:val="1"/>
                <w:iCs w:val="1"/>
                <w:color w:val="auto"/>
              </w:rPr>
              <w:t>% of</w:t>
            </w:r>
          </w:p>
        </w:tc>
        <w:tc>
          <w:tcPr>
            <w:tcW w:w="220" w:type="dxa"/>
            <w:vAlign w:val="bottom"/>
          </w:tcPr>
          <w:p>
            <w:pPr>
              <w:spacing w:after="0"/>
              <w:rPr>
                <w:sz w:val="8"/>
                <w:szCs w:val="8"/>
                <w:color w:val="auto"/>
              </w:rPr>
            </w:pPr>
          </w:p>
        </w:tc>
        <w:tc>
          <w:tcPr>
            <w:tcW w:w="1060" w:type="dxa"/>
            <w:vAlign w:val="bottom"/>
            <w:gridSpan w:val="2"/>
          </w:tcPr>
          <w:p>
            <w:pPr>
              <w:jc w:val="right"/>
              <w:ind w:right="440"/>
              <w:spacing w:after="0" w:line="92"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720" w:type="dxa"/>
            <w:vAlign w:val="bottom"/>
          </w:tcPr>
          <w:p>
            <w:pPr>
              <w:jc w:val="center"/>
              <w:ind w:right="38"/>
              <w:spacing w:after="0" w:line="92" w:lineRule="exact"/>
              <w:rPr>
                <w:sz w:val="20"/>
                <w:szCs w:val="20"/>
                <w:color w:val="auto"/>
              </w:rPr>
            </w:pPr>
            <w:r>
              <w:rPr>
                <w:rFonts w:ascii="Times New Roman" w:cs="Times New Roman" w:eastAsia="Times New Roman" w:hAnsi="Times New Roman"/>
                <w:sz w:val="10"/>
                <w:szCs w:val="10"/>
                <w:b w:val="1"/>
                <w:bCs w:val="1"/>
                <w:i w:val="1"/>
                <w:iCs w:val="1"/>
                <w:color w:val="auto"/>
              </w:rPr>
              <w:t>% of</w:t>
            </w:r>
          </w:p>
        </w:tc>
        <w:tc>
          <w:tcPr>
            <w:tcW w:w="12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0" w:type="dxa"/>
            <w:vAlign w:val="bottom"/>
          </w:tcPr>
          <w:p>
            <w:pPr>
              <w:spacing w:after="0"/>
              <w:rPr>
                <w:sz w:val="1"/>
                <w:szCs w:val="1"/>
                <w:color w:val="auto"/>
              </w:rPr>
            </w:pPr>
          </w:p>
        </w:tc>
      </w:tr>
      <w:tr>
        <w:trPr>
          <w:trHeight w:val="144"/>
        </w:trPr>
        <w:tc>
          <w:tcPr>
            <w:tcW w:w="180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i w:val="1"/>
                <w:iCs w:val="1"/>
                <w:color w:val="auto"/>
                <w:w w:val="97"/>
              </w:rPr>
              <w:t>‎Revenue</w:t>
            </w:r>
          </w:p>
        </w:tc>
        <w:tc>
          <w:tcPr>
            <w:tcW w:w="220" w:type="dxa"/>
            <w:vAlign w:val="bottom"/>
          </w:tcPr>
          <w:p>
            <w:pPr>
              <w:spacing w:after="0"/>
              <w:rPr>
                <w:sz w:val="12"/>
                <w:szCs w:val="12"/>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i w:val="1"/>
                <w:iCs w:val="1"/>
                <w:color w:val="auto"/>
                <w:w w:val="97"/>
              </w:rPr>
              <w:t>‎Revenue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36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3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Live theatre rental and ancillary income</w:t>
            </w:r>
          </w:p>
        </w:tc>
        <w:tc>
          <w:tcPr>
            <w:tcW w:w="86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413</w:t>
            </w:r>
          </w:p>
        </w:tc>
        <w:tc>
          <w:tcPr>
            <w:tcW w:w="6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8%</w:t>
            </w: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339</w:t>
            </w: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7%</w:t>
            </w:r>
          </w:p>
        </w:tc>
        <w:tc>
          <w:tcPr>
            <w:tcW w:w="120" w:type="dxa"/>
            <w:vAlign w:val="bottom"/>
          </w:tcPr>
          <w:p>
            <w:pPr>
              <w:spacing w:after="0"/>
              <w:rPr>
                <w:sz w:val="11"/>
                <w:szCs w:val="11"/>
                <w:color w:val="auto"/>
              </w:rPr>
            </w:pP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rPr>
                <w:sz w:val="11"/>
                <w:szCs w:val="11"/>
                <w:color w:val="auto"/>
              </w:rPr>
            </w:pPr>
          </w:p>
        </w:tc>
        <w:tc>
          <w:tcPr>
            <w:tcW w:w="3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Property rental income</w:t>
            </w: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1,072</w:t>
            </w:r>
          </w:p>
        </w:tc>
        <w:tc>
          <w:tcPr>
            <w:tcW w:w="68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2"/>
              </w:rPr>
              <w:t>22%</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1,215</w:t>
            </w:r>
          </w:p>
        </w:tc>
        <w:tc>
          <w:tcPr>
            <w:tcW w:w="72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2"/>
              </w:rPr>
              <w:t>24%</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28"/>
        </w:trPr>
        <w:tc>
          <w:tcPr>
            <w:tcW w:w="18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1,485</w:t>
            </w:r>
          </w:p>
        </w:tc>
        <w:tc>
          <w:tcPr>
            <w:tcW w:w="100" w:type="dxa"/>
            <w:vAlign w:val="bottom"/>
          </w:tcPr>
          <w:p>
            <w:pPr>
              <w:spacing w:after="0"/>
              <w:rPr>
                <w:sz w:val="11"/>
                <w:szCs w:val="11"/>
                <w:color w:val="auto"/>
              </w:rPr>
            </w:pPr>
          </w:p>
        </w:tc>
        <w:tc>
          <w:tcPr>
            <w:tcW w:w="680" w:type="dxa"/>
            <w:vAlign w:val="bottom"/>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30%</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1,554</w:t>
            </w:r>
          </w:p>
        </w:tc>
        <w:tc>
          <w:tcPr>
            <w:tcW w:w="100" w:type="dxa"/>
            <w:vAlign w:val="bottom"/>
          </w:tcPr>
          <w:p>
            <w:pPr>
              <w:spacing w:after="0"/>
              <w:rPr>
                <w:sz w:val="11"/>
                <w:szCs w:val="11"/>
                <w:color w:val="auto"/>
              </w:rPr>
            </w:pPr>
          </w:p>
        </w:tc>
        <w:tc>
          <w:tcPr>
            <w:tcW w:w="720" w:type="dxa"/>
            <w:vAlign w:val="bottom"/>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31%</w:t>
            </w:r>
          </w:p>
        </w:tc>
        <w:tc>
          <w:tcPr>
            <w:tcW w:w="120" w:type="dxa"/>
            <w:vAlign w:val="bottom"/>
          </w:tcPr>
          <w:p>
            <w:pPr>
              <w:spacing w:after="0"/>
              <w:rPr>
                <w:sz w:val="11"/>
                <w:szCs w:val="11"/>
                <w:color w:val="auto"/>
              </w:rPr>
            </w:pPr>
          </w:p>
        </w:tc>
        <w:tc>
          <w:tcPr>
            <w:tcW w:w="1020" w:type="dxa"/>
            <w:vAlign w:val="bottom"/>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3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Property rental income</w:t>
            </w: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3,083</w:t>
            </w:r>
          </w:p>
        </w:tc>
        <w:tc>
          <w:tcPr>
            <w:tcW w:w="68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62%</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3,137</w:t>
            </w:r>
          </w:p>
        </w:tc>
        <w:tc>
          <w:tcPr>
            <w:tcW w:w="72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62%</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180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3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Property rental income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365</w:t>
            </w:r>
          </w:p>
        </w:tc>
        <w:tc>
          <w:tcPr>
            <w:tcW w:w="6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7%</w:t>
            </w:r>
          </w:p>
        </w:tc>
        <w:tc>
          <w:tcPr>
            <w:tcW w:w="2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374</w:t>
            </w: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7%</w:t>
            </w:r>
          </w:p>
        </w:tc>
        <w:tc>
          <w:tcPr>
            <w:tcW w:w="120" w:type="dxa"/>
            <w:vAlign w:val="bottom"/>
          </w:tcPr>
          <w:p>
            <w:pPr>
              <w:spacing w:after="0"/>
              <w:rPr>
                <w:sz w:val="11"/>
                <w:szCs w:val="11"/>
                <w:color w:val="auto"/>
              </w:rPr>
            </w:pP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Total revenue</w:t>
            </w:r>
          </w:p>
        </w:tc>
        <w:tc>
          <w:tcPr>
            <w:tcW w:w="3620" w:type="dxa"/>
            <w:vAlign w:val="bottom"/>
          </w:tcPr>
          <w:p>
            <w:pPr>
              <w:spacing w:after="0"/>
              <w:rPr>
                <w:sz w:val="12"/>
                <w:szCs w:val="12"/>
                <w:color w:val="auto"/>
              </w:rPr>
            </w:pPr>
          </w:p>
        </w:tc>
        <w:tc>
          <w:tcPr>
            <w:tcW w:w="86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4,933</w:t>
            </w:r>
          </w:p>
        </w:tc>
        <w:tc>
          <w:tcPr>
            <w:tcW w:w="6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5,065</w:t>
            </w: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120" w:type="dxa"/>
            <w:vAlign w:val="bottom"/>
          </w:tcPr>
          <w:p>
            <w:pPr>
              <w:spacing w:after="0"/>
              <w:rPr>
                <w:sz w:val="12"/>
                <w:szCs w:val="12"/>
                <w:color w:val="auto"/>
              </w:rPr>
            </w:pPr>
          </w:p>
        </w:tc>
        <w:tc>
          <w:tcPr>
            <w:tcW w:w="102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135"/>
        </w:trPr>
        <w:tc>
          <w:tcPr>
            <w:tcW w:w="180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w:t>
            </w:r>
          </w:p>
        </w:tc>
        <w:tc>
          <w:tcPr>
            <w:tcW w:w="36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3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Live theatre cost</w:t>
            </w:r>
          </w:p>
        </w:tc>
        <w:tc>
          <w:tcPr>
            <w:tcW w:w="86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(182)</w:t>
            </w:r>
          </w:p>
        </w:tc>
        <w:tc>
          <w:tcPr>
            <w:tcW w:w="6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4%</w:t>
            </w: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(172)</w:t>
            </w: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120" w:type="dxa"/>
            <w:vAlign w:val="bottom"/>
          </w:tcPr>
          <w:p>
            <w:pPr>
              <w:spacing w:after="0"/>
              <w:rPr>
                <w:sz w:val="11"/>
                <w:szCs w:val="11"/>
                <w:color w:val="auto"/>
              </w:rPr>
            </w:pP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rPr>
                <w:sz w:val="11"/>
                <w:szCs w:val="11"/>
                <w:color w:val="auto"/>
              </w:rPr>
            </w:pPr>
          </w:p>
        </w:tc>
        <w:tc>
          <w:tcPr>
            <w:tcW w:w="3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Property cost</w:t>
            </w: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(419)</w:t>
            </w:r>
          </w:p>
        </w:tc>
        <w:tc>
          <w:tcPr>
            <w:tcW w:w="68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8%</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(441)</w:t>
            </w:r>
          </w:p>
        </w:tc>
        <w:tc>
          <w:tcPr>
            <w:tcW w:w="72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9%</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3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Occupancy expense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(244)</w:t>
            </w:r>
          </w:p>
        </w:tc>
        <w:tc>
          <w:tcPr>
            <w:tcW w:w="6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2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(243)</w:t>
            </w: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120" w:type="dxa"/>
            <w:vAlign w:val="bottom"/>
          </w:tcPr>
          <w:p>
            <w:pPr>
              <w:spacing w:after="0"/>
              <w:rPr>
                <w:sz w:val="11"/>
                <w:szCs w:val="11"/>
                <w:color w:val="auto"/>
              </w:rPr>
            </w:pP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1800" w:type="dxa"/>
            <w:vAlign w:val="bottom"/>
            <w:tcBorders>
              <w:top w:val="single" w:sz="8" w:color="CCEEFF"/>
            </w:tcBorders>
            <w:shd w:val="clear" w:color="auto" w:fill="CCEEFF"/>
          </w:tcPr>
          <w:p>
            <w:pPr>
              <w:spacing w:after="0"/>
              <w:rPr>
                <w:sz w:val="11"/>
                <w:szCs w:val="11"/>
                <w:color w:val="auto"/>
              </w:rPr>
            </w:pPr>
          </w:p>
        </w:tc>
        <w:tc>
          <w:tcPr>
            <w:tcW w:w="36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(845)</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17%</w:t>
            </w:r>
          </w:p>
        </w:tc>
        <w:tc>
          <w:tcPr>
            <w:tcW w:w="2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(856)</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17%</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35"/>
        </w:trPr>
        <w:tc>
          <w:tcPr>
            <w:tcW w:w="180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3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Property cost</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(521)</w:t>
            </w:r>
          </w:p>
        </w:tc>
        <w:tc>
          <w:tcPr>
            <w:tcW w:w="6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2"/>
              </w:rPr>
              <w:t>11%</w:t>
            </w:r>
          </w:p>
        </w:tc>
        <w:tc>
          <w:tcPr>
            <w:tcW w:w="2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(512)</w:t>
            </w: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2"/>
              </w:rPr>
              <w:t>10%</w:t>
            </w:r>
          </w:p>
        </w:tc>
        <w:tc>
          <w:tcPr>
            <w:tcW w:w="120" w:type="dxa"/>
            <w:vAlign w:val="bottom"/>
          </w:tcPr>
          <w:p>
            <w:pPr>
              <w:spacing w:after="0"/>
              <w:rPr>
                <w:sz w:val="11"/>
                <w:szCs w:val="11"/>
                <w:color w:val="auto"/>
              </w:rPr>
            </w:pP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rPr>
                <w:sz w:val="11"/>
                <w:szCs w:val="11"/>
                <w:color w:val="auto"/>
              </w:rPr>
            </w:pPr>
          </w:p>
        </w:tc>
        <w:tc>
          <w:tcPr>
            <w:tcW w:w="3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Occupancy expense</w:t>
            </w: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(489)</w:t>
            </w:r>
          </w:p>
        </w:tc>
        <w:tc>
          <w:tcPr>
            <w:tcW w:w="68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2"/>
              </w:rPr>
              <w:t>10%</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(483)</w:t>
            </w:r>
          </w:p>
        </w:tc>
        <w:tc>
          <w:tcPr>
            <w:tcW w:w="72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2"/>
              </w:rPr>
              <w:t>10%</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9"/>
        </w:trPr>
        <w:tc>
          <w:tcPr>
            <w:tcW w:w="18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(1,010)</w:t>
            </w:r>
          </w:p>
        </w:tc>
        <w:tc>
          <w:tcPr>
            <w:tcW w:w="100" w:type="dxa"/>
            <w:vAlign w:val="bottom"/>
          </w:tcPr>
          <w:p>
            <w:pPr>
              <w:spacing w:after="0"/>
              <w:rPr>
                <w:sz w:val="11"/>
                <w:szCs w:val="11"/>
                <w:color w:val="auto"/>
              </w:rPr>
            </w:pPr>
          </w:p>
        </w:tc>
        <w:tc>
          <w:tcPr>
            <w:tcW w:w="680" w:type="dxa"/>
            <w:vAlign w:val="bottom"/>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20%</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(995)</w:t>
            </w:r>
          </w:p>
        </w:tc>
        <w:tc>
          <w:tcPr>
            <w:tcW w:w="100" w:type="dxa"/>
            <w:vAlign w:val="bottom"/>
          </w:tcPr>
          <w:p>
            <w:pPr>
              <w:spacing w:after="0"/>
              <w:rPr>
                <w:sz w:val="11"/>
                <w:szCs w:val="11"/>
                <w:color w:val="auto"/>
              </w:rPr>
            </w:pPr>
          </w:p>
        </w:tc>
        <w:tc>
          <w:tcPr>
            <w:tcW w:w="720" w:type="dxa"/>
            <w:vAlign w:val="bottom"/>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20%</w:t>
            </w:r>
          </w:p>
        </w:tc>
        <w:tc>
          <w:tcPr>
            <w:tcW w:w="120" w:type="dxa"/>
            <w:vAlign w:val="bottom"/>
          </w:tcPr>
          <w:p>
            <w:pPr>
              <w:spacing w:after="0"/>
              <w:rPr>
                <w:sz w:val="11"/>
                <w:szCs w:val="11"/>
                <w:color w:val="auto"/>
              </w:rPr>
            </w:pPr>
          </w:p>
        </w:tc>
        <w:tc>
          <w:tcPr>
            <w:tcW w:w="1020" w:type="dxa"/>
            <w:vAlign w:val="bottom"/>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3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Property cost</w:t>
            </w: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(269)</w:t>
            </w:r>
          </w:p>
        </w:tc>
        <w:tc>
          <w:tcPr>
            <w:tcW w:w="68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(262)</w:t>
            </w:r>
          </w:p>
        </w:tc>
        <w:tc>
          <w:tcPr>
            <w:tcW w:w="72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3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Occupancy expense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6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2%</w:t>
            </w:r>
          </w:p>
        </w:tc>
        <w:tc>
          <w:tcPr>
            <w:tcW w:w="2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2%</w:t>
            </w:r>
          </w:p>
        </w:tc>
        <w:tc>
          <w:tcPr>
            <w:tcW w:w="120" w:type="dxa"/>
            <w:vAlign w:val="bottom"/>
          </w:tcPr>
          <w:p>
            <w:pPr>
              <w:spacing w:after="0"/>
              <w:rPr>
                <w:sz w:val="11"/>
                <w:szCs w:val="11"/>
                <w:color w:val="auto"/>
              </w:rPr>
            </w:pP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28"/>
        </w:trPr>
        <w:tc>
          <w:tcPr>
            <w:tcW w:w="1800" w:type="dxa"/>
            <w:vAlign w:val="bottom"/>
            <w:tcBorders>
              <w:top w:val="single" w:sz="8" w:color="CCEEFF"/>
            </w:tcBorders>
            <w:shd w:val="clear" w:color="auto" w:fill="CCEEFF"/>
          </w:tcPr>
          <w:p>
            <w:pPr>
              <w:spacing w:after="0"/>
              <w:rPr>
                <w:sz w:val="11"/>
                <w:szCs w:val="11"/>
                <w:color w:val="auto"/>
              </w:rPr>
            </w:pPr>
          </w:p>
        </w:tc>
        <w:tc>
          <w:tcPr>
            <w:tcW w:w="36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(380)</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8%</w:t>
            </w:r>
          </w:p>
        </w:tc>
        <w:tc>
          <w:tcPr>
            <w:tcW w:w="2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(364)</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7%</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0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Total operating expense</w:t>
            </w:r>
          </w:p>
        </w:tc>
        <w:tc>
          <w:tcPr>
            <w:tcW w:w="36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(2,235)</w:t>
            </w:r>
          </w:p>
        </w:tc>
        <w:tc>
          <w:tcPr>
            <w:tcW w:w="68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45%</w:t>
            </w: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(2,215)</w:t>
            </w:r>
          </w:p>
        </w:tc>
        <w:tc>
          <w:tcPr>
            <w:tcW w:w="72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44%</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22"/>
        </w:trPr>
        <w:tc>
          <w:tcPr>
            <w:tcW w:w="5420" w:type="dxa"/>
            <w:vAlign w:val="bottom"/>
            <w:tcBorders>
              <w:top w:val="single" w:sz="8" w:color="CCEEFF"/>
            </w:tcBorders>
            <w:gridSpan w:val="2"/>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DEPRECIATION, AMORTIZATION, GENERAL AND ADMINISTRATIVE EXPENSE</w:t>
            </w:r>
          </w:p>
        </w:tc>
        <w:tc>
          <w:tcPr>
            <w:tcW w:w="6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3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60" w:type="dxa"/>
            <w:vAlign w:val="bottom"/>
            <w:gridSpan w:val="2"/>
            <w:shd w:val="clear" w:color="auto" w:fill="CCEEFF"/>
          </w:tcPr>
          <w:p>
            <w:pPr>
              <w:jc w:val="right"/>
              <w:ind w:right="1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(739)</w:t>
            </w:r>
          </w:p>
        </w:tc>
        <w:tc>
          <w:tcPr>
            <w:tcW w:w="68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2"/>
              </w:rPr>
              <w:t>15%</w:t>
            </w: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(739)</w:t>
            </w:r>
          </w:p>
        </w:tc>
        <w:tc>
          <w:tcPr>
            <w:tcW w:w="72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2"/>
              </w:rPr>
              <w:t>15%</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3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(268)</w:t>
            </w:r>
          </w:p>
        </w:tc>
        <w:tc>
          <w:tcPr>
            <w:tcW w:w="6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2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120" w:type="dxa"/>
            <w:vAlign w:val="bottom"/>
          </w:tcPr>
          <w:p>
            <w:pPr>
              <w:spacing w:after="0"/>
              <w:rPr>
                <w:sz w:val="11"/>
                <w:szCs w:val="11"/>
                <w:color w:val="auto"/>
              </w:rPr>
            </w:pP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28"/>
        </w:trPr>
        <w:tc>
          <w:tcPr>
            <w:tcW w:w="1800" w:type="dxa"/>
            <w:vAlign w:val="bottom"/>
            <w:tcBorders>
              <w:top w:val="single" w:sz="8" w:color="CCEEFF"/>
            </w:tcBorders>
            <w:shd w:val="clear" w:color="auto" w:fill="CCEEFF"/>
          </w:tcPr>
          <w:p>
            <w:pPr>
              <w:spacing w:after="0"/>
              <w:rPr>
                <w:sz w:val="11"/>
                <w:szCs w:val="11"/>
                <w:color w:val="auto"/>
              </w:rPr>
            </w:pPr>
          </w:p>
        </w:tc>
        <w:tc>
          <w:tcPr>
            <w:tcW w:w="36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(1,007)</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20%</w:t>
            </w:r>
          </w:p>
        </w:tc>
        <w:tc>
          <w:tcPr>
            <w:tcW w:w="2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(915)</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18%</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(10)</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180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3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6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(591)</w:t>
            </w:r>
          </w:p>
        </w:tc>
        <w:tc>
          <w:tcPr>
            <w:tcW w:w="6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2"/>
              </w:rPr>
              <w:t>12%</w:t>
            </w: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(648)</w:t>
            </w: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2"/>
              </w:rPr>
              <w:t>13%</w:t>
            </w:r>
          </w:p>
        </w:tc>
        <w:tc>
          <w:tcPr>
            <w:tcW w:w="120" w:type="dxa"/>
            <w:vAlign w:val="bottom"/>
          </w:tcPr>
          <w:p>
            <w:pPr>
              <w:spacing w:after="0"/>
              <w:rPr>
                <w:sz w:val="11"/>
                <w:szCs w:val="11"/>
                <w:color w:val="auto"/>
              </w:rPr>
            </w:pP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rPr>
                <w:sz w:val="11"/>
                <w:szCs w:val="11"/>
                <w:color w:val="auto"/>
              </w:rPr>
            </w:pPr>
          </w:p>
        </w:tc>
        <w:tc>
          <w:tcPr>
            <w:tcW w:w="3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w:t>
            </w: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68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72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2%</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28"/>
        </w:trPr>
        <w:tc>
          <w:tcPr>
            <w:tcW w:w="18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(615)</w:t>
            </w:r>
          </w:p>
        </w:tc>
        <w:tc>
          <w:tcPr>
            <w:tcW w:w="100" w:type="dxa"/>
            <w:vAlign w:val="bottom"/>
          </w:tcPr>
          <w:p>
            <w:pPr>
              <w:spacing w:after="0"/>
              <w:rPr>
                <w:sz w:val="11"/>
                <w:szCs w:val="11"/>
                <w:color w:val="auto"/>
              </w:rPr>
            </w:pPr>
          </w:p>
        </w:tc>
        <w:tc>
          <w:tcPr>
            <w:tcW w:w="680" w:type="dxa"/>
            <w:vAlign w:val="bottom"/>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12%</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(729)</w:t>
            </w:r>
          </w:p>
        </w:tc>
        <w:tc>
          <w:tcPr>
            <w:tcW w:w="100" w:type="dxa"/>
            <w:vAlign w:val="bottom"/>
          </w:tcPr>
          <w:p>
            <w:pPr>
              <w:spacing w:after="0"/>
              <w:rPr>
                <w:sz w:val="11"/>
                <w:szCs w:val="11"/>
                <w:color w:val="auto"/>
              </w:rPr>
            </w:pPr>
          </w:p>
        </w:tc>
        <w:tc>
          <w:tcPr>
            <w:tcW w:w="720" w:type="dxa"/>
            <w:vAlign w:val="bottom"/>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14%</w:t>
            </w:r>
          </w:p>
        </w:tc>
        <w:tc>
          <w:tcPr>
            <w:tcW w:w="120" w:type="dxa"/>
            <w:vAlign w:val="bottom"/>
          </w:tcPr>
          <w:p>
            <w:pPr>
              <w:spacing w:after="0"/>
              <w:rPr>
                <w:sz w:val="11"/>
                <w:szCs w:val="11"/>
                <w:color w:val="auto"/>
              </w:rPr>
            </w:pPr>
          </w:p>
        </w:tc>
        <w:tc>
          <w:tcPr>
            <w:tcW w:w="1020" w:type="dxa"/>
            <w:vAlign w:val="bottom"/>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16%</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3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(186)</w:t>
            </w:r>
          </w:p>
        </w:tc>
        <w:tc>
          <w:tcPr>
            <w:tcW w:w="68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4%</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72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4%</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3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2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120" w:type="dxa"/>
            <w:vAlign w:val="bottom"/>
          </w:tcPr>
          <w:p>
            <w:pPr>
              <w:spacing w:after="0"/>
              <w:rPr>
                <w:sz w:val="11"/>
                <w:szCs w:val="11"/>
                <w:color w:val="auto"/>
              </w:rPr>
            </w:pP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800" w:type="dxa"/>
            <w:vAlign w:val="bottom"/>
            <w:tcBorders>
              <w:top w:val="single" w:sz="8" w:color="CCEEFF"/>
            </w:tcBorders>
            <w:shd w:val="clear" w:color="auto" w:fill="CCEEFF"/>
          </w:tcPr>
          <w:p>
            <w:pPr>
              <w:spacing w:after="0"/>
              <w:rPr>
                <w:sz w:val="11"/>
                <w:szCs w:val="11"/>
                <w:color w:val="auto"/>
              </w:rPr>
            </w:pPr>
          </w:p>
        </w:tc>
        <w:tc>
          <w:tcPr>
            <w:tcW w:w="36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(186)</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4%</w:t>
            </w:r>
          </w:p>
        </w:tc>
        <w:tc>
          <w:tcPr>
            <w:tcW w:w="2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(200)</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4%</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7%</w:t>
            </w:r>
          </w:p>
        </w:tc>
        <w:tc>
          <w:tcPr>
            <w:tcW w:w="0" w:type="dxa"/>
            <w:vAlign w:val="bottom"/>
          </w:tcPr>
          <w:p>
            <w:pPr>
              <w:spacing w:after="0"/>
              <w:rPr>
                <w:sz w:val="1"/>
                <w:szCs w:val="1"/>
                <w:color w:val="auto"/>
              </w:rPr>
            </w:pPr>
          </w:p>
        </w:tc>
      </w:tr>
      <w:tr>
        <w:trPr>
          <w:trHeight w:val="142"/>
        </w:trPr>
        <w:tc>
          <w:tcPr>
            <w:tcW w:w="542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Total depreciation, amortization, general and administrative expense</w:t>
            </w:r>
          </w:p>
        </w:tc>
        <w:tc>
          <w:tcPr>
            <w:tcW w:w="86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(1,808)</w:t>
            </w:r>
          </w:p>
        </w:tc>
        <w:tc>
          <w:tcPr>
            <w:tcW w:w="6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37%</w:t>
            </w: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(1,844)</w:t>
            </w: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36%</w:t>
            </w:r>
          </w:p>
        </w:tc>
        <w:tc>
          <w:tcPr>
            <w:tcW w:w="120" w:type="dxa"/>
            <w:vAlign w:val="bottom"/>
          </w:tcPr>
          <w:p>
            <w:pPr>
              <w:spacing w:after="0"/>
              <w:rPr>
                <w:sz w:val="12"/>
                <w:szCs w:val="12"/>
                <w:color w:val="auto"/>
              </w:rPr>
            </w:pPr>
          </w:p>
        </w:tc>
        <w:tc>
          <w:tcPr>
            <w:tcW w:w="102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135"/>
        </w:trPr>
        <w:tc>
          <w:tcPr>
            <w:tcW w:w="5420" w:type="dxa"/>
            <w:vAlign w:val="bottom"/>
            <w:tcBorders>
              <w:top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INCOME (LOSS) - REAL ESTATE</w:t>
            </w:r>
          </w:p>
        </w:tc>
        <w:tc>
          <w:tcPr>
            <w:tcW w:w="6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3620" w:type="dxa"/>
            <w:vAlign w:val="bottom"/>
          </w:tcPr>
          <w:p>
            <w:pPr>
              <w:spacing w:after="0"/>
              <w:rPr>
                <w:sz w:val="11"/>
                <w:szCs w:val="11"/>
                <w:color w:val="auto"/>
              </w:rPr>
            </w:pPr>
          </w:p>
        </w:tc>
        <w:tc>
          <w:tcPr>
            <w:tcW w:w="86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(367)</w:t>
            </w:r>
          </w:p>
        </w:tc>
        <w:tc>
          <w:tcPr>
            <w:tcW w:w="6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9"/>
              </w:rPr>
              <w:t>(7)%</w:t>
            </w: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(217)</w:t>
            </w: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9"/>
              </w:rPr>
              <w:t>(4)%</w:t>
            </w:r>
          </w:p>
        </w:tc>
        <w:tc>
          <w:tcPr>
            <w:tcW w:w="120" w:type="dxa"/>
            <w:vAlign w:val="bottom"/>
          </w:tcPr>
          <w:p>
            <w:pPr>
              <w:spacing w:after="0"/>
              <w:rPr>
                <w:sz w:val="11"/>
                <w:szCs w:val="11"/>
                <w:color w:val="auto"/>
              </w:rPr>
            </w:pP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3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1,458</w:t>
            </w:r>
          </w:p>
        </w:tc>
        <w:tc>
          <w:tcPr>
            <w:tcW w:w="68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2"/>
              </w:rPr>
              <w:t>30%</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1,413</w:t>
            </w:r>
          </w:p>
        </w:tc>
        <w:tc>
          <w:tcPr>
            <w:tcW w:w="720" w:type="dxa"/>
            <w:vAlign w:val="bottom"/>
            <w:shd w:val="clear" w:color="auto" w:fill="CCEEFF"/>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2"/>
              </w:rPr>
              <w:t>28%</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180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3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6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9"/>
              </w:rPr>
              <w:t>(4)%</w:t>
            </w:r>
          </w:p>
        </w:tc>
        <w:tc>
          <w:tcPr>
            <w:tcW w:w="2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i w:val="1"/>
                <w:iCs w:val="1"/>
                <w:color w:val="auto"/>
                <w:w w:val="99"/>
              </w:rPr>
              <w:t>(4)%</w:t>
            </w:r>
          </w:p>
        </w:tc>
        <w:tc>
          <w:tcPr>
            <w:tcW w:w="120" w:type="dxa"/>
            <w:vAlign w:val="bottom"/>
          </w:tcPr>
          <w:p>
            <w:pPr>
              <w:spacing w:after="0"/>
              <w:rPr>
                <w:sz w:val="11"/>
                <w:szCs w:val="11"/>
                <w:color w:val="auto"/>
              </w:rPr>
            </w:pP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5"/>
        </w:trPr>
        <w:tc>
          <w:tcPr>
            <w:tcW w:w="5420" w:type="dxa"/>
            <w:vAlign w:val="bottom"/>
            <w:tcBorders>
              <w:top w:val="single" w:sz="8" w:color="CCEEFF"/>
              <w:bottom w:val="single" w:sz="8" w:color="CCEEFF"/>
            </w:tcBorders>
            <w:gridSpan w:val="2"/>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b w:val="1"/>
                <w:bCs w:val="1"/>
                <w:color w:val="auto"/>
              </w:rPr>
              <w:t>Total real estate operating income (loss)</w:t>
            </w: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18%</w:t>
            </w:r>
          </w:p>
        </w:tc>
        <w:tc>
          <w:tcPr>
            <w:tcW w:w="220" w:type="dxa"/>
            <w:vAlign w:val="bottom"/>
            <w:tcBorders>
              <w:top w:val="single" w:sz="8" w:color="auto"/>
              <w:bottom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20" w:type="dxa"/>
            <w:vAlign w:val="bottom"/>
            <w:tcBorders>
              <w:top w:val="single" w:sz="8" w:color="CCEEFF"/>
              <w:bottom w:val="single" w:sz="8" w:color="CCEEFF"/>
            </w:tcBorders>
            <w:shd w:val="clear" w:color="auto" w:fill="CCEEFF"/>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(12)%</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First Quarter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Real estate revenue for the quarter ended March 31, 2024, decreased by $0.1 million, to $4.9 million, compared to the same period in the prior year. This rent revenue decrease was primarily due to intercompany rent income loss from the sale of our Maitland property in the fourth quarter of 2023 and the third party and intercompany rent income loss from our Culver City headquarter building which was sold in February of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 Income/(Loss)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Real estate segment operating income for the quarter ended March 31, 2024 decreased by $0.1 million to $0.9 million, compared to $1.0 million in the same period in the prior year. This change was primarily due to the loss in income from the sales of our Culver City Office building in February 2024 and our Maitland property in August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Financing Strategy</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Prior to the COVID-19 pandemic, we used cash generated from operations and other excess cash to the extent not needed to fund capital investments contemplated by our business plan, to pay down our loans and credit facilities. This provided us with availability under our loan facilities for future use and thereby, reduced interest charges. On a periodic basis, we reviewed the maturities of our borrowing arrangements and negotiated renewals and extensions where necessary.</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However, disruptions to our cinema cash flow caused by the COVID-19 pandemic, government efforts to address the pandemic, and the resulting aftermath of the pandemic and those efforts have made it necessary for us to defer capital expenditures and to rely 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7" w:name="page38"/>
    <w:bookmarkEnd w:id="37"/>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borrowings and the proceeds of asset monetizations to cover our costs of operations, pay interest and pay down debt. Since March 31, 2020 we have paid down our institutional debt by $67.3 million.</w:t>
      </w:r>
    </w:p>
    <w:p>
      <w:pPr>
        <w:spacing w:after="0" w:line="1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bank loans with Bank of America, NAB, and Westpac require that our Company comply with certain covenants. Furthermore, our Company’s use of loan funds from NAB and Westpac is limited due to limitations on the expatriation of funds from Australia and New Zealand to the United States. We believe that our lenders understand that the current situation, relating to the COVID-19 pandemic, is not of our making, that we are doing everything that can reasonably be done, and that, generally speaking, our relationship with our lenders is good.</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While our Company believes that there will be recovery in the global cinema business, which was interrupted by the impacts of the 2023 Hollywood Strikes, we still face macroeconomic headwinds such as increased interest rates, inflation, supply chain issues and increased film rent, labor and operating costs, many of which are beyond our control. We are closely monitoring our debt maturity dates to arrange necessary amendments. As of March 31, 2024, we have debt of $41.9 million coming due in the next 12 months.</w:t>
      </w:r>
    </w:p>
    <w:p>
      <w:pPr>
        <w:spacing w:after="0" w:line="15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If our Company is unable to generate sufficient cash flow in the upcoming months, we will be required to adopt one or more alternatives, such as reducing, delaying or eliminating planned capital expenditures, monetizing additional assets, restructuring our debt and/or our lease obligations or finding additional sources of liquidity (such as additional borrowings). In February 2024, we sold our Culver City office building for $10.0 million. While we incurred a loss of $1.1 million, on the transaction, we were able to reduce debt by $8.4 million and to free up cash in the amount of $1.2 million which was used to support operational activities. Further, due to the scope and extent of office vacancies in Los Angeles County, we anticipate that we will be able to save approximately $1.5 million between now and the end of 2025 by moving to other premises. We listed as an asset held for sale our approximately 26.6-acre industrial property in Williamsport, Pennsylvania. This property was historically used as a rail yard, and, accordingly, has direct access to the area’s rail system. We carry the property on our books at a book value (the lower of cost or market, as opposed to fair market value) of $0.5 million. This asset was selected since, based on recent appraisals, we believe that it would free up amounts of cash and that it is unlikely that it would materially increase in value over the next three to five years without significant capital investment.</w:t>
      </w:r>
    </w:p>
    <w:p>
      <w:pPr>
        <w:spacing w:after="0" w:line="1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order to further bolster our liquidity and capital resources, our Board of Directors has directed management to review the Company’s real estate portfolio for potential assets to monetize. As of the date of this report, Management has received specific authorization from the Board to progress the monetization of our Cannon Park assets in Townsville, Queensland Australia. Management is also analyzing potential monetization strategies for certain of its real estate assets in New Zealand.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our borrowings, please refer to </w:t>
      </w:r>
      <w:r>
        <w:rPr>
          <w:rFonts w:ascii="Times New Roman" w:cs="Times New Roman" w:eastAsia="Times New Roman" w:hAnsi="Times New Roman"/>
          <w:sz w:val="18"/>
          <w:szCs w:val="18"/>
          <w:i w:val="1"/>
          <w:iCs w:val="1"/>
          <w:color w:val="auto"/>
        </w:rPr>
        <w:t>Part I – Financial Information, Item 1 – Notes to Consolidated Financial Statements-- Note 12</w:t>
      </w:r>
    </w:p>
    <w:p>
      <w:pPr>
        <w:spacing w:after="0" w:line="1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i w:val="1"/>
          <w:iCs w:val="1"/>
          <w:color w:val="auto"/>
        </w:rPr>
        <w:t>– Borrowings</w:t>
      </w:r>
      <w:r>
        <w:rPr>
          <w:rFonts w:ascii="Times New Roman" w:cs="Times New Roman" w:eastAsia="Times New Roman" w:hAnsi="Times New Roman"/>
          <w:sz w:val="18"/>
          <w:szCs w:val="18"/>
          <w:color w:val="auto"/>
        </w:rPr>
        <w:t>. For more information about our efforts to manage our liquidity issues, see</w:t>
      </w:r>
      <w:r>
        <w:rPr>
          <w:rFonts w:ascii="Times New Roman" w:cs="Times New Roman" w:eastAsia="Times New Roman" w:hAnsi="Times New Roman"/>
          <w:sz w:val="18"/>
          <w:szCs w:val="18"/>
          <w:i w:val="1"/>
          <w:iCs w:val="1"/>
          <w:color w:val="auto"/>
        </w:rPr>
        <w:t xml:space="preserve"> Part I- Financial Information, Item 1 – Notes to Consolidated Financial Statements – Note 3 – Impact of COVID-19 Pandemic, Artists Strike and Liquidity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three months ended March 31, 2024, and March 31, 2023, respectively, are discussed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10"/>
              <w:spacing w:after="0" w:line="189"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410"/>
              <w:spacing w:after="0" w:line="189" w:lineRule="exact"/>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(2,770)</w:t>
            </w:r>
          </w:p>
        </w:tc>
        <w:tc>
          <w:tcPr>
            <w:tcW w:w="1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(11,552)</w:t>
            </w: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7,637</w:t>
            </w:r>
          </w:p>
        </w:tc>
        <w:tc>
          <w:tcPr>
            <w:tcW w:w="400" w:type="dxa"/>
            <w:vAlign w:val="bottom"/>
          </w:tcPr>
          <w:p>
            <w:pPr>
              <w:spacing w:after="0"/>
              <w:rPr>
                <w:sz w:val="16"/>
                <w:szCs w:val="16"/>
                <w:color w:val="auto"/>
              </w:rPr>
            </w:pPr>
          </w:p>
        </w:tc>
        <w:tc>
          <w:tcPr>
            <w:tcW w:w="11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(1,527)</w:t>
            </w:r>
          </w:p>
        </w:tc>
        <w:tc>
          <w:tcPr>
            <w:tcW w:w="114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&gt;100</w:t>
            </w:r>
          </w:p>
        </w:tc>
        <w:tc>
          <w:tcPr>
            <w:tcW w:w="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(11,225)</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(1,409)</w:t>
            </w:r>
          </w:p>
        </w:tc>
        <w:tc>
          <w:tcPr>
            <w:tcW w:w="114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(&gt;100)</w:t>
            </w:r>
          </w:p>
        </w:tc>
        <w:tc>
          <w:tcPr>
            <w:tcW w:w="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Effect of exchange rate on cash and restricted cash</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(751)</w:t>
            </w:r>
          </w:p>
        </w:tc>
        <w:tc>
          <w:tcPr>
            <w:tcW w:w="400" w:type="dxa"/>
            <w:vAlign w:val="bottom"/>
          </w:tcPr>
          <w:p>
            <w:pPr>
              <w:spacing w:after="0"/>
              <w:rPr>
                <w:sz w:val="16"/>
                <w:szCs w:val="16"/>
                <w:color w:val="auto"/>
              </w:rPr>
            </w:pPr>
          </w:p>
        </w:tc>
        <w:tc>
          <w:tcPr>
            <w:tcW w:w="11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(114)</w:t>
            </w:r>
          </w:p>
        </w:tc>
        <w:tc>
          <w:tcPr>
            <w:tcW w:w="11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(&gt;100)</w:t>
            </w:r>
          </w:p>
        </w:tc>
        <w:tc>
          <w:tcPr>
            <w:tcW w:w="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300" w:type="dxa"/>
            <w:vAlign w:val="bottom"/>
            <w:tcBorders>
              <w:top w:val="single" w:sz="8" w:color="auto"/>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(7,109)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(14,602)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2024, decreased by $8.8 million, to $2.8 million compared to cash used in the same period of prior year of $11.6 million. This was primarily driven by an operating liabilities increase from accounts payable.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Cash provided in investing activities during the three months ended March 31, 2024 was $7.6 million compared to cash used in the same period of prior year of $1.5 million. This was due to $9.7 million proceeds from sale of the Culver City office building in February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2024, increased by $9.8 million, to $11.2 million compared to cash used in the same period of prior year due to the payoff of the Citizens loan of $8.4 million, following the sale of the Culver City office building, and additional $0.3 million debt repayment that was required when our Bank of America Credit Facility was amended on March 27, 2024.</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changes in our total available resources (cash and borrowings), debt-to-equity ratio, working capital, and other relevant information addressing our liquidity for the first quarter ended March 31, 2024, and preceding four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and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6"/>
              </w:rPr>
              <w:t>the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3‎-Months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080" w:type="dxa"/>
            <w:vAlign w:val="bottom"/>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14"/>
                <w:szCs w:val="14"/>
                <w:color w:val="auto"/>
              </w:rPr>
            </w:pPr>
          </w:p>
        </w:tc>
        <w:tc>
          <w:tcPr>
            <w:tcW w:w="130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4"/>
                <w:szCs w:val="14"/>
                <w:color w:val="auto"/>
              </w:rPr>
            </w:pPr>
          </w:p>
        </w:tc>
        <w:tc>
          <w:tcPr>
            <w:tcW w:w="880" w:type="dxa"/>
            <w:vAlign w:val="bottom"/>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2"/>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Total Resources (cash and borrowings)</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 (unrestricted)</w:t>
            </w:r>
          </w:p>
        </w:tc>
        <w:tc>
          <w:tcPr>
            <w:tcW w:w="7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29,947</w:t>
            </w:r>
          </w:p>
        </w:tc>
        <w:tc>
          <w:tcPr>
            <w:tcW w:w="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83,251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26,826</w:t>
            </w:r>
          </w:p>
        </w:tc>
        <w:tc>
          <w:tcPr>
            <w:tcW w:w="0" w:type="dxa"/>
            <w:vAlign w:val="bottom"/>
          </w:tcPr>
          <w:p>
            <w:pPr>
              <w:spacing w:after="0"/>
              <w:rPr>
                <w:sz w:val="1"/>
                <w:szCs w:val="1"/>
                <w:color w:val="auto"/>
              </w:rPr>
            </w:pPr>
          </w:p>
        </w:tc>
      </w:tr>
      <w:tr>
        <w:trPr>
          <w:trHeight w:val="162"/>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Unused borrowing facility</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15,490</w:t>
            </w: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Restricted for capital projects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9,377</w:t>
            </w:r>
          </w:p>
        </w:tc>
        <w:tc>
          <w:tcPr>
            <w:tcW w:w="0" w:type="dxa"/>
            <w:vAlign w:val="bottom"/>
          </w:tcPr>
          <w:p>
            <w:pPr>
              <w:spacing w:after="0"/>
              <w:rPr>
                <w:sz w:val="1"/>
                <w:szCs w:val="1"/>
                <w:color w:val="auto"/>
              </w:rPr>
            </w:pPr>
          </w:p>
        </w:tc>
      </w:tr>
      <w:tr>
        <w:trPr>
          <w:trHeight w:val="162"/>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Unrestricted capacity</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6,113</w:t>
            </w: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resources at period end</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95,251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42,316</w:t>
            </w:r>
          </w:p>
        </w:tc>
        <w:tc>
          <w:tcPr>
            <w:tcW w:w="0" w:type="dxa"/>
            <w:vAlign w:val="bottom"/>
          </w:tcPr>
          <w:p>
            <w:pPr>
              <w:spacing w:after="0"/>
              <w:rPr>
                <w:sz w:val="1"/>
                <w:szCs w:val="1"/>
                <w:color w:val="auto"/>
              </w:rPr>
            </w:pPr>
          </w:p>
        </w:tc>
      </w:tr>
      <w:tr>
        <w:trPr>
          <w:trHeight w:val="162"/>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unrestricted resources at period end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83,251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32,939</w:t>
            </w: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Debt-to-Equity Ratio</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contractual facility</w:t>
            </w:r>
          </w:p>
        </w:tc>
        <w:tc>
          <w:tcPr>
            <w:tcW w:w="7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203,510</w:t>
            </w:r>
          </w:p>
        </w:tc>
        <w:tc>
          <w:tcPr>
            <w:tcW w:w="10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218,159</w:t>
            </w:r>
          </w:p>
        </w:tc>
        <w:tc>
          <w:tcPr>
            <w:tcW w:w="1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227,633</w:t>
            </w:r>
          </w:p>
        </w:tc>
        <w:tc>
          <w:tcPr>
            <w:tcW w:w="40" w:type="dxa"/>
            <w:vAlign w:val="bottom"/>
          </w:tcPr>
          <w:p>
            <w:pPr>
              <w:spacing w:after="0"/>
              <w:rPr>
                <w:sz w:val="14"/>
                <w:szCs w:val="14"/>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248,948</w:t>
            </w:r>
          </w:p>
        </w:tc>
        <w:tc>
          <w:tcPr>
            <w:tcW w:w="100" w:type="dxa"/>
            <w:vAlign w:val="bottom"/>
          </w:tcPr>
          <w:p>
            <w:pPr>
              <w:spacing w:after="0"/>
              <w:rPr>
                <w:sz w:val="14"/>
                <w:szCs w:val="14"/>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300,449</w:t>
            </w: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debt (gross of deferred financing costs)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215,633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236,948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284,959</w:t>
            </w:r>
          </w:p>
        </w:tc>
        <w:tc>
          <w:tcPr>
            <w:tcW w:w="0" w:type="dxa"/>
            <w:vAlign w:val="bottom"/>
          </w:tcPr>
          <w:p>
            <w:pPr>
              <w:spacing w:after="0"/>
              <w:rPr>
                <w:sz w:val="1"/>
                <w:szCs w:val="1"/>
                <w:color w:val="auto"/>
              </w:rPr>
            </w:pPr>
          </w:p>
        </w:tc>
      </w:tr>
      <w:tr>
        <w:trPr>
          <w:trHeight w:val="162"/>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Current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42,299</w:t>
            </w: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Non-current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153,794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177,607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224,888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242,660</w:t>
            </w:r>
          </w:p>
        </w:tc>
        <w:tc>
          <w:tcPr>
            <w:tcW w:w="0" w:type="dxa"/>
            <w:vAlign w:val="bottom"/>
          </w:tcPr>
          <w:p>
            <w:pPr>
              <w:spacing w:after="0"/>
              <w:rPr>
                <w:sz w:val="1"/>
                <w:szCs w:val="1"/>
                <w:color w:val="auto"/>
              </w:rPr>
            </w:pPr>
          </w:p>
        </w:tc>
      </w:tr>
      <w:tr>
        <w:trPr>
          <w:trHeight w:val="162"/>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book equity</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105,060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81,173</w:t>
            </w:r>
          </w:p>
        </w:tc>
        <w:tc>
          <w:tcPr>
            <w:tcW w:w="0" w:type="dxa"/>
            <w:vAlign w:val="bottom"/>
          </w:tcPr>
          <w:p>
            <w:pPr>
              <w:spacing w:after="0"/>
              <w:rPr>
                <w:sz w:val="1"/>
                <w:szCs w:val="1"/>
                <w:color w:val="auto"/>
              </w:rPr>
            </w:pPr>
          </w:p>
        </w:tc>
      </w:tr>
      <w:tr>
        <w:trPr>
          <w:trHeight w:val="162"/>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Debt-to-equity ratio</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Working Capital</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120"/>
              <w:spacing w:after="0" w:line="202" w:lineRule="exact"/>
              <w:rPr>
                <w:sz w:val="20"/>
                <w:szCs w:val="20"/>
                <w:color w:val="auto"/>
              </w:rPr>
            </w:pPr>
            <w:r>
              <w:rPr>
                <w:rFonts w:ascii="Times New Roman" w:cs="Times New Roman" w:eastAsia="Times New Roman" w:hAnsi="Times New Roman"/>
                <w:sz w:val="14"/>
                <w:szCs w:val="14"/>
                <w:color w:val="auto"/>
              </w:rPr>
              <w:t>Working capital (deficit)</w:t>
            </w:r>
            <w:r>
              <w:rPr>
                <w:rFonts w:ascii="Times New Roman" w:cs="Times New Roman" w:eastAsia="Times New Roman" w:hAnsi="Times New Roman"/>
                <w:sz w:val="23"/>
                <w:szCs w:val="23"/>
                <w:color w:val="auto"/>
                <w:vertAlign w:val="superscript"/>
              </w:rPr>
              <w:t>(1)</w:t>
            </w:r>
          </w:p>
        </w:tc>
        <w:tc>
          <w:tcPr>
            <w:tcW w:w="7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(114,566)</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(88,373)</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(74,152)</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(6,673)</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(64,140)</w:t>
            </w: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ratio</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 (including acquisitions)</w:t>
            </w:r>
          </w:p>
        </w:tc>
        <w:tc>
          <w:tcPr>
            <w:tcW w:w="7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9,780</w:t>
            </w:r>
          </w:p>
        </w:tc>
        <w:tc>
          <w:tcPr>
            <w:tcW w:w="40" w:type="dxa"/>
            <w:vAlign w:val="bottom"/>
          </w:tcPr>
          <w:p>
            <w:pPr>
              <w:spacing w:after="0"/>
              <w:rPr>
                <w:sz w:val="16"/>
                <w:szCs w:val="16"/>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14,428</w:t>
            </w:r>
          </w:p>
        </w:tc>
        <w:tc>
          <w:tcPr>
            <w:tcW w:w="100" w:type="dxa"/>
            <w:vAlign w:val="bottom"/>
          </w:tcPr>
          <w:p>
            <w:pPr>
              <w:spacing w:after="0"/>
              <w:rPr>
                <w:sz w:val="16"/>
                <w:szCs w:val="16"/>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16,759</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working capital is reported as a deficit, as we receive revenue from our cinema business ahead of the time that we have to pay our associated liabilities. We use the money we receive to pay down our borrowings in the first instance.</w:t>
      </w:r>
    </w:p>
    <w:p>
      <w:pPr>
        <w:spacing w:after="0" w:line="1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31, 2024, we had $7.5 million in unrestricted cash and cash equivalents compared to $12.9 million on December 31, 2023. On March 31, 2024, our total outstanding borrowings were $195.7 million compared to $210.3 million on December 31, 2023.</w:t>
      </w:r>
    </w:p>
    <w:p>
      <w:pPr>
        <w:spacing w:after="0" w:line="20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We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maturities and scheduled principal repayments of our recorded contractual obligations and certain of our commitments and contingencies, either recorded or off-balance sheet, as of March 31,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30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Debt</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31,928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74,091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61,327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167,346</w:t>
            </w:r>
          </w:p>
        </w:tc>
      </w:tr>
      <w:tr>
        <w:trPr>
          <w:trHeight w:val="162"/>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 including imputed interest</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30,740</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28,928</w:t>
            </w:r>
          </w:p>
        </w:tc>
        <w:tc>
          <w:tcPr>
            <w:tcW w:w="2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26,990</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24,215</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21,433</w:t>
            </w:r>
          </w:p>
        </w:tc>
        <w:tc>
          <w:tcPr>
            <w:tcW w:w="14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116,048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248,354</w:t>
            </w:r>
          </w:p>
        </w:tc>
      </w:tr>
      <w:tr>
        <w:trPr>
          <w:trHeight w:val="162"/>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 including imputed interest</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03"/>
        </w:trPr>
        <w:tc>
          <w:tcPr>
            <w:tcW w:w="320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Subordinated debt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393</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27,913</w:t>
            </w:r>
          </w:p>
        </w:tc>
        <w:tc>
          <w:tcPr>
            <w:tcW w:w="2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28,306</w:t>
            </w:r>
          </w:p>
        </w:tc>
      </w:tr>
      <w:tr>
        <w:trPr>
          <w:trHeight w:val="162"/>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Pension liability</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392</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547</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576</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607</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638</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w:t>
            </w:r>
          </w:p>
        </w:tc>
      </w:tr>
      <w:tr>
        <w:trPr>
          <w:trHeight w:val="162"/>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on pension liability</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121</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137</w:t>
            </w:r>
          </w:p>
        </w:tc>
        <w:tc>
          <w:tcPr>
            <w:tcW w:w="2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r>
      <w:tr>
        <w:trPr>
          <w:trHeight w:val="203"/>
        </w:trPr>
        <w:tc>
          <w:tcPr>
            <w:tcW w:w="32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Estimated interest on debt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13,327</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10,479</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5,228</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1,311</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30,345</w:t>
            </w:r>
          </w:p>
        </w:tc>
      </w:tr>
      <w:tr>
        <w:trPr>
          <w:trHeight w:val="203"/>
        </w:trPr>
        <w:tc>
          <w:tcPr>
            <w:tcW w:w="320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Village East purchase option</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5,900</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5,900</w:t>
            </w:r>
          </w:p>
        </w:tc>
      </w:tr>
      <w:tr>
        <w:trPr>
          <w:trHeight w:val="163"/>
        </w:trPr>
        <w:tc>
          <w:tcPr>
            <w:tcW w:w="320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82,844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114,217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94,229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54,123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22,116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116,502</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484,031</w:t>
            </w:r>
          </w:p>
        </w:tc>
      </w:tr>
    </w:tbl>
    <w:p>
      <w:pPr>
        <w:spacing w:after="0" w:line="7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is presented gross of deferred financing costs.</w:t>
      </w:r>
    </w:p>
    <w:p>
      <w:pPr>
        <w:spacing w:after="0" w:line="17" w:lineRule="exact"/>
        <w:rPr>
          <w:rFonts w:ascii="Times New Roman" w:cs="Times New Roman" w:eastAsia="Times New Roman" w:hAnsi="Times New Roman"/>
          <w:sz w:val="14"/>
          <w:szCs w:val="14"/>
          <w:color w:val="auto"/>
        </w:rPr>
      </w:pPr>
    </w:p>
    <w:p>
      <w:pPr>
        <w:ind w:left="660" w:hanging="328"/>
        <w:spacing w:after="0" w:line="221"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interest on debt is based on the anticipated loan balances for future periods and current applicable interest rates.</w:t>
      </w:r>
    </w:p>
    <w:p>
      <w:pPr>
        <w:ind w:left="660" w:hanging="328"/>
        <w:spacing w:after="0" w:line="258"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lease liability of the option associated with the ground lease purchase of the Village East Cinema, which on November 4, 2022, we modified to settle on or before July 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involved in certain legal proceedings and, as required, have accrued estimates of probable and estimable losses for the resolution of these claims.</w:t>
      </w:r>
    </w:p>
    <w:p>
      <w:pPr>
        <w:spacing w:after="0" w:line="1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Part I, Item 3 – Legal Proceedings</w:t>
      </w:r>
      <w:r>
        <w:rPr>
          <w:rFonts w:ascii="Times New Roman" w:cs="Times New Roman" w:eastAsia="Times New Roman" w:hAnsi="Times New Roman"/>
          <w:sz w:val="18"/>
          <w:szCs w:val="18"/>
          <w:color w:val="auto"/>
        </w:rPr>
        <w:t xml:space="preserve"> in our 2023 Form 10-K for more information. There have been no material changes to our litigation since our 2023 Form 10-K, except as set forth in </w:t>
      </w:r>
      <w:r>
        <w:rPr>
          <w:rFonts w:ascii="Times New Roman" w:cs="Times New Roman" w:eastAsia="Times New Roman" w:hAnsi="Times New Roman"/>
          <w:sz w:val="18"/>
          <w:szCs w:val="18"/>
          <w:i w:val="1"/>
          <w:iCs w:val="1"/>
          <w:color w:val="auto"/>
        </w:rPr>
        <w:t>Notes to Consolidated Financial Statements-- Note 15 – Commitments and Contingencies</w:t>
      </w:r>
      <w:r>
        <w:rPr>
          <w:rFonts w:ascii="Times New Roman" w:cs="Times New Roman" w:eastAsia="Times New Roman" w:hAnsi="Times New Roman"/>
          <w:sz w:val="18"/>
          <w:szCs w:val="18"/>
          <w:color w:val="auto"/>
        </w:rPr>
        <w:t xml:space="preserve"> included herein in </w:t>
      </w:r>
      <w:r>
        <w:rPr>
          <w:rFonts w:ascii="Times New Roman" w:cs="Times New Roman" w:eastAsia="Times New Roman" w:hAnsi="Times New Roman"/>
          <w:sz w:val="18"/>
          <w:szCs w:val="18"/>
          <w:i w:val="1"/>
          <w:iCs w:val="1"/>
          <w:color w:val="auto"/>
        </w:rPr>
        <w:t xml:space="preserve">Part I – Financial Information, Item 1 – Financial Statements </w:t>
      </w:r>
      <w:r>
        <w:rPr>
          <w:rFonts w:ascii="Times New Roman" w:cs="Times New Roman" w:eastAsia="Times New Roman" w:hAnsi="Times New Roman"/>
          <w:sz w:val="18"/>
          <w:szCs w:val="18"/>
          <w:color w:val="auto"/>
        </w:rPr>
        <w:t>on this Quarterly Report on Form 10-Q. This note sets out our litigation accounting policies.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application of the following accounting policies requires significant judgments and estimates in the preparation of our Consolidated Financial Statements and hence, are critical to our business operations and the understanding of our financial results:</w:t>
      </w:r>
    </w:p>
    <w:p>
      <w:pPr>
        <w:spacing w:after="0" w:line="120" w:lineRule="exact"/>
        <w:rPr>
          <w:sz w:val="20"/>
          <w:szCs w:val="20"/>
          <w:color w:val="auto"/>
        </w:rPr>
      </w:pPr>
    </w:p>
    <w:p>
      <w:pPr>
        <w:jc w:val="both"/>
        <w:ind w:left="660" w:hanging="4"/>
        <w:spacing w:after="0" w:line="233" w:lineRule="auto"/>
        <w:tabs>
          <w:tab w:leader="none" w:pos="898"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 of Long-lived Assets (other than Goodwill and Intangible Assets with indefinite lives) – </w:t>
      </w:r>
      <w:r>
        <w:rPr>
          <w:rFonts w:ascii="Times New Roman" w:cs="Times New Roman" w:eastAsia="Times New Roman" w:hAnsi="Times New Roman"/>
          <w:sz w:val="18"/>
          <w:szCs w:val="18"/>
          <w:color w:val="auto"/>
        </w:rPr>
        <w:t>we evaluate our long-lived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were recorded for long-lived and finite-lived intangible assets for the quarter ended March 31, 2024.</w:t>
      </w:r>
    </w:p>
    <w:p>
      <w:pPr>
        <w:spacing w:after="0" w:line="183" w:lineRule="exact"/>
        <w:rPr>
          <w:sz w:val="20"/>
          <w:szCs w:val="20"/>
          <w:color w:val="auto"/>
        </w:rPr>
      </w:pPr>
    </w:p>
    <w:p>
      <w:pPr>
        <w:jc w:val="both"/>
        <w:ind w:left="660" w:hanging="4"/>
        <w:spacing w:after="0" w:line="233" w:lineRule="auto"/>
        <w:tabs>
          <w:tab w:leader="none" w:pos="958"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 of Goodwill and Intangible Assets with indefinite lives – </w:t>
      </w:r>
      <w:r>
        <w:rPr>
          <w:rFonts w:ascii="Times New Roman" w:cs="Times New Roman" w:eastAsia="Times New Roman" w:hAnsi="Times New Roman"/>
          <w:sz w:val="18"/>
          <w:szCs w:val="18"/>
          <w:color w:val="auto"/>
        </w:rPr>
        <w:t>goodwill and intangible assets with indefinite useful lives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were recorded for goodwill and indefinite-lived intangible assets for the quarter ended March 31, 2024.</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Our statements in this quarterly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our expectations regarding renovations and addition of cinemas; our beliefs</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regarding the impact of the 2023 Hollywood Strikes on the cinema business; our expected operating results, including our ultimate return to pre-pandemic type results; our expectations regarding the recovery and future of the cinema exhibition industry, including the strength of movies anticipated for release in the future; our expectations regarding people returning to our theatres and continuing to use</w:t>
      </w:r>
    </w:p>
    <w:p>
      <w:pPr>
        <w:spacing w:after="0" w:line="2" w:lineRule="exact"/>
        <w:rPr>
          <w:sz w:val="20"/>
          <w:szCs w:val="20"/>
          <w:color w:val="auto"/>
        </w:rPr>
      </w:pPr>
    </w:p>
    <w:p>
      <w:pPr>
        <w:ind w:right="1600"/>
        <w:spacing w:after="0" w:line="219" w:lineRule="auto"/>
        <w:rPr>
          <w:sz w:val="20"/>
          <w:szCs w:val="20"/>
          <w:color w:val="auto"/>
        </w:rPr>
      </w:pPr>
      <w:r>
        <w:rPr>
          <w:rFonts w:ascii="Times New Roman" w:cs="Times New Roman" w:eastAsia="Times New Roman" w:hAnsi="Times New Roman"/>
          <w:sz w:val="18"/>
          <w:szCs w:val="18"/>
          <w:color w:val="auto"/>
        </w:rPr>
        <w:t>discretionary funds on entertainment outside of the home; our beliefs regarding the impact of our cinema-anchored real estate developments; our beliefs regarding the success of our diversified business strategy; our beliefs regarding the appeal of the Courtenay</w:t>
      </w:r>
    </w:p>
    <w:p>
      <w:pPr>
        <w:jc w:val="both"/>
        <w:spacing w:after="0" w:line="231" w:lineRule="auto"/>
        <w:rPr>
          <w:sz w:val="20"/>
          <w:szCs w:val="20"/>
          <w:color w:val="auto"/>
        </w:rPr>
      </w:pPr>
      <w:r>
        <w:rPr>
          <w:rFonts w:ascii="Times New Roman" w:cs="Times New Roman" w:eastAsia="Times New Roman" w:hAnsi="Times New Roman"/>
          <w:sz w:val="18"/>
          <w:szCs w:val="18"/>
          <w:color w:val="auto"/>
        </w:rPr>
        <w:t>Central site and the neighboring areas in Wellington; our expectations regarding the impact of streaming and mobile video services on the cinema exhibition industry; our belief regarding the attractiveness of 44 Union Square to potential tenants and ability to lease space on acceptable terms; our expectations regarding the timing of the completions our renovation projects; our expectations regarding the effects of our enhanced F&amp;B offerings on our operating results; our expectations regarding credit facility covenant compliance and our ability to continue to obtain necessary covenant waivers and loan extensions on terms acceptable to us; and our expectations of our liquidity and capital requirements and the allocation of funds.</w:t>
      </w:r>
    </w:p>
    <w:p>
      <w:pPr>
        <w:spacing w:after="0" w:line="15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respect to our cinema and live theatre operations: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reduced consumer demand due to inflationary pressures;</w:t>
      </w:r>
    </w:p>
    <w:p>
      <w:pPr>
        <w:spacing w:after="0" w:line="7" w:lineRule="exact"/>
        <w:rPr>
          <w:sz w:val="20"/>
          <w:szCs w:val="20"/>
          <w:color w:val="auto"/>
        </w:rPr>
      </w:pPr>
    </w:p>
    <w:p>
      <w:pPr>
        <w:ind w:left="980" w:right="20"/>
        <w:spacing w:after="0" w:line="227" w:lineRule="auto"/>
        <w:rPr>
          <w:sz w:val="20"/>
          <w:szCs w:val="20"/>
          <w:color w:val="auto"/>
        </w:rPr>
      </w:pPr>
      <w:r>
        <w:rPr>
          <w:rFonts w:ascii="Times New Roman" w:cs="Times New Roman" w:eastAsia="Times New Roman" w:hAnsi="Times New Roman"/>
          <w:sz w:val="18"/>
          <w:szCs w:val="18"/>
          <w:color w:val="auto"/>
        </w:rPr>
        <w:t>the adverse continuing effects of external events of past pandemic and strikes on our Company’s results from operations, liquidity, cash flows, financial condition, and access to credit markets;</w:t>
      </w:r>
    </w:p>
    <w:p>
      <w:pPr>
        <w:spacing w:after="0" w:line="1"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the adverse continuing impact of the COVID-19 pandemic or other contagious diseases on short-term and/or long-term entertainment, leisure and discretionary spending habits and practices of our patrons;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decrease in attendance at our cinemas and theatres due to (i) increased ticket prices (ii) a change in consumer</w:t>
      </w:r>
    </w:p>
    <w:p>
      <w:pPr>
        <w:spacing w:after="0" w:line="7"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color w:val="auto"/>
        </w:rPr>
        <w:t>behavior in favor of alternative forms or mediums of entertainment, and (iii) limited availability of wide release content;</w:t>
      </w:r>
    </w:p>
    <w:p>
      <w:pPr>
        <w:ind w:left="980"/>
        <w:spacing w:after="0" w:line="234" w:lineRule="auto"/>
        <w:rPr>
          <w:sz w:val="20"/>
          <w:szCs w:val="20"/>
          <w:color w:val="auto"/>
        </w:rPr>
      </w:pPr>
      <w:r>
        <w:rPr>
          <w:rFonts w:ascii="Times New Roman" w:cs="Times New Roman" w:eastAsia="Times New Roman" w:hAnsi="Times New Roman"/>
          <w:sz w:val="18"/>
          <w:szCs w:val="18"/>
          <w:color w:val="auto"/>
        </w:rPr>
        <w:t>reduction in operating margins (or negative operating margins) due to (i) decreased attendance, (ii) limited availability of wide release content, and (iii.) increased operating expenses;</w:t>
      </w:r>
    </w:p>
    <w:p>
      <w:pPr>
        <w:spacing w:after="0" w:line="1" w:lineRule="exact"/>
        <w:rPr>
          <w:sz w:val="20"/>
          <w:szCs w:val="20"/>
          <w:color w:val="auto"/>
        </w:rPr>
      </w:pPr>
    </w:p>
    <w:p>
      <w:pPr>
        <w:ind w:left="980"/>
        <w:spacing w:after="0" w:line="226" w:lineRule="auto"/>
        <w:rPr>
          <w:sz w:val="20"/>
          <w:szCs w:val="20"/>
          <w:color w:val="auto"/>
        </w:rPr>
      </w:pPr>
      <w:r>
        <w:rPr>
          <w:rFonts w:ascii="Times New Roman" w:cs="Times New Roman" w:eastAsia="Times New Roman" w:hAnsi="Times New Roman"/>
          <w:sz w:val="18"/>
          <w:szCs w:val="18"/>
          <w:color w:val="auto"/>
        </w:rPr>
        <w:t>unwillingness of employees to report to work due to the adverse effects of contagious diseases or to otherwise conduct work under any revised work environment protocols;</w:t>
      </w:r>
    </w:p>
    <w:p>
      <w:pPr>
        <w:spacing w:after="0" w:line="1" w:lineRule="exact"/>
        <w:rPr>
          <w:sz w:val="20"/>
          <w:szCs w:val="20"/>
          <w:color w:val="auto"/>
        </w:rPr>
      </w:pPr>
    </w:p>
    <w:p>
      <w:pPr>
        <w:ind w:left="980" w:right="1800"/>
        <w:spacing w:after="0" w:line="256" w:lineRule="auto"/>
        <w:rPr>
          <w:sz w:val="20"/>
          <w:szCs w:val="20"/>
          <w:color w:val="auto"/>
        </w:rPr>
      </w:pPr>
      <w:r>
        <w:rPr>
          <w:rFonts w:ascii="Times New Roman" w:cs="Times New Roman" w:eastAsia="Times New Roman" w:hAnsi="Times New Roman"/>
          <w:sz w:val="17"/>
          <w:szCs w:val="17"/>
          <w:color w:val="auto"/>
        </w:rPr>
        <w:t>competition from cinema operators who have successfully used debtor laws to reduce their debt and/or rent exposure; the uncertainty as to the scope and extent of our government's responses to future outbreak of infectious diseases;</w:t>
      </w:r>
    </w:p>
    <w:p>
      <w:pPr>
        <w:spacing w:after="0" w:line="1"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the disruptions or reductions in the utilization of entertainment, shopping, and hospitality venues, as well as in our operations, due to pandemics, epidemics, widespread health emergencies, or outbreaks of infectious diseases or to changing consumer tastes and habits;</w:t>
      </w:r>
    </w:p>
    <w:p>
      <w:pPr>
        <w:spacing w:after="0" w:line="1" w:lineRule="exact"/>
        <w:rPr>
          <w:sz w:val="20"/>
          <w:szCs w:val="20"/>
          <w:color w:val="auto"/>
        </w:rPr>
      </w:pPr>
    </w:p>
    <w:p>
      <w:pPr>
        <w:jc w:val="both"/>
        <w:ind w:left="980"/>
        <w:spacing w:after="0" w:line="241" w:lineRule="auto"/>
        <w:rPr>
          <w:sz w:val="20"/>
          <w:szCs w:val="20"/>
          <w:color w:val="auto"/>
        </w:rPr>
      </w:pPr>
      <w:r>
        <w:rPr>
          <w:rFonts w:ascii="Times New Roman" w:cs="Times New Roman" w:eastAsia="Times New Roman" w:hAnsi="Times New Roman"/>
          <w:sz w:val="18"/>
          <w:szCs w:val="18"/>
          <w:color w:val="auto"/>
        </w:rPr>
        <w:t>the number and attractiveness to moviegoers of the films released in future periods, and potential changes in release dates for motion pictures; the lack of availability of films in the short- or long-term as a result of (i) major film distributors releasing scheduled films on alternative</w:t>
      </w:r>
    </w:p>
    <w:p>
      <w:pPr>
        <w:spacing w:after="0" w:line="1" w:lineRule="exact"/>
        <w:rPr>
          <w:sz w:val="20"/>
          <w:szCs w:val="20"/>
          <w:color w:val="auto"/>
        </w:rPr>
      </w:pPr>
    </w:p>
    <w:p>
      <w:pPr>
        <w:jc w:val="both"/>
        <w:ind w:left="980" w:right="3480"/>
        <w:spacing w:after="0" w:line="235" w:lineRule="auto"/>
        <w:rPr>
          <w:sz w:val="20"/>
          <w:szCs w:val="20"/>
          <w:color w:val="auto"/>
        </w:rPr>
      </w:pPr>
      <w:r>
        <w:rPr>
          <w:rFonts w:ascii="Times New Roman" w:cs="Times New Roman" w:eastAsia="Times New Roman" w:hAnsi="Times New Roman"/>
          <w:sz w:val="18"/>
          <w:szCs w:val="18"/>
          <w:color w:val="auto"/>
        </w:rPr>
        <w:t>channels or (ii) disruptions of film production or (iii) rescheduling of movie releases into later periods, as most currently experienced due to the implications of the 2023 Hollywood Strikes; the amount of money spent by film distributors to promote their motion pictures;</w:t>
      </w:r>
    </w:p>
    <w:p>
      <w:pPr>
        <w:spacing w:after="0" w:line="1" w:lineRule="exact"/>
        <w:rPr>
          <w:sz w:val="20"/>
          <w:szCs w:val="20"/>
          <w:color w:val="auto"/>
        </w:rPr>
      </w:pPr>
    </w:p>
    <w:p>
      <w:pPr>
        <w:ind w:left="660"/>
        <w:spacing w:after="0" w:line="234" w:lineRule="auto"/>
        <w:rPr>
          <w:sz w:val="20"/>
          <w:szCs w:val="20"/>
          <w:color w:val="auto"/>
        </w:rPr>
      </w:pPr>
      <w:r>
        <w:rPr>
          <w:rFonts w:ascii="Times New Roman" w:cs="Times New Roman" w:eastAsia="Times New Roman" w:hAnsi="Times New Roman"/>
          <w:sz w:val="18"/>
          <w:szCs w:val="18"/>
          <w:color w:val="auto"/>
        </w:rPr>
        <w:t>the licensing fees and terms required by film distributors from motion picture exhibitors in order to exhibit their films;</w:t>
      </w:r>
    </w:p>
    <w:p>
      <w:pPr>
        <w:ind w:left="980" w:right="20"/>
        <w:spacing w:after="0" w:line="234" w:lineRule="auto"/>
        <w:rPr>
          <w:sz w:val="20"/>
          <w:szCs w:val="20"/>
          <w:color w:val="auto"/>
        </w:rPr>
      </w:pPr>
      <w:r>
        <w:rPr>
          <w:rFonts w:ascii="Times New Roman" w:cs="Times New Roman" w:eastAsia="Times New Roman" w:hAnsi="Times New Roman"/>
          <w:sz w:val="18"/>
          <w:szCs w:val="18"/>
          <w:color w:val="auto"/>
        </w:rPr>
        <w:t>the comparative attractiveness of motion pictures as a source of entertainment and willingness and/or ability of consumers (i) to spend their dollars on entertainment and (ii) to spend their entertainment dollars on movies in an outside-the-home environment;</w:t>
      </w:r>
    </w:p>
    <w:p>
      <w:pPr>
        <w:spacing w:after="0" w:line="1" w:lineRule="exact"/>
        <w:rPr>
          <w:sz w:val="20"/>
          <w:szCs w:val="20"/>
          <w:color w:val="auto"/>
        </w:rPr>
      </w:pPr>
    </w:p>
    <w:p>
      <w:pPr>
        <w:ind w:left="980"/>
        <w:spacing w:after="0" w:line="229" w:lineRule="auto"/>
        <w:rPr>
          <w:sz w:val="20"/>
          <w:szCs w:val="20"/>
          <w:color w:val="auto"/>
        </w:rPr>
      </w:pPr>
      <w:r>
        <w:rPr>
          <w:rFonts w:ascii="Times New Roman" w:cs="Times New Roman" w:eastAsia="Times New Roman" w:hAnsi="Times New Roman"/>
          <w:sz w:val="18"/>
          <w:szCs w:val="18"/>
          <w:color w:val="auto"/>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video on demand platforms, and Blu-ray/DVD rentals and sales;</w:t>
      </w:r>
    </w:p>
    <w:p>
      <w:pPr>
        <w:spacing w:after="0" w:line="1" w:lineRule="exact"/>
        <w:rPr>
          <w:sz w:val="20"/>
          <w:szCs w:val="20"/>
          <w:color w:val="auto"/>
        </w:rPr>
      </w:pPr>
    </w:p>
    <w:p>
      <w:pPr>
        <w:ind w:left="980" w:right="940"/>
        <w:spacing w:after="0" w:line="242" w:lineRule="auto"/>
        <w:rPr>
          <w:sz w:val="20"/>
          <w:szCs w:val="20"/>
          <w:color w:val="auto"/>
        </w:rPr>
      </w:pPr>
      <w:r>
        <w:rPr>
          <w:rFonts w:ascii="Times New Roman" w:cs="Times New Roman" w:eastAsia="Times New Roman" w:hAnsi="Times New Roman"/>
          <w:sz w:val="18"/>
          <w:szCs w:val="18"/>
          <w:color w:val="auto"/>
        </w:rPr>
        <w:t>our ability to continue to obtain, to the extent needed, waivers or other financial accommodations from our lenders and landlords; the impact of major movies being released directly to one of the multitudes of streaming services available;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of certain competitors’ subscription or advance pay programs;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18"/>
          <w:szCs w:val="18"/>
          <w:color w:val="auto"/>
        </w:rPr>
        <w:t>the failure of our new initiatives to gain significant customer acceptance and use or to generate meaningful profits;</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cost and impact of improvements to our cinemas, such as improved seating, enhanced F&amp;B offerings, and other improvements;</w:t>
      </w:r>
    </w:p>
    <w:p>
      <w:pPr>
        <w:spacing w:after="0" w:line="7" w:lineRule="exact"/>
        <w:rPr>
          <w:sz w:val="20"/>
          <w:szCs w:val="20"/>
          <w:color w:val="auto"/>
        </w:rPr>
      </w:pPr>
    </w:p>
    <w:p>
      <w:pPr>
        <w:ind w:left="640"/>
        <w:spacing w:after="0" w:line="227" w:lineRule="auto"/>
        <w:rPr>
          <w:sz w:val="20"/>
          <w:szCs w:val="20"/>
          <w:color w:val="auto"/>
        </w:rPr>
      </w:pPr>
      <w:r>
        <w:rPr>
          <w:rFonts w:ascii="Times New Roman" w:cs="Times New Roman" w:eastAsia="Times New Roman" w:hAnsi="Times New Roman"/>
          <w:sz w:val="18"/>
          <w:szCs w:val="18"/>
          <w:color w:val="auto"/>
        </w:rPr>
        <w:t>the ability to negotiate favorable rent abatement, deferral and repayment terms with our landlords (which may include lenders who have foreclosed on the collateral held by our prior landlords);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disruptions during cinema improvements;</w:t>
      </w:r>
    </w:p>
    <w:p>
      <w:pPr>
        <w:spacing w:after="0" w:line="7" w:lineRule="exact"/>
        <w:rPr>
          <w:sz w:val="20"/>
          <w:szCs w:val="20"/>
          <w:color w:val="auto"/>
        </w:rPr>
      </w:pPr>
    </w:p>
    <w:p>
      <w:pPr>
        <w:ind w:left="320"/>
        <w:spacing w:after="0" w:line="236" w:lineRule="auto"/>
        <w:rPr>
          <w:sz w:val="20"/>
          <w:szCs w:val="20"/>
          <w:color w:val="auto"/>
        </w:rPr>
      </w:pPr>
      <w:r>
        <w:rPr>
          <w:rFonts w:ascii="Times New Roman" w:cs="Times New Roman" w:eastAsia="Times New Roman" w:hAnsi="Times New Roman"/>
          <w:sz w:val="18"/>
          <w:szCs w:val="18"/>
          <w:color w:val="auto"/>
        </w:rPr>
        <w:t>in the U.S., the impact of the termination and phase-out of the so called “Paramount Decree;”</w:t>
      </w:r>
    </w:p>
    <w:p>
      <w:pPr>
        <w:ind w:left="320"/>
        <w:spacing w:after="0"/>
        <w:rPr>
          <w:sz w:val="20"/>
          <w:szCs w:val="20"/>
          <w:color w:val="auto"/>
        </w:rPr>
      </w:pPr>
      <w:r>
        <w:rPr>
          <w:rFonts w:ascii="Times New Roman" w:cs="Times New Roman" w:eastAsia="Times New Roman" w:hAnsi="Times New Roman"/>
          <w:sz w:val="18"/>
          <w:szCs w:val="18"/>
          <w:color w:val="auto"/>
        </w:rPr>
        <w:t>the risk of damage and/or disruption of cinema businesses from earthquakes as certain of our operations are in geologically active areas;</w:t>
      </w:r>
    </w:p>
    <w:p>
      <w:pPr>
        <w:spacing w:after="0" w:line="7" w:lineRule="exact"/>
        <w:rPr>
          <w:sz w:val="20"/>
          <w:szCs w:val="20"/>
          <w:color w:val="auto"/>
        </w:rPr>
      </w:pPr>
    </w:p>
    <w:p>
      <w:pPr>
        <w:jc w:val="both"/>
        <w:ind w:left="640" w:right="20"/>
        <w:spacing w:after="0" w:line="249" w:lineRule="auto"/>
        <w:rPr>
          <w:sz w:val="20"/>
          <w:szCs w:val="20"/>
          <w:color w:val="auto"/>
        </w:rPr>
      </w:pPr>
      <w:r>
        <w:rPr>
          <w:rFonts w:ascii="Times New Roman" w:cs="Times New Roman" w:eastAsia="Times New Roman" w:hAnsi="Times New Roman"/>
          <w:sz w:val="17"/>
          <w:szCs w:val="17"/>
          <w:color w:val="auto"/>
        </w:rPr>
        <w:t>the impact of protests, demonstrations, and civil unrest on, among other things, government policy, consumer willingness to go to the movies; labor shortages and increased labor costs related to such shortages and to increasingly costly labor laws and regulations applicable to part time</w:t>
      </w:r>
    </w:p>
    <w:p>
      <w:pPr>
        <w:spacing w:after="0" w:line="1" w:lineRule="exact"/>
        <w:rPr>
          <w:sz w:val="20"/>
          <w:szCs w:val="20"/>
          <w:color w:val="auto"/>
        </w:rPr>
      </w:pPr>
    </w:p>
    <w:p>
      <w:pPr>
        <w:ind w:left="640" w:right="2460"/>
        <w:spacing w:after="0" w:line="234" w:lineRule="auto"/>
        <w:rPr>
          <w:sz w:val="20"/>
          <w:szCs w:val="20"/>
          <w:color w:val="auto"/>
        </w:rPr>
      </w:pPr>
      <w:r>
        <w:rPr>
          <w:rFonts w:ascii="Times New Roman" w:cs="Times New Roman" w:eastAsia="Times New Roman" w:hAnsi="Times New Roman"/>
          <w:sz w:val="18"/>
          <w:szCs w:val="18"/>
          <w:color w:val="auto"/>
        </w:rPr>
        <w:t>non-exempt workers. Disruptions in film supply and film marketing due to the 2023 Hollywood Strikes; and competition from a newly restructured Regal, which may have lower occupancy costs than we do.</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with respect to our real estate development and operation activities:</w:t>
      </w:r>
    </w:p>
    <w:p>
      <w:pPr>
        <w:ind w:left="640" w:right="3380"/>
        <w:spacing w:after="0" w:line="242" w:lineRule="auto"/>
        <w:rPr>
          <w:sz w:val="20"/>
          <w:szCs w:val="20"/>
          <w:color w:val="auto"/>
        </w:rPr>
      </w:pPr>
      <w:r>
        <w:rPr>
          <w:rFonts w:ascii="Times New Roman" w:cs="Times New Roman" w:eastAsia="Times New Roman" w:hAnsi="Times New Roman"/>
          <w:sz w:val="18"/>
          <w:szCs w:val="18"/>
          <w:color w:val="auto"/>
        </w:rPr>
        <w:t>the increased costs of wages, supplies, services and other development expenses from inflation; the impact on tenants from inflationary pressures;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uncertainty as to governmental responses to infectious diseases;</w:t>
      </w:r>
    </w:p>
    <w:p>
      <w:pPr>
        <w:spacing w:after="0" w:line="7" w:lineRule="exact"/>
        <w:rPr>
          <w:sz w:val="20"/>
          <w:szCs w:val="20"/>
          <w:color w:val="auto"/>
        </w:rPr>
      </w:pPr>
    </w:p>
    <w:p>
      <w:pPr>
        <w:ind w:left="640" w:right="1100"/>
        <w:spacing w:after="0" w:line="235" w:lineRule="auto"/>
        <w:rPr>
          <w:sz w:val="20"/>
          <w:szCs w:val="20"/>
          <w:color w:val="auto"/>
        </w:rPr>
      </w:pPr>
      <w:r>
        <w:rPr>
          <w:rFonts w:ascii="Times New Roman" w:cs="Times New Roman" w:eastAsia="Times New Roman" w:hAnsi="Times New Roman"/>
          <w:sz w:val="18"/>
          <w:szCs w:val="18"/>
          <w:color w:val="auto"/>
        </w:rPr>
        <w:t>the rental rates and capitalization rates applicable to the markets in which we operate and the quality of properties that we own; the ability to negotiate and execute lease agreements with material tenants;</w:t>
      </w:r>
    </w:p>
    <w:p>
      <w:pPr>
        <w:spacing w:after="0" w:line="1" w:lineRule="exact"/>
        <w:rPr>
          <w:sz w:val="20"/>
          <w:szCs w:val="20"/>
          <w:color w:val="auto"/>
        </w:rPr>
      </w:pPr>
    </w:p>
    <w:p>
      <w:pPr>
        <w:ind w:left="640" w:right="680"/>
        <w:spacing w:after="0" w:line="242" w:lineRule="auto"/>
        <w:rPr>
          <w:sz w:val="20"/>
          <w:szCs w:val="20"/>
          <w:color w:val="auto"/>
        </w:rPr>
      </w:pPr>
      <w:r>
        <w:rPr>
          <w:rFonts w:ascii="Times New Roman" w:cs="Times New Roman" w:eastAsia="Times New Roman" w:hAnsi="Times New Roman"/>
          <w:sz w:val="18"/>
          <w:szCs w:val="18"/>
          <w:color w:val="auto"/>
        </w:rPr>
        <w:t>the extent to which we can obtain on a timely basis the various land use approvals and entitlements needed to develop our properties; the risks and uncertainties associated with real estate development;</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availability and cost of labor and materials;</w:t>
      </w:r>
    </w:p>
    <w:p>
      <w:pPr>
        <w:spacing w:after="0" w:line="7" w:lineRule="exact"/>
        <w:rPr>
          <w:sz w:val="20"/>
          <w:szCs w:val="20"/>
          <w:color w:val="auto"/>
        </w:rPr>
      </w:pPr>
    </w:p>
    <w:p>
      <w:pPr>
        <w:ind w:left="320"/>
        <w:spacing w:after="0" w:line="236" w:lineRule="auto"/>
        <w:rPr>
          <w:sz w:val="20"/>
          <w:szCs w:val="20"/>
          <w:color w:val="auto"/>
        </w:rPr>
      </w:pPr>
      <w:r>
        <w:rPr>
          <w:rFonts w:ascii="Times New Roman" w:cs="Times New Roman" w:eastAsia="Times New Roman" w:hAnsi="Times New Roman"/>
          <w:sz w:val="18"/>
          <w:szCs w:val="18"/>
          <w:color w:val="auto"/>
        </w:rPr>
        <w:t>the ability to obtain all permits to construct improvements;</w:t>
      </w:r>
    </w:p>
    <w:p>
      <w:pPr>
        <w:ind w:left="640" w:right="920"/>
        <w:spacing w:after="0" w:line="241" w:lineRule="auto"/>
        <w:rPr>
          <w:sz w:val="20"/>
          <w:szCs w:val="20"/>
          <w:color w:val="auto"/>
        </w:rPr>
      </w:pPr>
      <w:r>
        <w:rPr>
          <w:rFonts w:ascii="Times New Roman" w:cs="Times New Roman" w:eastAsia="Times New Roman" w:hAnsi="Times New Roman"/>
          <w:sz w:val="18"/>
          <w:szCs w:val="18"/>
          <w:color w:val="auto"/>
        </w:rPr>
        <w:t>the ability to finance improvements, including, but not limited to increased cost of borrowing and tightened lender credit policies; the disruptions to our business from construction and/or renovations;</w:t>
      </w:r>
    </w:p>
    <w:p>
      <w:pPr>
        <w:spacing w:after="0" w:line="1" w:lineRule="exact"/>
        <w:rPr>
          <w:sz w:val="20"/>
          <w:szCs w:val="20"/>
          <w:color w:val="auto"/>
        </w:rPr>
      </w:pPr>
    </w:p>
    <w:p>
      <w:pPr>
        <w:ind w:left="640" w:right="4780"/>
        <w:spacing w:after="0" w:line="242" w:lineRule="auto"/>
        <w:rPr>
          <w:sz w:val="20"/>
          <w:szCs w:val="20"/>
          <w:color w:val="auto"/>
        </w:rPr>
      </w:pPr>
      <w:r>
        <w:rPr>
          <w:rFonts w:ascii="Times New Roman" w:cs="Times New Roman" w:eastAsia="Times New Roman" w:hAnsi="Times New Roman"/>
          <w:sz w:val="18"/>
          <w:szCs w:val="18"/>
          <w:color w:val="auto"/>
        </w:rPr>
        <w:t>the possibility of construction delays, work stoppage, and material shortage; competition for development sites and tenants;</w:t>
      </w:r>
    </w:p>
    <w:p>
      <w:pPr>
        <w:spacing w:after="0" w:line="1" w:lineRule="exact"/>
        <w:rPr>
          <w:sz w:val="20"/>
          <w:szCs w:val="20"/>
          <w:color w:val="auto"/>
        </w:rPr>
      </w:pPr>
    </w:p>
    <w:p>
      <w:pPr>
        <w:ind w:left="320"/>
        <w:spacing w:after="0" w:line="236" w:lineRule="auto"/>
        <w:rPr>
          <w:sz w:val="20"/>
          <w:szCs w:val="20"/>
          <w:color w:val="auto"/>
        </w:rPr>
      </w:pPr>
      <w:r>
        <w:rPr>
          <w:rFonts w:ascii="Times New Roman" w:cs="Times New Roman" w:eastAsia="Times New Roman" w:hAnsi="Times New Roman"/>
          <w:sz w:val="18"/>
          <w:szCs w:val="18"/>
          <w:color w:val="auto"/>
        </w:rPr>
        <w:t>environmental remediation issues;</w:t>
      </w:r>
    </w:p>
    <w:p>
      <w:pPr>
        <w:ind w:left="640"/>
        <w:spacing w:after="0" w:line="234" w:lineRule="auto"/>
        <w:rPr>
          <w:sz w:val="20"/>
          <w:szCs w:val="20"/>
          <w:color w:val="auto"/>
        </w:rPr>
      </w:pPr>
      <w:r>
        <w:rPr>
          <w:rFonts w:ascii="Times New Roman" w:cs="Times New Roman" w:eastAsia="Times New Roman" w:hAnsi="Times New Roman"/>
          <w:sz w:val="18"/>
          <w:szCs w:val="18"/>
          <w:color w:val="auto"/>
        </w:rPr>
        <w:t>the extent to which our cinemas can continue to serve as an anchor tenant that will, in turn, be influenced by the same factors as will influence generally the results of our cinema operations;</w:t>
      </w:r>
    </w:p>
    <w:p>
      <w:pPr>
        <w:spacing w:after="0" w:line="1" w:lineRule="exact"/>
        <w:rPr>
          <w:sz w:val="20"/>
          <w:szCs w:val="20"/>
          <w:color w:val="auto"/>
        </w:rPr>
      </w:pPr>
    </w:p>
    <w:p>
      <w:pPr>
        <w:ind w:left="640" w:right="2340"/>
        <w:spacing w:after="0" w:line="241" w:lineRule="auto"/>
        <w:rPr>
          <w:sz w:val="20"/>
          <w:szCs w:val="20"/>
          <w:color w:val="auto"/>
        </w:rPr>
      </w:pPr>
      <w:r>
        <w:rPr>
          <w:rFonts w:ascii="Times New Roman" w:cs="Times New Roman" w:eastAsia="Times New Roman" w:hAnsi="Times New Roman"/>
          <w:sz w:val="18"/>
          <w:szCs w:val="18"/>
          <w:color w:val="auto"/>
        </w:rPr>
        <w:t>the increased depreciation and amortization expense as construction projects transition to leased real property; the ability to negotiate and execute joint venture opportunities and relationships;</w:t>
      </w:r>
    </w:p>
    <w:p>
      <w:pPr>
        <w:spacing w:after="0" w:line="1" w:lineRule="exact"/>
        <w:rPr>
          <w:sz w:val="20"/>
          <w:szCs w:val="20"/>
          <w:color w:val="auto"/>
        </w:rPr>
      </w:pPr>
    </w:p>
    <w:p>
      <w:pPr>
        <w:ind w:left="320"/>
        <w:spacing w:after="0" w:line="236" w:lineRule="auto"/>
        <w:rPr>
          <w:sz w:val="20"/>
          <w:szCs w:val="20"/>
          <w:color w:val="auto"/>
        </w:rPr>
      </w:pPr>
      <w:r>
        <w:rPr>
          <w:rFonts w:ascii="Times New Roman" w:cs="Times New Roman" w:eastAsia="Times New Roman" w:hAnsi="Times New Roman"/>
          <w:sz w:val="18"/>
          <w:szCs w:val="18"/>
          <w:color w:val="auto"/>
        </w:rPr>
        <w:t>the risk of damage and/or disruption of real estate businesses from earthquakes as certain of our operations are in geologically active areas;</w:t>
      </w:r>
    </w:p>
    <w:p>
      <w:pPr>
        <w:ind w:left="320"/>
        <w:spacing w:after="0" w:line="234" w:lineRule="auto"/>
        <w:rPr>
          <w:sz w:val="20"/>
          <w:szCs w:val="20"/>
          <w:color w:val="auto"/>
        </w:rPr>
      </w:pPr>
      <w:r>
        <w:rPr>
          <w:rFonts w:ascii="Times New Roman" w:cs="Times New Roman" w:eastAsia="Times New Roman" w:hAnsi="Times New Roman"/>
          <w:sz w:val="18"/>
          <w:szCs w:val="18"/>
          <w:color w:val="auto"/>
        </w:rPr>
        <w:t>the disruptions or reductions in the utilization of entertainment, shopping and hospitality venues, as well as in our operations, due to</w:t>
      </w:r>
    </w:p>
    <w:p>
      <w:pPr>
        <w:ind w:left="640" w:right="320"/>
        <w:spacing w:after="0" w:line="243" w:lineRule="auto"/>
        <w:rPr>
          <w:sz w:val="20"/>
          <w:szCs w:val="20"/>
          <w:color w:val="auto"/>
        </w:rPr>
      </w:pPr>
      <w:r>
        <w:rPr>
          <w:rFonts w:ascii="Times New Roman" w:cs="Times New Roman" w:eastAsia="Times New Roman" w:hAnsi="Times New Roman"/>
          <w:sz w:val="18"/>
          <w:szCs w:val="18"/>
          <w:color w:val="auto"/>
        </w:rPr>
        <w:t>pandemics, epidemics, widespread health emergencies, or outbreaks of infectious diseases, or to changing consumer tastes and habits; and the impact of protests, demonstrations, and civil unrest on government policy, consumer willingness to visit shopping centers.</w:t>
      </w:r>
    </w:p>
    <w:p>
      <w:pPr>
        <w:spacing w:after="0" w:line="154" w:lineRule="exact"/>
        <w:rPr>
          <w:sz w:val="20"/>
          <w:szCs w:val="20"/>
          <w:color w:val="auto"/>
        </w:rPr>
      </w:pPr>
    </w:p>
    <w:p>
      <w:pPr>
        <w:ind w:left="320"/>
        <w:spacing w:after="0" w:line="238" w:lineRule="auto"/>
        <w:rPr>
          <w:sz w:val="20"/>
          <w:szCs w:val="20"/>
          <w:color w:val="auto"/>
        </w:rPr>
      </w:pPr>
      <w:r>
        <w:rPr>
          <w:rFonts w:ascii="Times New Roman" w:cs="Times New Roman" w:eastAsia="Times New Roman" w:hAnsi="Times New Roman"/>
          <w:sz w:val="18"/>
          <w:szCs w:val="18"/>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ind w:left="640" w:right="460"/>
        <w:spacing w:after="0" w:line="242" w:lineRule="auto"/>
        <w:rPr>
          <w:sz w:val="20"/>
          <w:szCs w:val="20"/>
          <w:color w:val="auto"/>
        </w:rPr>
      </w:pPr>
      <w:r>
        <w:rPr>
          <w:rFonts w:ascii="Times New Roman" w:cs="Times New Roman" w:eastAsia="Times New Roman" w:hAnsi="Times New Roman"/>
          <w:sz w:val="18"/>
          <w:szCs w:val="18"/>
          <w:color w:val="auto"/>
        </w:rPr>
        <w:t>our ability to renew, extend, renegotiate or replace our loans that mature in 2024 and beyond, and the impact of increasing interest rates; our ability to grow our Company and provide value to our stockholders;</w:t>
      </w:r>
    </w:p>
    <w:p>
      <w:pPr>
        <w:spacing w:after="0" w:line="1" w:lineRule="exact"/>
        <w:rPr>
          <w:sz w:val="20"/>
          <w:szCs w:val="20"/>
          <w:color w:val="auto"/>
        </w:rPr>
      </w:pPr>
    </w:p>
    <w:p>
      <w:pPr>
        <w:ind w:left="640" w:right="20"/>
        <w:spacing w:after="0" w:line="234" w:lineRule="auto"/>
        <w:rPr>
          <w:sz w:val="20"/>
          <w:szCs w:val="20"/>
          <w:color w:val="auto"/>
        </w:rPr>
      </w:pPr>
      <w:r>
        <w:rPr>
          <w:rFonts w:ascii="Times New Roman" w:cs="Times New Roman" w:eastAsia="Times New Roman" w:hAnsi="Times New Roman"/>
          <w:sz w:val="18"/>
          <w:szCs w:val="18"/>
          <w:color w:val="auto"/>
        </w:rPr>
        <w:t>our ongoing access to borrowed funds and capital and the interest that must be paid on that debt and the returns that must be paid on such capital, and our ability to borrow funds to help cover the cessation of cash flows we experienced during the COVID-19 pandemic;</w:t>
      </w:r>
    </w:p>
    <w:p>
      <w:pPr>
        <w:spacing w:after="0" w:line="1" w:lineRule="exact"/>
        <w:rPr>
          <w:sz w:val="20"/>
          <w:szCs w:val="20"/>
          <w:color w:val="auto"/>
        </w:rPr>
      </w:pPr>
    </w:p>
    <w:p>
      <w:pPr>
        <w:ind w:left="640" w:right="4140"/>
        <w:spacing w:after="0" w:line="241" w:lineRule="auto"/>
        <w:rPr>
          <w:sz w:val="20"/>
          <w:szCs w:val="20"/>
          <w:color w:val="auto"/>
        </w:rPr>
      </w:pPr>
      <w:r>
        <w:rPr>
          <w:rFonts w:ascii="Times New Roman" w:cs="Times New Roman" w:eastAsia="Times New Roman" w:hAnsi="Times New Roman"/>
          <w:sz w:val="18"/>
          <w:szCs w:val="18"/>
          <w:color w:val="auto"/>
        </w:rPr>
        <w:t>our ability to reallocate funds among jurisdictions to meet short-term liquidity needs; the relative values of the currency used in the countries in which we operate;</w:t>
      </w:r>
    </w:p>
    <w:p>
      <w:pPr>
        <w:spacing w:after="0" w:line="1" w:lineRule="exact"/>
        <w:rPr>
          <w:sz w:val="20"/>
          <w:szCs w:val="20"/>
          <w:color w:val="auto"/>
        </w:rPr>
      </w:pPr>
    </w:p>
    <w:p>
      <w:pPr>
        <w:ind w:left="640"/>
        <w:spacing w:after="0" w:line="245" w:lineRule="auto"/>
        <w:rPr>
          <w:sz w:val="20"/>
          <w:szCs w:val="20"/>
          <w:color w:val="auto"/>
        </w:rPr>
      </w:pPr>
      <w:r>
        <w:rPr>
          <w:rFonts w:ascii="Times New Roman" w:cs="Times New Roman" w:eastAsia="Times New Roman" w:hAnsi="Times New Roman"/>
          <w:sz w:val="18"/>
          <w:szCs w:val="18"/>
          <w:color w:val="auto"/>
        </w:rPr>
        <w:t>changes in government regulation, including by way of example, the costs resulting from the requirements of Sarbanes-Oxley and other increased regulatory requirements;</w:t>
      </w:r>
    </w:p>
    <w:p>
      <w:pPr>
        <w:spacing w:after="0" w:line="15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201930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499" w:right="339" w:bottom="1440" w:gutter="0" w:footer="0" w:header="0"/>
        </w:sectPr>
      </w:pPr>
    </w:p>
    <w:bookmarkStart w:id="42" w:name="page43"/>
    <w:bookmarkEnd w:id="42"/>
    <w:p>
      <w:pPr>
        <w:ind w:left="980" w:right="20"/>
        <w:spacing w:after="0" w:line="246" w:lineRule="auto"/>
        <w:rPr>
          <w:sz w:val="20"/>
          <w:szCs w:val="20"/>
          <w:color w:val="auto"/>
        </w:rPr>
      </w:pPr>
      <w:r>
        <w:rPr>
          <w:rFonts w:ascii="Times New Roman" w:cs="Times New Roman" w:eastAsia="Times New Roman" w:hAnsi="Times New Roman"/>
          <w:sz w:val="18"/>
          <w:szCs w:val="18"/>
          <w:color w:val="auto"/>
        </w:rPr>
        <w:t>our labor relations and costs of labor (including future government requirements with respect to minimum wages, shift scheduling, the use of consultants, pension liabilities, disability insurance and health coverage, and vacations and leave);</w:t>
      </w:r>
    </w:p>
    <w:p>
      <w:pPr>
        <w:ind w:left="980"/>
        <w:spacing w:after="0" w:line="226" w:lineRule="auto"/>
        <w:rPr>
          <w:sz w:val="20"/>
          <w:szCs w:val="20"/>
          <w:color w:val="auto"/>
        </w:rPr>
      </w:pPr>
      <w:r>
        <w:rPr>
          <w:rFonts w:ascii="Times New Roman" w:cs="Times New Roman" w:eastAsia="Times New Roman" w:hAnsi="Times New Roman"/>
          <w:sz w:val="18"/>
          <w:szCs w:val="18"/>
          <w:color w:val="auto"/>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spacing w:after="0" w:line="3" w:lineRule="exact"/>
        <w:rPr>
          <w:sz w:val="20"/>
          <w:szCs w:val="20"/>
          <w:color w:val="auto"/>
        </w:rPr>
      </w:pPr>
    </w:p>
    <w:p>
      <w:pPr>
        <w:ind w:left="980" w:right="860"/>
        <w:spacing w:after="0" w:line="242" w:lineRule="auto"/>
        <w:rPr>
          <w:sz w:val="20"/>
          <w:szCs w:val="20"/>
          <w:color w:val="auto"/>
        </w:rPr>
      </w:pPr>
      <w:r>
        <w:rPr>
          <w:rFonts w:ascii="Times New Roman" w:cs="Times New Roman" w:eastAsia="Times New Roman" w:hAnsi="Times New Roman"/>
          <w:sz w:val="18"/>
          <w:szCs w:val="18"/>
          <w:color w:val="auto"/>
        </w:rPr>
        <w:t>our exposure to cybersecurity risks, including misappropriation of customer information or other breaches of information security; the impact of future major outbreaks of contagious diseases;</w:t>
      </w:r>
    </w:p>
    <w:p>
      <w:pPr>
        <w:spacing w:after="0" w:line="1" w:lineRule="exact"/>
        <w:rPr>
          <w:sz w:val="20"/>
          <w:szCs w:val="20"/>
          <w:color w:val="auto"/>
        </w:rPr>
      </w:pPr>
    </w:p>
    <w:p>
      <w:pPr>
        <w:ind w:left="660"/>
        <w:spacing w:after="0" w:line="234" w:lineRule="auto"/>
        <w:rPr>
          <w:sz w:val="20"/>
          <w:szCs w:val="20"/>
          <w:color w:val="auto"/>
        </w:rPr>
      </w:pPr>
      <w:r>
        <w:rPr>
          <w:rFonts w:ascii="Times New Roman" w:cs="Times New Roman" w:eastAsia="Times New Roman" w:hAnsi="Times New Roman"/>
          <w:sz w:val="18"/>
          <w:szCs w:val="18"/>
          <w:color w:val="auto"/>
        </w:rPr>
        <w:t>the availability of employees and/or their ability or willingness to conduct work under any revised work environment protocols;</w:t>
      </w:r>
    </w:p>
    <w:p>
      <w:pPr>
        <w:ind w:left="980"/>
        <w:spacing w:after="0" w:line="234" w:lineRule="auto"/>
        <w:rPr>
          <w:sz w:val="20"/>
          <w:szCs w:val="20"/>
          <w:color w:val="auto"/>
        </w:rPr>
      </w:pPr>
      <w:r>
        <w:rPr>
          <w:rFonts w:ascii="Times New Roman" w:cs="Times New Roman" w:eastAsia="Times New Roman" w:hAnsi="Times New Roman"/>
          <w:sz w:val="18"/>
          <w:szCs w:val="18"/>
          <w:color w:val="auto"/>
        </w:rPr>
        <w:t>the increased risks related to employee matters, including increased employment litigation and claims relating to terminations or furloughs caused by cinema and ETC closures;</w:t>
      </w:r>
    </w:p>
    <w:p>
      <w:pPr>
        <w:spacing w:after="0" w:line="1" w:lineRule="exact"/>
        <w:rPr>
          <w:sz w:val="20"/>
          <w:szCs w:val="20"/>
          <w:color w:val="auto"/>
        </w:rPr>
      </w:pPr>
    </w:p>
    <w:p>
      <w:pPr>
        <w:ind w:left="980"/>
        <w:spacing w:after="0" w:line="229" w:lineRule="auto"/>
        <w:rPr>
          <w:sz w:val="20"/>
          <w:szCs w:val="20"/>
          <w:color w:val="auto"/>
        </w:rPr>
      </w:pPr>
      <w:r>
        <w:rPr>
          <w:rFonts w:ascii="Times New Roman" w:cs="Times New Roman" w:eastAsia="Times New Roman" w:hAnsi="Times New Roman"/>
          <w:sz w:val="18"/>
          <w:szCs w:val="18"/>
          <w:color w:val="auto"/>
        </w:rPr>
        <w:t>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spacing w:after="0" w:line="1"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our ability to comply with credit facility covenants and our ability to obtain necessary covenant waivers and necessary credit facility amendments;</w:t>
      </w:r>
    </w:p>
    <w:p>
      <w:pPr>
        <w:spacing w:after="0" w:line="1" w:lineRule="exact"/>
        <w:rPr>
          <w:sz w:val="20"/>
          <w:szCs w:val="20"/>
          <w:color w:val="auto"/>
        </w:rPr>
      </w:pPr>
    </w:p>
    <w:p>
      <w:pPr>
        <w:ind w:left="980" w:right="20"/>
        <w:spacing w:after="0" w:line="234" w:lineRule="auto"/>
        <w:rPr>
          <w:sz w:val="20"/>
          <w:szCs w:val="20"/>
          <w:color w:val="auto"/>
        </w:rPr>
      </w:pPr>
      <w:r>
        <w:rPr>
          <w:rFonts w:ascii="Times New Roman" w:cs="Times New Roman" w:eastAsia="Times New Roman" w:hAnsi="Times New Roman"/>
          <w:sz w:val="18"/>
          <w:szCs w:val="18"/>
          <w:color w:val="auto"/>
        </w:rPr>
        <w:t>changes in future effective tax rates and the results of currently ongoing and future potential audits by taxing authorities having jurisdiction over our various companies;</w:t>
      </w:r>
    </w:p>
    <w:p>
      <w:pPr>
        <w:spacing w:after="0" w:line="1" w:lineRule="exact"/>
        <w:rPr>
          <w:sz w:val="20"/>
          <w:szCs w:val="20"/>
          <w:color w:val="auto"/>
        </w:rPr>
      </w:pPr>
    </w:p>
    <w:p>
      <w:pPr>
        <w:ind w:left="980" w:right="4920"/>
        <w:spacing w:after="0" w:line="241" w:lineRule="auto"/>
        <w:rPr>
          <w:sz w:val="20"/>
          <w:szCs w:val="20"/>
          <w:color w:val="auto"/>
        </w:rPr>
      </w:pPr>
      <w:r>
        <w:rPr>
          <w:rFonts w:ascii="Times New Roman" w:cs="Times New Roman" w:eastAsia="Times New Roman" w:hAnsi="Times New Roman"/>
          <w:sz w:val="18"/>
          <w:szCs w:val="18"/>
          <w:color w:val="auto"/>
        </w:rPr>
        <w:t>inflationary pressures on labor and supplies, and supply chain disruptions; changes in applicable accounting policies and practices;</w:t>
      </w:r>
    </w:p>
    <w:p>
      <w:pPr>
        <w:spacing w:after="0" w:line="1" w:lineRule="exact"/>
        <w:rPr>
          <w:sz w:val="20"/>
          <w:szCs w:val="20"/>
          <w:color w:val="auto"/>
        </w:rPr>
      </w:pPr>
    </w:p>
    <w:p>
      <w:pPr>
        <w:ind w:left="980" w:right="20"/>
        <w:spacing w:after="0" w:line="227" w:lineRule="auto"/>
        <w:rPr>
          <w:sz w:val="20"/>
          <w:szCs w:val="20"/>
          <w:color w:val="auto"/>
        </w:rPr>
      </w:pPr>
      <w:r>
        <w:rPr>
          <w:rFonts w:ascii="Times New Roman" w:cs="Times New Roman" w:eastAsia="Times New Roman" w:hAnsi="Times New Roman"/>
          <w:sz w:val="18"/>
          <w:szCs w:val="18"/>
          <w:color w:val="auto"/>
        </w:rPr>
        <w:t>changes in future effective tax rates and the results of currently ongoing and future potential audits by taxing authorities having jurisdiction over our various companies;</w:t>
      </w:r>
    </w:p>
    <w:p>
      <w:pPr>
        <w:spacing w:after="0" w:line="1" w:lineRule="exact"/>
        <w:rPr>
          <w:sz w:val="20"/>
          <w:szCs w:val="20"/>
          <w:color w:val="auto"/>
        </w:rPr>
      </w:pPr>
    </w:p>
    <w:p>
      <w:pPr>
        <w:ind w:left="980" w:right="1000"/>
        <w:spacing w:after="0" w:line="258" w:lineRule="auto"/>
        <w:rPr>
          <w:sz w:val="20"/>
          <w:szCs w:val="20"/>
          <w:color w:val="auto"/>
        </w:rPr>
      </w:pPr>
      <w:r>
        <w:rPr>
          <w:rFonts w:ascii="Times New Roman" w:cs="Times New Roman" w:eastAsia="Times New Roman" w:hAnsi="Times New Roman"/>
          <w:sz w:val="18"/>
          <w:szCs w:val="18"/>
          <w:color w:val="auto"/>
        </w:rPr>
        <w:t>the impact of the conflict events occurring in Eastern Europe and the threats of potential conflicts in the Asia-Pacific region; and the impact of the conflict events occurring in Israel and the threats of other potential conflicts in the Middle East.</w:t>
      </w:r>
    </w:p>
    <w:p>
      <w:pPr>
        <w:spacing w:after="0" w:line="15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earthquakes, pandemics, and the extent to which consumers in our markets have the economic wherewithal to spend money on beyond-the-home entertainment. Refer to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 as well as the risk factors set forth in any other filings made under the Securities Act of 1934, as amended, including any of our Quarterly Reports on Form 10-Q, for more information.</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14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Forward-looking statements made by us in this quarter report are based only on information currently available to us and are current only as of the date of this Quarterly Report on Form 10-Q for the period ended March 31, 2024.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 Quantitative and Qualitative Disclosure about Market Risk</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SEC requires that registrants include information about potential effects of changes in currency exchange and interest rates in their filings. Several alternatives, all with some limitations, have been offered. We base the following discussion on a sensitivity analysis that models the effects of fluctuations in currency exchange rates and interest rates. This analysis is constrained by several factors, including the following:</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based on a single point in time; and</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does not include the effects of other complex market reactions that would arise from the changes modeled.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the results of such an analysis may be useful as a benchmark, they should not be viewed as forecasts.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While we report our earnings and net assets in U.S. dollars, substantial portions of our revenue and of our 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intercompany debt and our ability to service this debt could be adversely impacted by declines in the relative value of the Australian and New Zealand dollars compared to the U.S. dollar. Also, our use of local borrowings to mitigate the business risk of currency fluctuations has reduced our flexibility to move cash between jurisdictions. Set forth below is a chart of the exchange ratios between these two currencies in relation to US dollars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72200" cy="43802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2200"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recent periods, we have paid material intercompany dividends and have repaid intercompany debt, using these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4" w:name="page45"/>
    <w:bookmarkEnd w:id="44"/>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Australian dollar and/or the New Zealand dollar would effectively raise the overall cost of our borrowing and capital and make it more expensive to return funds from the United States to Australia and New Zealand.</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Company transacts business in Australia and New Zealand and is subject to risks associated with fluctuating foreign currency exchange rates. During the first quarter of 2024, the average Australian dollar and New Zealand dollar weakened against the U.S. dollar by 3.9% and 2.8%, respectively, compared to the same period prior year.</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At March 31, 2024, approximately 36.5% and 8.8% of our assets were invested in assets denominated in Australian dollars (Reading Entertainment Australia) and New Zealand dollars (Reading New Zealand), respectively, including approximately $5.0 million in cash and cash equivalents. At December 31, 2023, approximately 36.4% and 8.9% of our assets were invested in assets denominated in Australian dollars (Reading Entertainment Australia) and New Zealand dollars (Reading New Zealand), respectively, including approximately $5.8 million in cash and cash equivalents.</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policy in Australia and New Zealand is to match revenues and expenses, whenever possible, in local currencies. As a result, we have procured a majority of our expenses in Australia and New Zealand in local currencies. Despite this natural hedge, recent movements in foreign currencies and the current holding of U.S. dollars by certain Australian and New Zealand subsidiaries have had an effect on our current earnings. The effect of the translation adjustment on our assets and liabilities noted in our other comprehensive income was a decrease of $2.6 million for the quarter ended March 31, 2024, respectively. As we continue to progress our acquisition and development activities in Australia and New Zealand, no assurances can be given that the foreign currency effect on our earnings will not be material in the future.</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Historically, our policy has been to borrow in local currencies to finance the development and construction of our long-term assets in Australia and New Zealand. As a result, the borrowings in local currencies have provided somewhat of a natural hedge against the foreign currency exchange exposure. We have also historically paid management fees to the U.S. to cover a portion of our domestic overhead. The fluctuations of the Australian and New Zealand currencies, however, may impact our ability to rely on such funding for ongoing support of our domestic overhead.</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record unrealized foreign currency translation gains or losses that could materially affect our financial position. As of March 31, 2024, and December 31, 2023, the balance of cumulative foreign currency translation adjustments were approximately a ($3.6) million loss and ($1.0) million loss, respectively.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exposure to interest rate risk arises out of our long-term floating-rate borrowings. To manage the risk, we utilize interest rate derivative contracts to convert certain 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Historically, we maintain most of our cash and cash equivalent balances in short-term money market instruments with original maturities of three months or less. Due to the short-term nature of such investments, a change of 1% in short-term interest rates would not have a material effect on our financial condition. The negative spread between our borrowing costs and earned interest will exacerbate as we hold cash to provide a safety net to meet our expenses.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 combination of fixed and variable interest rate loans. In connection with our variable interest rate loans, a change of approximately 1% in short-term interest rates would have resulted in an approximate $488,000 increase or decrease in our quarterly interest expense.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discussion on market risks, please refer to </w:t>
      </w:r>
      <w:r>
        <w:rPr>
          <w:rFonts w:ascii="Times New Roman" w:cs="Times New Roman" w:eastAsia="Times New Roman" w:hAnsi="Times New Roman"/>
          <w:sz w:val="18"/>
          <w:szCs w:val="18"/>
          <w:i w:val="1"/>
          <w:iCs w:val="1"/>
          <w:color w:val="auto"/>
        </w:rPr>
        <w:t>Part I, Item 1A – Risk Factors</w:t>
      </w:r>
      <w:r>
        <w:rPr>
          <w:rFonts w:ascii="Times New Roman" w:cs="Times New Roman" w:eastAsia="Times New Roman" w:hAnsi="Times New Roman"/>
          <w:sz w:val="18"/>
          <w:szCs w:val="18"/>
          <w:color w:val="auto"/>
        </w:rPr>
        <w:t xml:space="preserve"> included on our 2023 Form 10-K.</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 Controls and Procedures</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Company’s reports filed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our management is required to apply its judgment in evaluating the cost-benefit relationship of possible controls and procedures.</w:t>
      </w:r>
    </w:p>
    <w:p>
      <w:pPr>
        <w:spacing w:after="0" w:line="14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Based upon that evaluation, we concluded that, as of March 31, 2024, our disclosure controls and procedures were effective.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(as defined in Rule 13a-15(f) and 15d-15(f) under the Exchange Act) that occurred during the first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 Legal Proceedings</w:t>
      </w:r>
    </w:p>
    <w:p>
      <w:pPr>
        <w:spacing w:after="0" w:line="18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 xml:space="preserve">The information required under Part II, Item 1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is incorporated by reference to the information contained in </w:t>
      </w:r>
      <w:r>
        <w:rPr>
          <w:rFonts w:ascii="Times New Roman" w:cs="Times New Roman" w:eastAsia="Times New Roman" w:hAnsi="Times New Roman"/>
          <w:sz w:val="18"/>
          <w:szCs w:val="18"/>
          <w:i w:val="1"/>
          <w:iCs w:val="1"/>
          <w:color w:val="auto"/>
        </w:rPr>
        <w:t>Notes to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Note 15 – Commitments and Contingencies </w:t>
      </w:r>
      <w:r>
        <w:rPr>
          <w:rFonts w:ascii="Times New Roman" w:cs="Times New Roman" w:eastAsia="Times New Roman" w:hAnsi="Times New Roman"/>
          <w:sz w:val="18"/>
          <w:szCs w:val="18"/>
          <w:color w:val="auto"/>
        </w:rPr>
        <w:t>included herein in</w:t>
      </w:r>
      <w:r>
        <w:rPr>
          <w:rFonts w:ascii="Times New Roman" w:cs="Times New Roman" w:eastAsia="Times New Roman" w:hAnsi="Times New Roman"/>
          <w:sz w:val="18"/>
          <w:szCs w:val="18"/>
          <w:i w:val="1"/>
          <w:iCs w:val="1"/>
          <w:color w:val="auto"/>
        </w:rPr>
        <w:t xml:space="preserve"> Part I – Financial Information, Item 1 – Financial Statements </w:t>
      </w:r>
      <w:r>
        <w:rPr>
          <w:rFonts w:ascii="Times New Roman" w:cs="Times New Roman" w:eastAsia="Times New Roman" w:hAnsi="Times New Roman"/>
          <w:sz w:val="18"/>
          <w:szCs w:val="18"/>
          <w:color w:val="auto"/>
        </w:rPr>
        <w:t>on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details on our legal proceedings, please refer to </w:t>
      </w:r>
      <w:r>
        <w:rPr>
          <w:rFonts w:ascii="Times New Roman" w:cs="Times New Roman" w:eastAsia="Times New Roman" w:hAnsi="Times New Roman"/>
          <w:sz w:val="18"/>
          <w:szCs w:val="18"/>
          <w:i w:val="1"/>
          <w:iCs w:val="1"/>
          <w:color w:val="auto"/>
        </w:rPr>
        <w:t>Part I, Item 3 – Legal Proceedings,</w:t>
      </w:r>
      <w:r>
        <w:rPr>
          <w:rFonts w:ascii="Times New Roman" w:cs="Times New Roman" w:eastAsia="Times New Roman" w:hAnsi="Times New Roman"/>
          <w:sz w:val="18"/>
          <w:szCs w:val="18"/>
          <w:color w:val="auto"/>
        </w:rPr>
        <w:t xml:space="preserve"> contained in our 2023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 Risk Factors</w:t>
      </w:r>
    </w:p>
    <w:p>
      <w:pPr>
        <w:spacing w:after="0" w:line="18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Item 1A of our 2022 Form 10-K other than the potential impact of the 2023 Hollywood Strikes on the cinema industry and our business.</w:t>
      </w:r>
    </w:p>
    <w:p>
      <w:pPr>
        <w:spacing w:after="0" w:line="14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We encourage investors to review the risks and uncertainties relating to our business disclosed under the heading Risk Factors or otherwise in the 2023 Form 10-K, as well as those contained in Part I – Forward-Looking Statements thereof, as revised or supplemented by our Quarterly Reports filed with the SEC since the filing of the 2023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 Mine Safety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 Other Information</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no director or officer of the Company adopted or terminated a “Rule 10b5-1 trading arrangement” or a “non-Rule 10b5-1 trading arrangement” (in each case, as defined in Item 408 of Regulation S-K).</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Item 6 – Exhibits</w:t>
            </w:r>
          </w:p>
        </w:tc>
        <w:tc>
          <w:tcPr>
            <w:tcW w:w="4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63"/>
        </w:trPr>
        <w:tc>
          <w:tcPr>
            <w:tcW w:w="1340" w:type="dxa"/>
            <w:vAlign w:val="bottom"/>
            <w:tcBorders>
              <w:top w:val="single" w:sz="8" w:color="auto"/>
            </w:tcBorders>
          </w:tcPr>
          <w:p>
            <w:pPr>
              <w:spacing w:after="0"/>
              <w:rPr>
                <w:sz w:val="22"/>
                <w:szCs w:val="22"/>
                <w:color w:val="auto"/>
              </w:rPr>
            </w:pPr>
          </w:p>
        </w:tc>
        <w:tc>
          <w:tcPr>
            <w:tcW w:w="4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162"/>
        </w:trPr>
        <w:tc>
          <w:tcPr>
            <w:tcW w:w="13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6"/>
                <w:szCs w:val="16"/>
                <w:color w:val="auto"/>
              </w:rPr>
              <w:t>†</w:t>
            </w:r>
          </w:p>
        </w:tc>
        <w:tc>
          <w:tcPr>
            <w:tcW w:w="9900" w:type="dxa"/>
            <w:vAlign w:val="bottom"/>
            <w:gridSpan w:val="6"/>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Waiver and Sixth Amendment to Second Amended and Restated Credit Agreement, dated March 27, 2024, between Consolidated</w:t>
            </w:r>
          </w:p>
        </w:tc>
      </w:tr>
      <w:tr>
        <w:trPr>
          <w:trHeight w:val="169"/>
        </w:trPr>
        <w:tc>
          <w:tcPr>
            <w:tcW w:w="1340" w:type="dxa"/>
            <w:vAlign w:val="bottom"/>
            <w:tcBorders>
              <w:top w:val="single" w:sz="8" w:color="CCEEFF"/>
              <w:right w:val="single" w:sz="8" w:color="CCEEFF"/>
            </w:tcBorders>
            <w:shd w:val="clear" w:color="auto" w:fill="CCEEFF"/>
          </w:tcPr>
          <w:p>
            <w:pPr>
              <w:spacing w:after="0"/>
              <w:rPr>
                <w:sz w:val="14"/>
                <w:szCs w:val="14"/>
                <w:color w:val="auto"/>
              </w:rPr>
            </w:pPr>
          </w:p>
        </w:tc>
        <w:tc>
          <w:tcPr>
            <w:tcW w:w="9400" w:type="dxa"/>
            <w:vAlign w:val="bottom"/>
            <w:tcBorders>
              <w:top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Amusement Holdings, LLC, and Bank of America, N.A.</w:t>
            </w:r>
          </w:p>
        </w:tc>
        <w:tc>
          <w:tcPr>
            <w:tcW w:w="500" w:type="dxa"/>
            <w:vAlign w:val="bottom"/>
            <w:tcBorders>
              <w:top w:val="single" w:sz="8" w:color="CCEEFF"/>
            </w:tcBorders>
            <w:shd w:val="clear" w:color="auto" w:fill="CCEEFF"/>
          </w:tcPr>
          <w:p>
            <w:pPr>
              <w:spacing w:after="0"/>
              <w:rPr>
                <w:sz w:val="14"/>
                <w:szCs w:val="14"/>
                <w:color w:val="auto"/>
              </w:rPr>
            </w:pPr>
          </w:p>
        </w:tc>
      </w:tr>
      <w:tr>
        <w:trPr>
          <w:trHeight w:val="21"/>
        </w:trPr>
        <w:tc>
          <w:tcPr>
            <w:tcW w:w="1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r>
      <w:tr>
        <w:trPr>
          <w:trHeight w:val="169"/>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31.1*</w:t>
            </w:r>
          </w:p>
        </w:tc>
        <w:tc>
          <w:tcPr>
            <w:tcW w:w="7760" w:type="dxa"/>
            <w:vAlign w:val="bottom"/>
            <w:tcBorders>
              <w:bottom w:val="single" w:sz="8" w:color="0000FF"/>
            </w:tcBorders>
            <w:gridSpan w:val="4"/>
          </w:tcPr>
          <w:p>
            <w:pPr>
              <w:spacing w:after="0" w:line="162" w:lineRule="exact"/>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Section 302 of the Sarbanes-Oxley Act of 2002.</w:t>
            </w:r>
          </w:p>
        </w:tc>
        <w:tc>
          <w:tcPr>
            <w:tcW w:w="2140" w:type="dxa"/>
            <w:vAlign w:val="bottom"/>
            <w:gridSpan w:val="2"/>
          </w:tcPr>
          <w:p>
            <w:pPr>
              <w:spacing w:after="0"/>
              <w:rPr>
                <w:sz w:val="14"/>
                <w:szCs w:val="14"/>
                <w:color w:val="auto"/>
              </w:rPr>
            </w:pPr>
          </w:p>
        </w:tc>
      </w:tr>
      <w:tr>
        <w:trPr>
          <w:trHeight w:val="169"/>
        </w:trPr>
        <w:tc>
          <w:tcPr>
            <w:tcW w:w="13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9900" w:type="dxa"/>
            <w:vAlign w:val="bottom"/>
            <w:gridSpan w:val="6"/>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Section 302 of the Sarbanes-Oxley Act of 2002.</w:t>
            </w:r>
          </w:p>
        </w:tc>
      </w:tr>
      <w:tr>
        <w:trPr>
          <w:trHeight w:val="162"/>
        </w:trPr>
        <w:tc>
          <w:tcPr>
            <w:tcW w:w="1340" w:type="dxa"/>
            <w:vAlign w:val="bottom"/>
            <w:tcBorders>
              <w:top w:val="single" w:sz="8" w:color="CCEEFF"/>
            </w:tcBorders>
          </w:tcPr>
          <w:p>
            <w:pPr>
              <w:ind w:left="20"/>
              <w:spacing w:after="0" w:line="162" w:lineRule="exact"/>
              <w:rPr>
                <w:sz w:val="20"/>
                <w:szCs w:val="20"/>
                <w:color w:val="auto"/>
              </w:rPr>
            </w:pPr>
            <w:r>
              <w:rPr>
                <w:rFonts w:ascii="Times New Roman" w:cs="Times New Roman" w:eastAsia="Times New Roman" w:hAnsi="Times New Roman"/>
                <w:sz w:val="18"/>
                <w:szCs w:val="18"/>
                <w:color w:val="auto"/>
              </w:rPr>
              <w:t>32**</w:t>
            </w:r>
          </w:p>
        </w:tc>
        <w:tc>
          <w:tcPr>
            <w:tcW w:w="7700" w:type="dxa"/>
            <w:vAlign w:val="bottom"/>
            <w:tcBorders>
              <w:top w:val="single" w:sz="8" w:color="0000FF"/>
            </w:tcBorders>
            <w:gridSpan w:val="3"/>
          </w:tcPr>
          <w:p>
            <w:pPr>
              <w:spacing w:after="0" w:line="162" w:lineRule="exact"/>
              <w:rPr>
                <w:sz w:val="20"/>
                <w:szCs w:val="20"/>
                <w:color w:val="auto"/>
              </w:rPr>
            </w:pPr>
            <w:r>
              <w:rPr>
                <w:rFonts w:ascii="Times New Roman" w:cs="Times New Roman" w:eastAsia="Times New Roman" w:hAnsi="Times New Roman"/>
                <w:sz w:val="18"/>
                <w:szCs w:val="18"/>
                <w:color w:val="0000FF"/>
              </w:rPr>
              <w:t>Certifications Pursuant to Section 906 of the Sarbanes-Oxley Act of 2002.</w:t>
            </w:r>
          </w:p>
        </w:tc>
        <w:tc>
          <w:tcPr>
            <w:tcW w:w="2200" w:type="dxa"/>
            <w:vAlign w:val="bottom"/>
            <w:tcBorders>
              <w:top w:val="single" w:sz="8" w:color="CCEEFF"/>
            </w:tcBorders>
            <w:gridSpan w:val="3"/>
          </w:tcPr>
          <w:p>
            <w:pPr>
              <w:spacing w:after="0"/>
              <w:rPr>
                <w:sz w:val="14"/>
                <w:szCs w:val="14"/>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360" w:lineRule="exact"/>
        <w:rPr>
          <w:sz w:val="20"/>
          <w:szCs w:val="20"/>
          <w:color w:val="auto"/>
        </w:rPr>
      </w:pPr>
    </w:p>
    <w:p>
      <w:pPr>
        <w:ind w:left="1340" w:right="60" w:hanging="1319"/>
        <w:spacing w:after="0" w:line="232" w:lineRule="auto"/>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 from our Company’s Quarterly Report on Form 10-Q for the quarter ended March 31, 2024, formatted in iXBRL (Inline Extensible Business Reporting Language): (i) Consolidated Balance Sheets, (ii) Consolidated Statements of Income, (iii) Consolidated Statements of Comprehensive Income, (iv) Consolidated Statements of Cash Flows, and (v)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132320" cy="497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iXBRL and contained in Exhibit 101)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34" w:lineRule="auto"/>
        <w:rPr>
          <w:sz w:val="20"/>
          <w:szCs w:val="20"/>
          <w:color w:val="auto"/>
        </w:rPr>
      </w:pPr>
      <w:r>
        <w:rPr>
          <w:rFonts w:ascii="Times New Roman" w:cs="Times New Roman" w:eastAsia="Times New Roman" w:hAnsi="Times New Roman"/>
          <w:sz w:val="16"/>
          <w:szCs w:val="16"/>
          <w:color w:val="auto"/>
        </w:rPr>
        <w:t>+ Filed or furnished herewith</w:t>
      </w:r>
    </w:p>
    <w:p>
      <w:pPr>
        <w:spacing w:after="0" w:line="1" w:lineRule="exact"/>
        <w:rPr>
          <w:sz w:val="20"/>
          <w:szCs w:val="20"/>
          <w:color w:val="auto"/>
        </w:rPr>
      </w:pPr>
    </w:p>
    <w:p>
      <w:pPr>
        <w:ind w:right="140" w:firstLine="8"/>
        <w:spacing w:after="0" w:line="228" w:lineRule="auto"/>
        <w:tabs>
          <w:tab w:leader="none" w:pos="12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w:t>
      </w:r>
    </w:p>
    <w:p>
      <w:pPr>
        <w:spacing w:after="0" w:line="2" w:lineRule="exact"/>
        <w:rPr>
          <w:rFonts w:ascii="Times New Roman" w:cs="Times New Roman" w:eastAsia="Times New Roman" w:hAnsi="Times New Roman"/>
          <w:sz w:val="16"/>
          <w:szCs w:val="16"/>
          <w:color w:val="auto"/>
        </w:rPr>
      </w:pPr>
    </w:p>
    <w:p>
      <w:pPr>
        <w:spacing w:after="0" w:line="22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8" w:name="page49"/>
    <w:bookmarkEnd w:id="48"/>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READING INTERNATIONAL,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Ellen M. Cotter</w:t>
      </w:r>
    </w:p>
    <w:p>
      <w:pPr>
        <w:spacing w:after="0" w:line="237" w:lineRule="auto"/>
        <w:rPr>
          <w:sz w:val="20"/>
          <w:szCs w:val="20"/>
          <w:color w:val="auto"/>
        </w:rPr>
      </w:pPr>
      <w:r>
        <w:rPr>
          <w:rFonts w:ascii="Times New Roman" w:cs="Times New Roman" w:eastAsia="Times New Roman" w:hAnsi="Times New Roman"/>
          <w:sz w:val="18"/>
          <w:szCs w:val="18"/>
          <w:color w:val="auto"/>
        </w:rPr>
        <w:t>Ellen M. Cotter</w:t>
      </w: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Gilbert Avanes</w:t>
      </w:r>
    </w:p>
    <w:p>
      <w:pPr>
        <w:spacing w:after="0" w:line="237" w:lineRule="auto"/>
        <w:rPr>
          <w:sz w:val="20"/>
          <w:szCs w:val="20"/>
          <w:color w:val="auto"/>
        </w:rPr>
      </w:pPr>
      <w:r>
        <w:rPr>
          <w:rFonts w:ascii="Times New Roman" w:cs="Times New Roman" w:eastAsia="Times New Roman" w:hAnsi="Times New Roman"/>
          <w:sz w:val="18"/>
          <w:szCs w:val="18"/>
          <w:color w:val="auto"/>
        </w:rPr>
        <w:t>Gilbert Avanes</w:t>
      </w: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340"/>
          </w:cols>
          <w:pgMar w:left="320" w:top="293" w:right="1239" w:bottom="1440" w:gutter="0" w:footer="0" w:header="0"/>
        </w:sectPr>
      </w:pPr>
    </w:p>
    <w:bookmarkStart w:id="49" w:name="page50"/>
    <w:bookmarkEnd w:id="49"/>
    <w:p>
      <w:pPr>
        <w:ind w:left="6480"/>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u w:val="single" w:color="auto"/>
          <w:color w:val="auto"/>
        </w:rPr>
        <w:t>PORTIONS OF THIS EXHIBIT HAVE BEEN OMITTED BECAUSE THEY ARE BOTH (I)</w:t>
      </w:r>
    </w:p>
    <w:p>
      <w:pPr>
        <w:ind w:left="180"/>
        <w:spacing w:after="0" w:line="231" w:lineRule="auto"/>
        <w:rPr>
          <w:sz w:val="20"/>
          <w:szCs w:val="20"/>
          <w:color w:val="auto"/>
        </w:rPr>
      </w:pPr>
      <w:r>
        <w:rPr>
          <w:rFonts w:ascii="Times New Roman" w:cs="Times New Roman" w:eastAsia="Times New Roman" w:hAnsi="Times New Roman"/>
          <w:sz w:val="22"/>
          <w:szCs w:val="22"/>
          <w:b w:val="1"/>
          <w:bCs w:val="1"/>
          <w:u w:val="single" w:color="auto"/>
          <w:color w:val="auto"/>
        </w:rPr>
        <w:t>NOT MATERIAL AND (II) WOULD BE COMPETITIVELY HARMFUL IF PUBLICLY</w:t>
      </w:r>
    </w:p>
    <w:p>
      <w:pPr>
        <w:ind w:left="180"/>
        <w:spacing w:after="0" w:line="231" w:lineRule="auto"/>
        <w:rPr>
          <w:sz w:val="20"/>
          <w:szCs w:val="20"/>
          <w:color w:val="auto"/>
        </w:rPr>
      </w:pPr>
      <w:r>
        <w:rPr>
          <w:rFonts w:ascii="Times New Roman" w:cs="Times New Roman" w:eastAsia="Times New Roman" w:hAnsi="Times New Roman"/>
          <w:sz w:val="22"/>
          <w:szCs w:val="22"/>
          <w:b w:val="1"/>
          <w:bCs w:val="1"/>
          <w:u w:val="single" w:color="auto"/>
          <w:color w:val="auto"/>
        </w:rPr>
        <w:t>DISCLOSED. INFORMATION THAT HAS BEEN OMITTED HAS BEEN NOTED IN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THIS DOCUMENT WITH A PLACEHOLDER IDENTIFIED BY THE MARK “[***]”</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waiver and SIXTH AMENDMENT TO</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AMENDED AND RESTATED CREDIT AGREEMENT</w:t>
      </w:r>
    </w:p>
    <w:p>
      <w:pPr>
        <w:spacing w:after="0" w:line="398"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THIS WAIVER AND SIXTH AMENDMENT TO SECOND AMENDED AND RESTATED CREDIT AGREEMENT (this “</w:t>
      </w:r>
      <w:r>
        <w:rPr>
          <w:rFonts w:ascii="Times New Roman" w:cs="Times New Roman" w:eastAsia="Times New Roman" w:hAnsi="Times New Roman"/>
          <w:sz w:val="22"/>
          <w:szCs w:val="22"/>
          <w:u w:val="single" w:color="auto"/>
          <w:color w:val="auto"/>
        </w:rPr>
        <w:t>Sixth Amendment</w:t>
      </w:r>
      <w:r>
        <w:rPr>
          <w:rFonts w:ascii="Times New Roman" w:cs="Times New Roman" w:eastAsia="Times New Roman" w:hAnsi="Times New Roman"/>
          <w:sz w:val="22"/>
          <w:szCs w:val="22"/>
          <w:color w:val="auto"/>
        </w:rPr>
        <w:t>”), dated as of March 27, 2024, is entered into by and among Consolidated Amusement Holdings, LLC, a Nevada limited liability company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Affiliates of the Borrower identified on the signature pages hereto (collectively, the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the financial institutions identified on the signature pages hereto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Bank of America, N.A., as Administrative Agent, Swingline Lender and L/C Issuer, with reference to the following facts: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318" w:lineRule="exact"/>
        <w:rPr>
          <w:sz w:val="20"/>
          <w:szCs w:val="20"/>
          <w:color w:val="auto"/>
        </w:rPr>
      </w:pPr>
    </w:p>
    <w:p>
      <w:pPr>
        <w:jc w:val="both"/>
        <w:ind w:left="180" w:right="199" w:firstLine="652"/>
        <w:spacing w:after="0" w:line="233" w:lineRule="auto"/>
        <w:tabs>
          <w:tab w:leader="none" w:pos="168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Guarantors, the Lenders, and Bank of America as Administrative Agent, Swingline Lender and L/C Issuer are parties to a Second Amended and Restated Credit Agreement, dated as of March 6, 2020, as amended by a Waiver and First Amendment to Second Amended and Restated Credit Agreement dated as of May 15, 2020 (the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by a Waiver and Second Amendment to Second Amended and Restated Credit Agreement dated as of August 7, 2020 (the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by a Waiver and Third Amendment to Second Amended and Restated Credit Agreement dated as of November 8, 2021 (the “</w:t>
      </w:r>
      <w:r>
        <w:rPr>
          <w:rFonts w:ascii="Times New Roman" w:cs="Times New Roman" w:eastAsia="Times New Roman" w:hAnsi="Times New Roman"/>
          <w:sz w:val="22"/>
          <w:szCs w:val="22"/>
          <w:u w:val="single" w:color="auto"/>
          <w:color w:val="auto"/>
        </w:rPr>
        <w:t>Third Amendment</w:t>
      </w:r>
      <w:r>
        <w:rPr>
          <w:rFonts w:ascii="Times New Roman" w:cs="Times New Roman" w:eastAsia="Times New Roman" w:hAnsi="Times New Roman"/>
          <w:sz w:val="22"/>
          <w:szCs w:val="22"/>
          <w:color w:val="auto"/>
        </w:rPr>
        <w:t>”), by a Fourth Amendment to Second Amended and Restated Credit Agreement dated as of November 29, 2022 (the “</w:t>
      </w:r>
      <w:r>
        <w:rPr>
          <w:rFonts w:ascii="Times New Roman" w:cs="Times New Roman" w:eastAsia="Times New Roman" w:hAnsi="Times New Roman"/>
          <w:sz w:val="22"/>
          <w:szCs w:val="22"/>
          <w:u w:val="single" w:color="auto"/>
          <w:color w:val="auto"/>
        </w:rPr>
        <w:t>Fourth Amendment</w:t>
      </w:r>
      <w:r>
        <w:rPr>
          <w:rFonts w:ascii="Times New Roman" w:cs="Times New Roman" w:eastAsia="Times New Roman" w:hAnsi="Times New Roman"/>
          <w:sz w:val="22"/>
          <w:szCs w:val="22"/>
          <w:color w:val="auto"/>
        </w:rPr>
        <w:t>”) and by a Waiver and Fifth Amendment to Second Amended and Restated Credit Agreement dated as of March 30, 2023 (the “</w:t>
      </w:r>
      <w:r>
        <w:rPr>
          <w:rFonts w:ascii="Times New Roman" w:cs="Times New Roman" w:eastAsia="Times New Roman" w:hAnsi="Times New Roman"/>
          <w:sz w:val="22"/>
          <w:szCs w:val="22"/>
          <w:u w:val="single" w:color="auto"/>
          <w:color w:val="auto"/>
        </w:rPr>
        <w:t>Fifth Amendment</w:t>
      </w:r>
      <w:r>
        <w:rPr>
          <w:rFonts w:ascii="Times New Roman" w:cs="Times New Roman" w:eastAsia="Times New Roman" w:hAnsi="Times New Roman"/>
          <w:sz w:val="22"/>
          <w:szCs w:val="22"/>
          <w:color w:val="auto"/>
        </w:rPr>
        <w:t>” and collectively with the First Amendment, Second Amendment, Third Amendment, Fourth Amendment, and Second Amended and Restated Credit Agreement,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pursuant to which the Lenders provide a revolving credit facility to the Borrower in an aggregate amount of up to $55,000,000.00.</w:t>
      </w:r>
    </w:p>
    <w:p>
      <w:pPr>
        <w:spacing w:after="0" w:line="179" w:lineRule="exact"/>
        <w:rPr>
          <w:rFonts w:ascii="Times New Roman" w:cs="Times New Roman" w:eastAsia="Times New Roman" w:hAnsi="Times New Roman"/>
          <w:sz w:val="22"/>
          <w:szCs w:val="22"/>
          <w:color w:val="auto"/>
        </w:rPr>
      </w:pPr>
    </w:p>
    <w:p>
      <w:pPr>
        <w:jc w:val="both"/>
        <w:ind w:left="180" w:right="199" w:firstLine="652"/>
        <w:spacing w:after="0" w:line="236" w:lineRule="auto"/>
        <w:tabs>
          <w:tab w:leader="none" w:pos="167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has reported to Administrative Agent and the Lenders that, due to the impacts on the exhibition industry as a result of the prolonged nature of the 2023 strikes of the Writers Guild of America and the Screen Actors Guild against the Alliance of Motion Picture and Television Producers, Borrower has been unable to maintain Liquidity in excess of $3,000,000 as of February 29, 2024 in violation of Section 9 of the Second Amendment, which violation constitutes a Default under the Credit Agreement (the “</w:t>
      </w:r>
      <w:r>
        <w:rPr>
          <w:rFonts w:ascii="Times New Roman" w:cs="Times New Roman" w:eastAsia="Times New Roman" w:hAnsi="Times New Roman"/>
          <w:sz w:val="22"/>
          <w:szCs w:val="22"/>
          <w:u w:val="single" w:color="auto"/>
          <w:color w:val="auto"/>
        </w:rPr>
        <w:t>Liquidity Default</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180" w:right="199" w:firstLine="652"/>
        <w:spacing w:after="0" w:line="244" w:lineRule="auto"/>
        <w:tabs>
          <w:tab w:leader="none" w:pos="167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are entering into this Sixth Amendment by which the Lenders will waive the Liquidity Default and the parties will amend and supplement the Credit Agreement as set forth below.</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#81516850v2&lt;BN&gt; - Waiver and Sixth Amendment to Second Amended and Restated Cre...docx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52894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0" w:name="page51"/>
    <w:bookmarkEnd w:id="50"/>
    <w:p>
      <w:pPr>
        <w:ind w:left="840"/>
        <w:spacing w:after="0"/>
        <w:rPr>
          <w:sz w:val="20"/>
          <w:szCs w:val="20"/>
          <w:color w:val="auto"/>
        </w:rPr>
      </w:pPr>
      <w:r>
        <w:rPr>
          <w:rFonts w:ascii="Times New Roman" w:cs="Times New Roman" w:eastAsia="Times New Roman" w:hAnsi="Times New Roman"/>
          <w:sz w:val="22"/>
          <w:szCs w:val="22"/>
          <w:i w:val="1"/>
          <w:iCs w:val="1"/>
          <w:color w:val="auto"/>
        </w:rPr>
        <w:t>NOW, THEREFORE</w:t>
      </w:r>
      <w:r>
        <w:rPr>
          <w:rFonts w:ascii="Times New Roman" w:cs="Times New Roman" w:eastAsia="Times New Roman" w:hAnsi="Times New Roman"/>
          <w:sz w:val="22"/>
          <w:szCs w:val="22"/>
          <w:color w:val="auto"/>
        </w:rPr>
        <w:t>, the parties hereby agree as follows:</w:t>
      </w:r>
    </w:p>
    <w:p>
      <w:pPr>
        <w:spacing w:after="0" w:line="205" w:lineRule="exact"/>
        <w:rPr>
          <w:sz w:val="20"/>
          <w:szCs w:val="20"/>
          <w:color w:val="auto"/>
        </w:rPr>
      </w:pPr>
    </w:p>
    <w:p>
      <w:pPr>
        <w:jc w:val="both"/>
        <w:ind w:left="180" w:right="199" w:firstLine="652"/>
        <w:spacing w:after="0" w:line="246" w:lineRule="auto"/>
        <w:tabs>
          <w:tab w:leader="none" w:pos="151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Recitals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foregoing recitals and statements are hereby affirmed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 Parties as true statements of fact and may be used as binding admissions in a court of law or equity, or other judicial or non-judicial proceedings.</w:t>
      </w:r>
    </w:p>
    <w:p>
      <w:pPr>
        <w:spacing w:after="0" w:line="167" w:lineRule="exact"/>
        <w:rPr>
          <w:rFonts w:ascii="Times New Roman" w:cs="Times New Roman" w:eastAsia="Times New Roman" w:hAnsi="Times New Roman"/>
          <w:sz w:val="22"/>
          <w:szCs w:val="22"/>
          <w:color w:val="auto"/>
        </w:rPr>
      </w:pPr>
    </w:p>
    <w:p>
      <w:pPr>
        <w:jc w:val="both"/>
        <w:ind w:left="180" w:right="199" w:firstLine="652"/>
        <w:spacing w:after="0" w:line="246" w:lineRule="auto"/>
        <w:tabs>
          <w:tab w:leader="none" w:pos="155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Defined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and all initially capitalized terms used in this Sixth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without definition (including, without limitation, in the recitals to this Sixth Amendment) shall have the respective meanings set forth for such terms in the Credit Agreement.</w:t>
      </w:r>
    </w:p>
    <w:p>
      <w:pPr>
        <w:spacing w:after="0" w:line="167" w:lineRule="exact"/>
        <w:rPr>
          <w:rFonts w:ascii="Times New Roman" w:cs="Times New Roman" w:eastAsia="Times New Roman" w:hAnsi="Times New Roman"/>
          <w:sz w:val="22"/>
          <w:szCs w:val="22"/>
          <w:color w:val="auto"/>
        </w:rPr>
      </w:pPr>
    </w:p>
    <w:p>
      <w:pPr>
        <w:jc w:val="both"/>
        <w:ind w:left="180" w:right="199" w:firstLine="652"/>
        <w:spacing w:after="0" w:line="236" w:lineRule="auto"/>
        <w:tabs>
          <w:tab w:leader="none" w:pos="157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Liquidity Default</w:t>
      </w:r>
      <w:r>
        <w:rPr>
          <w:rFonts w:ascii="Times New Roman" w:cs="Times New Roman" w:eastAsia="Times New Roman" w:hAnsi="Times New Roman"/>
          <w:sz w:val="22"/>
          <w:szCs w:val="22"/>
          <w:color w:val="auto"/>
        </w:rPr>
        <w:t>. To the fullest extent necessary, 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and Lenders hereby waive the Liquidity Default. Such waiver shall constitute a waiver of only the Liquidity Default, and shall not constitute a waiver of the Borrower’s obligation to comply with the Credit Agreement, as amended, on any other occasion or occurrence, including without limitation, the Borrower’s obligation to comply with all applicable covenants in the Credit Agreement, including any and all financial covenants, on a going-forward basis.</w:t>
      </w:r>
    </w:p>
    <w:p>
      <w:pPr>
        <w:spacing w:after="0" w:line="175" w:lineRule="exact"/>
        <w:rPr>
          <w:rFonts w:ascii="Times New Roman" w:cs="Times New Roman" w:eastAsia="Times New Roman" w:hAnsi="Times New Roman"/>
          <w:sz w:val="22"/>
          <w:szCs w:val="22"/>
          <w:color w:val="auto"/>
        </w:rPr>
      </w:pPr>
    </w:p>
    <w:p>
      <w:pPr>
        <w:ind w:left="1500" w:hanging="668"/>
        <w:spacing w:after="0"/>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to Credit Agreement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480"/>
        <w:spacing w:after="0"/>
        <w:tabs>
          <w:tab w:leader="none" w:pos="21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u w:val="single" w:color="auto"/>
          <w:color w:val="auto"/>
        </w:rPr>
        <w:t>Extension of Maturity Date</w:t>
      </w:r>
      <w:r>
        <w:rPr>
          <w:rFonts w:ascii="Times New Roman" w:cs="Times New Roman" w:eastAsia="Times New Roman" w:hAnsi="Times New Roman"/>
          <w:sz w:val="22"/>
          <w:szCs w:val="22"/>
          <w:color w:val="auto"/>
        </w:rPr>
        <w:t>. The definition of “Maturity Date” set forth in</w:t>
      </w:r>
    </w:p>
    <w:p>
      <w:pPr>
        <w:spacing w:after="0" w:line="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Section 1.01 of the Credit Agreement is amended and restated to read as follows:</w:t>
      </w:r>
    </w:p>
    <w:p>
      <w:pPr>
        <w:spacing w:after="0" w:line="182" w:lineRule="exact"/>
        <w:rPr>
          <w:sz w:val="20"/>
          <w:szCs w:val="20"/>
          <w:color w:val="auto"/>
        </w:rPr>
      </w:pPr>
    </w:p>
    <w:p>
      <w:pPr>
        <w:jc w:val="both"/>
        <w:ind w:left="1480" w:right="19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the date that is August 18, 2025;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date is not a Business Day, the Maturity Date shall be the next preceding Business Day.</w:t>
      </w:r>
    </w:p>
    <w:p>
      <w:pPr>
        <w:spacing w:after="0" w:line="150"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14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4.2.</w:t>
            </w:r>
          </w:p>
        </w:tc>
        <w:tc>
          <w:tcPr>
            <w:tcW w:w="1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PIK Interest.</w:t>
            </w:r>
          </w:p>
        </w:tc>
        <w:tc>
          <w:tcPr>
            <w:tcW w:w="5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2.08(d) of the Credit Agreement is amended and</w:t>
            </w:r>
          </w:p>
        </w:tc>
      </w:tr>
      <w:tr>
        <w:trPr>
          <w:trHeight w:val="276"/>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restated to read</w:t>
            </w: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as follows:</w:t>
            </w:r>
          </w:p>
        </w:tc>
        <w:tc>
          <w:tcPr>
            <w:tcW w:w="80" w:type="dxa"/>
            <w:vAlign w:val="bottom"/>
          </w:tcPr>
          <w:p>
            <w:pPr>
              <w:spacing w:after="0"/>
              <w:rPr>
                <w:sz w:val="23"/>
                <w:szCs w:val="23"/>
                <w:color w:val="auto"/>
              </w:rPr>
            </w:pPr>
          </w:p>
        </w:tc>
        <w:tc>
          <w:tcPr>
            <w:tcW w:w="5420" w:type="dxa"/>
            <w:vAlign w:val="bottom"/>
          </w:tcPr>
          <w:p>
            <w:pPr>
              <w:spacing w:after="0"/>
              <w:rPr>
                <w:sz w:val="23"/>
                <w:szCs w:val="23"/>
                <w:color w:val="auto"/>
              </w:rPr>
            </w:pPr>
          </w:p>
        </w:tc>
      </w:tr>
      <w:tr>
        <w:trPr>
          <w:trHeight w:val="443"/>
        </w:trPr>
        <w:tc>
          <w:tcPr>
            <w:tcW w:w="14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Borrower</w:t>
            </w:r>
          </w:p>
        </w:tc>
        <w:tc>
          <w:tcPr>
            <w:tcW w:w="5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agrees to pay additional interest on the unpaid principal</w:t>
            </w:r>
          </w:p>
        </w:tc>
      </w:tr>
    </w:tbl>
    <w:p>
      <w:pPr>
        <w:jc w:val="both"/>
        <w:ind w:left="1480" w:right="199"/>
        <w:spacing w:after="0" w:line="241" w:lineRule="auto"/>
        <w:rPr>
          <w:sz w:val="20"/>
          <w:szCs w:val="20"/>
          <w:color w:val="auto"/>
        </w:rPr>
      </w:pPr>
      <w:r>
        <w:rPr>
          <w:rFonts w:ascii="Times New Roman" w:cs="Times New Roman" w:eastAsia="Times New Roman" w:hAnsi="Times New Roman"/>
          <w:sz w:val="21"/>
          <w:szCs w:val="21"/>
          <w:color w:val="auto"/>
        </w:rPr>
        <w:t>balance of the Loan at the rate of (i) one-half of one percent (0.50%) per annum commencing on January 1, 2024 and continuing until December 31, 2024 and (ii) one and one-half of one percent (1.50%) per annum commencing on January 1, 2025 and continuing until the Loan is paid in full (the “</w:t>
      </w:r>
      <w:r>
        <w:rPr>
          <w:rFonts w:ascii="Times New Roman" w:cs="Times New Roman" w:eastAsia="Times New Roman" w:hAnsi="Times New Roman"/>
          <w:sz w:val="21"/>
          <w:szCs w:val="21"/>
          <w:u w:val="single" w:color="auto"/>
          <w:color w:val="auto"/>
        </w:rPr>
        <w:t>PIK Interest</w:t>
      </w:r>
      <w:r>
        <w:rPr>
          <w:rFonts w:ascii="Times New Roman" w:cs="Times New Roman" w:eastAsia="Times New Roman" w:hAnsi="Times New Roman"/>
          <w:sz w:val="21"/>
          <w:szCs w:val="21"/>
          <w:color w:val="auto"/>
        </w:rPr>
        <w:t>”). The PIK Interest shall accrue but not be due and payable until the earlier of (i) the Maturity Date or</w:t>
      </w:r>
    </w:p>
    <w:p>
      <w:pPr>
        <w:spacing w:after="0" w:line="3" w:lineRule="exact"/>
        <w:rPr>
          <w:sz w:val="20"/>
          <w:szCs w:val="20"/>
          <w:color w:val="auto"/>
        </w:rPr>
      </w:pPr>
    </w:p>
    <w:p>
      <w:pPr>
        <w:jc w:val="both"/>
        <w:ind w:left="1480" w:right="199"/>
        <w:spacing w:after="0" w:line="235" w:lineRule="auto"/>
        <w:tabs>
          <w:tab w:leader="none" w:pos="180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on which the Loan is paid in full;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in the event that the Loan is repaid in full prior to April 1, 2024, the Lenders shall waive (and forgive) the obligation of Borrower to pay the PIK Interest.”</w:t>
      </w:r>
    </w:p>
    <w:p>
      <w:pPr>
        <w:spacing w:after="0" w:line="178" w:lineRule="exact"/>
        <w:rPr>
          <w:sz w:val="20"/>
          <w:szCs w:val="20"/>
          <w:color w:val="auto"/>
        </w:rPr>
      </w:pPr>
    </w:p>
    <w:p>
      <w:pPr>
        <w:ind w:left="840" w:right="1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Dispositions of Real Property</w:t>
      </w:r>
      <w:r>
        <w:rPr>
          <w:rFonts w:ascii="Times New Roman" w:cs="Times New Roman" w:eastAsia="Times New Roman" w:hAnsi="Times New Roman"/>
          <w:sz w:val="22"/>
          <w:szCs w:val="22"/>
          <w:color w:val="auto"/>
        </w:rPr>
        <w:t>. Section 2.05(b) of the Credit Agreement is amended to include the following provisions:</w:t>
      </w:r>
    </w:p>
    <w:p>
      <w:pPr>
        <w:spacing w:after="0" w:line="158" w:lineRule="exact"/>
        <w:rPr>
          <w:sz w:val="20"/>
          <w:szCs w:val="20"/>
          <w:color w:val="auto"/>
        </w:rPr>
      </w:pPr>
    </w:p>
    <w:p>
      <w:pPr>
        <w:jc w:val="both"/>
        <w:ind w:left="2460" w:right="199" w:hanging="339"/>
        <w:spacing w:after="0" w:line="238" w:lineRule="auto"/>
        <w:tabs>
          <w:tab w:leader="none" w:pos="2440" w:val="left"/>
        </w:tabs>
        <w:rPr>
          <w:sz w:val="20"/>
          <w:szCs w:val="20"/>
          <w:color w:val="auto"/>
        </w:rPr>
      </w:pPr>
      <w:r>
        <w:rPr>
          <w:rFonts w:ascii="Times New Roman" w:cs="Times New Roman" w:eastAsia="Times New Roman" w:hAnsi="Times New Roman"/>
          <w:sz w:val="22"/>
          <w:szCs w:val="22"/>
          <w:color w:val="auto"/>
        </w:rPr>
        <w:t>A.</w:t>
        <w:tab/>
        <w:t>“Notwithstanding anything to the contrary in this Section 2.05 or elsewhere in the Credit Agreement, if Reading or any Loan Party (including any direct or indirect subsidiary of Reading (collectively, the “</w:t>
      </w:r>
      <w:r>
        <w:rPr>
          <w:rFonts w:ascii="Times New Roman" w:cs="Times New Roman" w:eastAsia="Times New Roman" w:hAnsi="Times New Roman"/>
          <w:sz w:val="22"/>
          <w:szCs w:val="22"/>
          <w:u w:val="single" w:color="auto"/>
          <w:color w:val="auto"/>
        </w:rPr>
        <w:t>Borrower Group</w:t>
      </w:r>
      <w:r>
        <w:rPr>
          <w:rFonts w:ascii="Times New Roman" w:cs="Times New Roman" w:eastAsia="Times New Roman" w:hAnsi="Times New Roman"/>
          <w:sz w:val="22"/>
          <w:szCs w:val="22"/>
          <w:color w:val="auto"/>
        </w:rPr>
        <w:t>”) sells one or more of the following properties (each a “</w:t>
      </w:r>
      <w:r>
        <w:rPr>
          <w:rFonts w:ascii="Times New Roman" w:cs="Times New Roman" w:eastAsia="Times New Roman" w:hAnsi="Times New Roman"/>
          <w:sz w:val="22"/>
          <w:szCs w:val="22"/>
          <w:u w:val="single" w:color="auto"/>
          <w:color w:val="auto"/>
        </w:rPr>
        <w:t>Reading Sale Property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Reading Sale</w:t>
      </w:r>
    </w:p>
    <w:p>
      <w:pPr>
        <w:spacing w:after="0" w:line="17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225425</wp:posOffset>
            </wp:positionV>
            <wp:extent cx="552894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1" w:name="page52"/>
    <w:bookmarkEnd w:id="51"/>
    <w:p>
      <w:pPr>
        <w:jc w:val="both"/>
        <w:ind w:left="2460" w:right="199"/>
        <w:spacing w:after="0" w:line="235" w:lineRule="auto"/>
        <w:rPr>
          <w:sz w:val="20"/>
          <w:szCs w:val="20"/>
          <w:color w:val="auto"/>
        </w:rPr>
      </w:pP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 prior to the Maturity Date, then Borrower covenants and agrees to cause to be paid to Lender as a mandatory pre-payment of principal an amount equal to [***] of the Net Property Sale Proceeds (as defined below) with such amount to be applied to the Loan’s principal balance, in inverse order of maturity, within ten (10) Business Days of receipt of such Net Property Sale Proceeds by any member of the Borrower Group.</w:t>
      </w:r>
    </w:p>
    <w:p>
      <w:pPr>
        <w:spacing w:after="0" w:line="18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For purposes of this paragraph,</w:t>
      </w:r>
    </w:p>
    <w:p>
      <w:pPr>
        <w:spacing w:after="0" w:line="206" w:lineRule="exact"/>
        <w:rPr>
          <w:sz w:val="20"/>
          <w:szCs w:val="20"/>
          <w:color w:val="auto"/>
        </w:rPr>
      </w:pPr>
    </w:p>
    <w:p>
      <w:pPr>
        <w:ind w:left="2360" w:right="199" w:hanging="323"/>
        <w:spacing w:after="0" w:line="258" w:lineRule="auto"/>
        <w:rPr>
          <w:sz w:val="20"/>
          <w:szCs w:val="20"/>
          <w:color w:val="auto"/>
        </w:rPr>
      </w:pPr>
      <w:r>
        <w:rPr>
          <w:rFonts w:ascii="Times New Roman" w:cs="Times New Roman" w:eastAsia="Times New Roman" w:hAnsi="Times New Roman"/>
          <w:sz w:val="22"/>
          <w:szCs w:val="22"/>
          <w:color w:val="auto"/>
        </w:rPr>
        <w:t>(A)the term “</w:t>
      </w:r>
      <w:r>
        <w:rPr>
          <w:rFonts w:ascii="Times New Roman" w:cs="Times New Roman" w:eastAsia="Times New Roman" w:hAnsi="Times New Roman"/>
          <w:sz w:val="22"/>
          <w:szCs w:val="22"/>
          <w:u w:val="single" w:color="auto"/>
          <w:color w:val="auto"/>
        </w:rPr>
        <w:t>Reading Sale Properties</w:t>
      </w:r>
      <w:r>
        <w:rPr>
          <w:rFonts w:ascii="Times New Roman" w:cs="Times New Roman" w:eastAsia="Times New Roman" w:hAnsi="Times New Roman"/>
          <w:sz w:val="22"/>
          <w:szCs w:val="22"/>
          <w:color w:val="auto"/>
        </w:rPr>
        <w:t>” shall mean the following real properties:</w:t>
      </w:r>
    </w:p>
    <w:p>
      <w:pPr>
        <w:spacing w:after="0" w:line="15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360" w:right="199" w:hanging="327"/>
        <w:spacing w:after="0" w:line="239" w:lineRule="auto"/>
        <w:tabs>
          <w:tab w:leader="none" w:pos="23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“sell” shall mean any sale by the owner of its fee interest in such property in a transaction that is treated as a sale under GAAP, and shall not include any financing, lease, license, sale and leaseback, or other transaction not treated as a sale under GAAP.</w:t>
      </w:r>
    </w:p>
    <w:p>
      <w:pPr>
        <w:spacing w:after="0" w:line="180" w:lineRule="exact"/>
        <w:rPr>
          <w:rFonts w:ascii="Times New Roman" w:cs="Times New Roman" w:eastAsia="Times New Roman" w:hAnsi="Times New Roman"/>
          <w:sz w:val="22"/>
          <w:szCs w:val="22"/>
          <w:color w:val="auto"/>
        </w:rPr>
      </w:pPr>
    </w:p>
    <w:p>
      <w:pPr>
        <w:jc w:val="both"/>
        <w:ind w:left="2360" w:right="199" w:hanging="327"/>
        <w:spacing w:after="0" w:line="244" w:lineRule="auto"/>
        <w:tabs>
          <w:tab w:leader="none" w:pos="23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Net Property Sale Proceeds</w:t>
      </w:r>
      <w:r>
        <w:rPr>
          <w:rFonts w:ascii="Times New Roman" w:cs="Times New Roman" w:eastAsia="Times New Roman" w:hAnsi="Times New Roman"/>
          <w:sz w:val="22"/>
          <w:szCs w:val="22"/>
          <w:color w:val="auto"/>
        </w:rPr>
        <w:t>” shall mean the net proceeds remaining from the sale of any Reading Sale Property, after taking into account:</w:t>
      </w:r>
    </w:p>
    <w:p>
      <w:pPr>
        <w:spacing w:after="0" w:line="173" w:lineRule="exact"/>
        <w:rPr>
          <w:rFonts w:ascii="Times New Roman" w:cs="Times New Roman" w:eastAsia="Times New Roman" w:hAnsi="Times New Roman"/>
          <w:sz w:val="22"/>
          <w:szCs w:val="22"/>
          <w:color w:val="auto"/>
        </w:rPr>
      </w:pPr>
    </w:p>
    <w:p>
      <w:pPr>
        <w:jc w:val="both"/>
        <w:ind w:left="3240" w:right="199" w:hanging="950"/>
        <w:spacing w:after="0" w:line="244" w:lineRule="auto"/>
        <w:tabs>
          <w:tab w:leader="none" w:pos="32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payoff of any amounts owed to any lender for which such Reading Sale Property serves as collateral, including, without limitation any pre-payment fee or penalty;</w:t>
      </w:r>
    </w:p>
    <w:p>
      <w:pPr>
        <w:spacing w:after="0" w:line="173" w:lineRule="exact"/>
        <w:rPr>
          <w:rFonts w:ascii="Times New Roman" w:cs="Times New Roman" w:eastAsia="Times New Roman" w:hAnsi="Times New Roman"/>
          <w:sz w:val="22"/>
          <w:szCs w:val="22"/>
          <w:color w:val="auto"/>
        </w:rPr>
      </w:pPr>
    </w:p>
    <w:p>
      <w:pPr>
        <w:jc w:val="both"/>
        <w:ind w:left="3240" w:right="199" w:hanging="950"/>
        <w:spacing w:after="0" w:line="244" w:lineRule="auto"/>
        <w:tabs>
          <w:tab w:leader="none" w:pos="32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cash amounts necessary for the applicable member of the Borrower Group to maintain in order to ensure continuous compliance with lender covenants;</w:t>
      </w:r>
    </w:p>
    <w:p>
      <w:pPr>
        <w:spacing w:after="0" w:line="173" w:lineRule="exact"/>
        <w:rPr>
          <w:rFonts w:ascii="Times New Roman" w:cs="Times New Roman" w:eastAsia="Times New Roman" w:hAnsi="Times New Roman"/>
          <w:sz w:val="22"/>
          <w:szCs w:val="22"/>
          <w:color w:val="auto"/>
        </w:rPr>
      </w:pPr>
    </w:p>
    <w:p>
      <w:pPr>
        <w:ind w:left="3240" w:hanging="950"/>
        <w:spacing w:after="0"/>
        <w:tabs>
          <w:tab w:leader="none" w:pos="32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any broker commissions;</w:t>
      </w:r>
    </w:p>
    <w:p>
      <w:pPr>
        <w:spacing w:after="0" w:line="206" w:lineRule="exact"/>
        <w:rPr>
          <w:rFonts w:ascii="Times New Roman" w:cs="Times New Roman" w:eastAsia="Times New Roman" w:hAnsi="Times New Roman"/>
          <w:sz w:val="22"/>
          <w:szCs w:val="22"/>
          <w:color w:val="auto"/>
        </w:rPr>
      </w:pPr>
    </w:p>
    <w:p>
      <w:pPr>
        <w:jc w:val="both"/>
        <w:ind w:left="3240" w:right="199" w:hanging="950"/>
        <w:spacing w:after="0" w:line="261" w:lineRule="auto"/>
        <w:tabs>
          <w:tab w:leader="none" w:pos="324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any taxes applicable to the sale of such Reading Sale Property, including, without limitation, any transfer, stamp, documentary, recording, withholding or capital gains tax;</w:t>
      </w:r>
    </w:p>
    <w:p>
      <w:pPr>
        <w:spacing w:after="0" w:line="157" w:lineRule="exact"/>
        <w:rPr>
          <w:rFonts w:ascii="Times New Roman" w:cs="Times New Roman" w:eastAsia="Times New Roman" w:hAnsi="Times New Roman"/>
          <w:sz w:val="21"/>
          <w:szCs w:val="21"/>
          <w:color w:val="auto"/>
        </w:rPr>
      </w:pPr>
    </w:p>
    <w:p>
      <w:pPr>
        <w:jc w:val="both"/>
        <w:ind w:left="3240" w:right="199" w:hanging="950"/>
        <w:spacing w:after="0" w:line="238" w:lineRule="auto"/>
        <w:tabs>
          <w:tab w:leader="none" w:pos="32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out-of-pocket transaction costs related to the sale of such Reading Sale Property, including, without limitation, reasonable attorneys and consultants fees and expenses, marketing expenses, title insurance, and costs to be paid to any title company and/or escrow agent;</w:t>
      </w:r>
    </w:p>
    <w:p>
      <w:pPr>
        <w:spacing w:after="0" w:line="176" w:lineRule="exact"/>
        <w:rPr>
          <w:rFonts w:ascii="Times New Roman" w:cs="Times New Roman" w:eastAsia="Times New Roman" w:hAnsi="Times New Roman"/>
          <w:sz w:val="22"/>
          <w:szCs w:val="22"/>
          <w:color w:val="auto"/>
        </w:rPr>
      </w:pPr>
    </w:p>
    <w:p>
      <w:pPr>
        <w:ind w:left="3240" w:right="199" w:hanging="950"/>
        <w:spacing w:after="0" w:line="258" w:lineRule="auto"/>
        <w:tabs>
          <w:tab w:leader="none" w:pos="32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released, any amounts in the nature of a hold back or earn out, whether or not held in escrow; and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225425</wp:posOffset>
            </wp:positionV>
            <wp:extent cx="552894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2" w:name="page53"/>
    <w:bookmarkEnd w:id="52"/>
    <w:p>
      <w:pPr>
        <w:jc w:val="both"/>
        <w:ind w:left="3240" w:right="199" w:hanging="950"/>
        <w:spacing w:after="0"/>
        <w:tabs>
          <w:tab w:leader="none" w:pos="32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not transferable to the United States due to any currency laws or limitation on the expatriation of funds from Australia or New Zealand, until such time as such funds may be legally transferred.</w:t>
      </w:r>
    </w:p>
    <w:p>
      <w:pPr>
        <w:spacing w:after="0" w:line="176" w:lineRule="exact"/>
        <w:rPr>
          <w:rFonts w:ascii="Times New Roman" w:cs="Times New Roman" w:eastAsia="Times New Roman" w:hAnsi="Times New Roman"/>
          <w:sz w:val="22"/>
          <w:szCs w:val="22"/>
          <w:color w:val="auto"/>
        </w:rPr>
      </w:pPr>
    </w:p>
    <w:p>
      <w:pPr>
        <w:jc w:val="both"/>
        <w:ind w:left="2460" w:right="199" w:hanging="332"/>
        <w:spacing w:after="0" w:line="248" w:lineRule="auto"/>
        <w:tabs>
          <w:tab w:leader="none" w:pos="24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Group sells [***] prior to the Maturity Date, then Borrower covenants and agrees to cause to be paid to Lender the [***] Pre-Payment Amount (as defined below) as a mandatory pre-payment of principal with such amount to be applied to the Loan’s principal balance, in inverse order of maturity, within ten (10) Business Days of receipt of such Net Property Sale Proceeds by any member of the Borrower Group. The [***] Pre-Payment Amount shall be defined as [***].</w:t>
      </w:r>
    </w:p>
    <w:p>
      <w:pPr>
        <w:spacing w:after="0" w:line="170" w:lineRule="exact"/>
        <w:rPr>
          <w:rFonts w:ascii="Times New Roman" w:cs="Times New Roman" w:eastAsia="Times New Roman" w:hAnsi="Times New Roman"/>
          <w:sz w:val="21"/>
          <w:szCs w:val="21"/>
          <w:color w:val="auto"/>
        </w:rPr>
      </w:pPr>
    </w:p>
    <w:p>
      <w:pPr>
        <w:jc w:val="both"/>
        <w:ind w:left="2460" w:right="199" w:hanging="332"/>
        <w:spacing w:after="0" w:line="244" w:lineRule="auto"/>
        <w:tabs>
          <w:tab w:leader="none" w:pos="24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mandatory prepayment covenant shall require that any member of the Borrower Group sell any Reading Sale Property or the [***] Property.”</w:t>
      </w:r>
    </w:p>
    <w:p>
      <w:pPr>
        <w:spacing w:after="0" w:line="173" w:lineRule="exact"/>
        <w:rPr>
          <w:sz w:val="20"/>
          <w:szCs w:val="20"/>
          <w:color w:val="auto"/>
        </w:rPr>
      </w:pPr>
    </w:p>
    <w:p>
      <w:pPr>
        <w:ind w:left="840" w:right="1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Mandatory Principal Prepayments</w:t>
      </w:r>
      <w:r>
        <w:rPr>
          <w:rFonts w:ascii="Times New Roman" w:cs="Times New Roman" w:eastAsia="Times New Roman" w:hAnsi="Times New Roman"/>
          <w:sz w:val="22"/>
          <w:szCs w:val="22"/>
          <w:color w:val="auto"/>
        </w:rPr>
        <w:t>. Section 4.3 of the Third Amendment is amended and restated to read as follows:</w:t>
      </w:r>
    </w:p>
    <w:p>
      <w:pPr>
        <w:spacing w:after="0" w:line="15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“Borrower shall make the following principal payments on the Loan:</w:t>
      </w:r>
    </w:p>
    <w:p>
      <w:pPr>
        <w:spacing w:after="0" w:line="213"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960" w:type="dxa"/>
            <w:vAlign w:val="bottom"/>
            <w:tcBorders>
              <w:right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80" w:type="dxa"/>
            <w:vAlign w:val="bottom"/>
            <w:tcBorders>
              <w:top w:val="single" w:sz="8" w:color="auto"/>
              <w:right w:val="single" w:sz="8" w:color="auto"/>
            </w:tcBorders>
            <w:gridSpan w:val="2"/>
          </w:tcPr>
          <w:p>
            <w:pPr>
              <w:jc w:val="center"/>
              <w:ind w:right="1440"/>
              <w:spacing w:after="0" w:line="216" w:lineRule="exact"/>
              <w:rPr>
                <w:sz w:val="20"/>
                <w:szCs w:val="20"/>
                <w:color w:val="auto"/>
              </w:rPr>
            </w:pPr>
            <w:r>
              <w:rPr>
                <w:rFonts w:ascii="Times New Roman" w:cs="Times New Roman" w:eastAsia="Times New Roman" w:hAnsi="Times New Roman"/>
                <w:sz w:val="22"/>
                <w:szCs w:val="22"/>
                <w:b w:val="1"/>
                <w:bCs w:val="1"/>
                <w:color w:val="auto"/>
                <w:w w:val="99"/>
              </w:rPr>
              <w:t>Date</w:t>
            </w:r>
          </w:p>
        </w:tc>
        <w:tc>
          <w:tcPr>
            <w:tcW w:w="420" w:type="dxa"/>
            <w:vAlign w:val="bottom"/>
            <w:tcBorders>
              <w:top w:val="single" w:sz="8" w:color="auto"/>
            </w:tcBorders>
          </w:tcPr>
          <w:p>
            <w:pPr>
              <w:spacing w:after="0"/>
              <w:rPr>
                <w:sz w:val="18"/>
                <w:szCs w:val="18"/>
                <w:color w:val="auto"/>
              </w:rPr>
            </w:pPr>
          </w:p>
        </w:tc>
        <w:tc>
          <w:tcPr>
            <w:tcW w:w="2980" w:type="dxa"/>
            <w:vAlign w:val="bottom"/>
            <w:tcBorders>
              <w:top w:val="single" w:sz="8" w:color="auto"/>
              <w:right w:val="single" w:sz="8" w:color="auto"/>
            </w:tcBorders>
            <w:gridSpan w:val="2"/>
          </w:tcPr>
          <w:p>
            <w:pPr>
              <w:jc w:val="center"/>
              <w:ind w:right="460"/>
              <w:spacing w:after="0" w:line="216" w:lineRule="exact"/>
              <w:rPr>
                <w:sz w:val="20"/>
                <w:szCs w:val="20"/>
                <w:color w:val="auto"/>
              </w:rPr>
            </w:pPr>
            <w:r>
              <w:rPr>
                <w:rFonts w:ascii="Times New Roman" w:cs="Times New Roman" w:eastAsia="Times New Roman" w:hAnsi="Times New Roman"/>
                <w:sz w:val="22"/>
                <w:szCs w:val="22"/>
                <w:b w:val="1"/>
                <w:bCs w:val="1"/>
                <w:color w:val="auto"/>
                <w:w w:val="97"/>
              </w:rPr>
              <w:t>Principal Payment Amount</w:t>
            </w:r>
          </w:p>
        </w:tc>
        <w:tc>
          <w:tcPr>
            <w:tcW w:w="20" w:type="dxa"/>
            <w:vAlign w:val="bottom"/>
          </w:tcPr>
          <w:p>
            <w:pPr>
              <w:spacing w:after="0"/>
              <w:rPr>
                <w:sz w:val="18"/>
                <w:szCs w:val="18"/>
                <w:color w:val="auto"/>
              </w:rPr>
            </w:pPr>
          </w:p>
        </w:tc>
      </w:tr>
      <w:tr>
        <w:trPr>
          <w:trHeight w:val="237"/>
        </w:trPr>
        <w:tc>
          <w:tcPr>
            <w:tcW w:w="1960" w:type="dxa"/>
            <w:vAlign w:val="bottom"/>
            <w:tcBorders>
              <w:right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20" w:type="dxa"/>
            <w:vAlign w:val="bottom"/>
            <w:tcBorders>
              <w:top w:val="single" w:sz="8" w:color="auto"/>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196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gridSpan w:val="3"/>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On the date of the Sixth</w:t>
            </w:r>
          </w:p>
        </w:tc>
        <w:tc>
          <w:tcPr>
            <w:tcW w:w="2940" w:type="dxa"/>
            <w:vAlign w:val="bottom"/>
            <w:gridSpan w:val="2"/>
          </w:tcPr>
          <w:p>
            <w:pPr>
              <w:jc w:val="center"/>
              <w:ind w:left="312"/>
              <w:spacing w:after="0" w:line="209" w:lineRule="exact"/>
              <w:rPr>
                <w:sz w:val="20"/>
                <w:szCs w:val="20"/>
                <w:color w:val="auto"/>
              </w:rPr>
            </w:pPr>
            <w:r>
              <w:rPr>
                <w:rFonts w:ascii="Times New Roman" w:cs="Times New Roman" w:eastAsia="Times New Roman" w:hAnsi="Times New Roman"/>
                <w:sz w:val="22"/>
                <w:szCs w:val="22"/>
                <w:color w:val="auto"/>
                <w:w w:val="98"/>
              </w:rPr>
              <w:t>$275,000.00</w:t>
            </w: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82"/>
        </w:trPr>
        <w:tc>
          <w:tcPr>
            <w:tcW w:w="196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9"/>
              </w:rPr>
              <w:t>Amendment</w:t>
            </w:r>
          </w:p>
        </w:tc>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76"/>
        </w:trPr>
        <w:tc>
          <w:tcPr>
            <w:tcW w:w="1960" w:type="dxa"/>
            <w:vAlign w:val="bottom"/>
            <w:tcBorders>
              <w:right w:val="single" w:sz="8" w:color="auto"/>
            </w:tcBorders>
          </w:tcPr>
          <w:p>
            <w:pPr>
              <w:spacing w:after="0"/>
              <w:rPr>
                <w:sz w:val="23"/>
                <w:szCs w:val="23"/>
                <w:color w:val="auto"/>
              </w:rPr>
            </w:pPr>
          </w:p>
        </w:tc>
        <w:tc>
          <w:tcPr>
            <w:tcW w:w="33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July 5, 2024</w:t>
            </w:r>
          </w:p>
        </w:tc>
        <w:tc>
          <w:tcPr>
            <w:tcW w:w="2940" w:type="dxa"/>
            <w:vAlign w:val="bottom"/>
            <w:gridSpan w:val="2"/>
          </w:tcPr>
          <w:p>
            <w:pPr>
              <w:jc w:val="center"/>
              <w:ind w:left="312"/>
              <w:spacing w:after="0"/>
              <w:rPr>
                <w:sz w:val="20"/>
                <w:szCs w:val="20"/>
                <w:color w:val="auto"/>
              </w:rPr>
            </w:pPr>
            <w:r>
              <w:rPr>
                <w:rFonts w:ascii="Times New Roman" w:cs="Times New Roman" w:eastAsia="Times New Roman" w:hAnsi="Times New Roman"/>
                <w:sz w:val="22"/>
                <w:szCs w:val="22"/>
                <w:color w:val="auto"/>
                <w:w w:val="98"/>
              </w:rPr>
              <w:t>$500,000.00</w:t>
            </w: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77"/>
        </w:trPr>
        <w:tc>
          <w:tcPr>
            <w:tcW w:w="1960" w:type="dxa"/>
            <w:vAlign w:val="bottom"/>
            <w:tcBorders>
              <w:right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76"/>
        </w:trPr>
        <w:tc>
          <w:tcPr>
            <w:tcW w:w="1960" w:type="dxa"/>
            <w:vAlign w:val="bottom"/>
            <w:tcBorders>
              <w:right w:val="single" w:sz="8" w:color="auto"/>
            </w:tcBorders>
          </w:tcPr>
          <w:p>
            <w:pPr>
              <w:spacing w:after="0"/>
              <w:rPr>
                <w:sz w:val="23"/>
                <w:szCs w:val="23"/>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7"/>
              </w:rPr>
              <w:t>August 5, 2024</w:t>
            </w:r>
          </w:p>
        </w:tc>
        <w:tc>
          <w:tcPr>
            <w:tcW w:w="2940" w:type="dxa"/>
            <w:vAlign w:val="bottom"/>
            <w:gridSpan w:val="2"/>
          </w:tcPr>
          <w:p>
            <w:pPr>
              <w:jc w:val="center"/>
              <w:ind w:left="312"/>
              <w:spacing w:after="0"/>
              <w:rPr>
                <w:sz w:val="20"/>
                <w:szCs w:val="20"/>
                <w:color w:val="auto"/>
              </w:rPr>
            </w:pPr>
            <w:r>
              <w:rPr>
                <w:rFonts w:ascii="Times New Roman" w:cs="Times New Roman" w:eastAsia="Times New Roman" w:hAnsi="Times New Roman"/>
                <w:sz w:val="22"/>
                <w:szCs w:val="22"/>
                <w:color w:val="auto"/>
                <w:w w:val="98"/>
              </w:rPr>
              <w:t>$500,000.00</w:t>
            </w: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77"/>
        </w:trPr>
        <w:tc>
          <w:tcPr>
            <w:tcW w:w="1960" w:type="dxa"/>
            <w:vAlign w:val="bottom"/>
            <w:tcBorders>
              <w:right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76"/>
        </w:trPr>
        <w:tc>
          <w:tcPr>
            <w:tcW w:w="1960" w:type="dxa"/>
            <w:vAlign w:val="bottom"/>
            <w:tcBorders>
              <w:right w:val="single" w:sz="8" w:color="auto"/>
            </w:tcBorders>
          </w:tcPr>
          <w:p>
            <w:pPr>
              <w:spacing w:after="0"/>
              <w:rPr>
                <w:sz w:val="23"/>
                <w:szCs w:val="23"/>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9"/>
              </w:rPr>
              <w:t>September 5, 2024</w:t>
            </w:r>
          </w:p>
        </w:tc>
        <w:tc>
          <w:tcPr>
            <w:tcW w:w="2940" w:type="dxa"/>
            <w:vAlign w:val="bottom"/>
            <w:gridSpan w:val="2"/>
          </w:tcPr>
          <w:p>
            <w:pPr>
              <w:jc w:val="center"/>
              <w:ind w:left="312"/>
              <w:spacing w:after="0"/>
              <w:rPr>
                <w:sz w:val="20"/>
                <w:szCs w:val="20"/>
                <w:color w:val="auto"/>
              </w:rPr>
            </w:pPr>
            <w:r>
              <w:rPr>
                <w:rFonts w:ascii="Times New Roman" w:cs="Times New Roman" w:eastAsia="Times New Roman" w:hAnsi="Times New Roman"/>
                <w:sz w:val="22"/>
                <w:szCs w:val="22"/>
                <w:color w:val="auto"/>
                <w:w w:val="98"/>
              </w:rPr>
              <w:t>$500,000.00</w:t>
            </w: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77"/>
        </w:trPr>
        <w:tc>
          <w:tcPr>
            <w:tcW w:w="1960" w:type="dxa"/>
            <w:vAlign w:val="bottom"/>
            <w:tcBorders>
              <w:right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76"/>
        </w:trPr>
        <w:tc>
          <w:tcPr>
            <w:tcW w:w="1960" w:type="dxa"/>
            <w:vAlign w:val="bottom"/>
            <w:tcBorders>
              <w:right w:val="single" w:sz="8" w:color="auto"/>
            </w:tcBorders>
          </w:tcPr>
          <w:p>
            <w:pPr>
              <w:spacing w:after="0"/>
              <w:rPr>
                <w:sz w:val="23"/>
                <w:szCs w:val="23"/>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8"/>
              </w:rPr>
              <w:t>October 4, 2024</w:t>
            </w:r>
          </w:p>
        </w:tc>
        <w:tc>
          <w:tcPr>
            <w:tcW w:w="2940" w:type="dxa"/>
            <w:vAlign w:val="bottom"/>
            <w:gridSpan w:val="2"/>
          </w:tcPr>
          <w:p>
            <w:pPr>
              <w:jc w:val="center"/>
              <w:ind w:left="312"/>
              <w:spacing w:after="0"/>
              <w:rPr>
                <w:sz w:val="20"/>
                <w:szCs w:val="20"/>
                <w:color w:val="auto"/>
              </w:rPr>
            </w:pPr>
            <w:r>
              <w:rPr>
                <w:rFonts w:ascii="Times New Roman" w:cs="Times New Roman" w:eastAsia="Times New Roman" w:hAnsi="Times New Roman"/>
                <w:sz w:val="22"/>
                <w:szCs w:val="22"/>
                <w:color w:val="auto"/>
                <w:w w:val="98"/>
              </w:rPr>
              <w:t>$500,000.00</w:t>
            </w: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77"/>
        </w:trPr>
        <w:tc>
          <w:tcPr>
            <w:tcW w:w="1960" w:type="dxa"/>
            <w:vAlign w:val="bottom"/>
            <w:tcBorders>
              <w:right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76"/>
        </w:trPr>
        <w:tc>
          <w:tcPr>
            <w:tcW w:w="1960" w:type="dxa"/>
            <w:vAlign w:val="bottom"/>
            <w:tcBorders>
              <w:right w:val="single" w:sz="8" w:color="auto"/>
            </w:tcBorders>
          </w:tcPr>
          <w:p>
            <w:pPr>
              <w:spacing w:after="0"/>
              <w:rPr>
                <w:sz w:val="23"/>
                <w:szCs w:val="23"/>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7"/>
              </w:rPr>
              <w:t>November 5, 2024</w:t>
            </w:r>
          </w:p>
        </w:tc>
        <w:tc>
          <w:tcPr>
            <w:tcW w:w="2940" w:type="dxa"/>
            <w:vAlign w:val="bottom"/>
            <w:gridSpan w:val="2"/>
          </w:tcPr>
          <w:p>
            <w:pPr>
              <w:jc w:val="center"/>
              <w:ind w:left="312"/>
              <w:spacing w:after="0"/>
              <w:rPr>
                <w:sz w:val="20"/>
                <w:szCs w:val="20"/>
                <w:color w:val="auto"/>
              </w:rPr>
            </w:pPr>
            <w:r>
              <w:rPr>
                <w:rFonts w:ascii="Times New Roman" w:cs="Times New Roman" w:eastAsia="Times New Roman" w:hAnsi="Times New Roman"/>
                <w:sz w:val="22"/>
                <w:szCs w:val="22"/>
                <w:color w:val="auto"/>
                <w:w w:val="98"/>
              </w:rPr>
              <w:t>$500,000.00</w:t>
            </w: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77"/>
        </w:trPr>
        <w:tc>
          <w:tcPr>
            <w:tcW w:w="1960" w:type="dxa"/>
            <w:vAlign w:val="bottom"/>
            <w:tcBorders>
              <w:right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76"/>
        </w:trPr>
        <w:tc>
          <w:tcPr>
            <w:tcW w:w="1960" w:type="dxa"/>
            <w:vAlign w:val="bottom"/>
            <w:tcBorders>
              <w:right w:val="single" w:sz="8" w:color="auto"/>
            </w:tcBorders>
          </w:tcPr>
          <w:p>
            <w:pPr>
              <w:spacing w:after="0"/>
              <w:rPr>
                <w:sz w:val="23"/>
                <w:szCs w:val="23"/>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8"/>
              </w:rPr>
              <w:t>December 5, 2024</w:t>
            </w:r>
          </w:p>
        </w:tc>
        <w:tc>
          <w:tcPr>
            <w:tcW w:w="2940" w:type="dxa"/>
            <w:vAlign w:val="bottom"/>
            <w:gridSpan w:val="2"/>
          </w:tcPr>
          <w:p>
            <w:pPr>
              <w:jc w:val="center"/>
              <w:ind w:left="312"/>
              <w:spacing w:after="0"/>
              <w:rPr>
                <w:sz w:val="20"/>
                <w:szCs w:val="20"/>
                <w:color w:val="auto"/>
              </w:rPr>
            </w:pPr>
            <w:r>
              <w:rPr>
                <w:rFonts w:ascii="Times New Roman" w:cs="Times New Roman" w:eastAsia="Times New Roman" w:hAnsi="Times New Roman"/>
                <w:sz w:val="22"/>
                <w:szCs w:val="22"/>
                <w:color w:val="auto"/>
                <w:w w:val="98"/>
              </w:rPr>
              <w:t>$500,000.00</w:t>
            </w: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77"/>
        </w:trPr>
        <w:tc>
          <w:tcPr>
            <w:tcW w:w="1960" w:type="dxa"/>
            <w:vAlign w:val="bottom"/>
            <w:tcBorders>
              <w:right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76"/>
        </w:trPr>
        <w:tc>
          <w:tcPr>
            <w:tcW w:w="1960" w:type="dxa"/>
            <w:vAlign w:val="bottom"/>
            <w:tcBorders>
              <w:right w:val="single" w:sz="8" w:color="auto"/>
            </w:tcBorders>
          </w:tcPr>
          <w:p>
            <w:pPr>
              <w:spacing w:after="0"/>
              <w:rPr>
                <w:sz w:val="23"/>
                <w:szCs w:val="23"/>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7"/>
              </w:rPr>
              <w:t>January 6, 2025</w:t>
            </w:r>
          </w:p>
        </w:tc>
        <w:tc>
          <w:tcPr>
            <w:tcW w:w="2940" w:type="dxa"/>
            <w:vAlign w:val="bottom"/>
            <w:gridSpan w:val="2"/>
          </w:tcPr>
          <w:p>
            <w:pPr>
              <w:jc w:val="center"/>
              <w:ind w:left="312"/>
              <w:spacing w:after="0"/>
              <w:rPr>
                <w:sz w:val="20"/>
                <w:szCs w:val="20"/>
                <w:color w:val="auto"/>
              </w:rPr>
            </w:pPr>
            <w:r>
              <w:rPr>
                <w:rFonts w:ascii="Times New Roman" w:cs="Times New Roman" w:eastAsia="Times New Roman" w:hAnsi="Times New Roman"/>
                <w:sz w:val="22"/>
                <w:szCs w:val="22"/>
                <w:color w:val="auto"/>
                <w:w w:val="98"/>
              </w:rPr>
              <w:t>$500,000.00</w:t>
            </w: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77"/>
        </w:trPr>
        <w:tc>
          <w:tcPr>
            <w:tcW w:w="1960" w:type="dxa"/>
            <w:vAlign w:val="bottom"/>
            <w:tcBorders>
              <w:right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76"/>
        </w:trPr>
        <w:tc>
          <w:tcPr>
            <w:tcW w:w="1960" w:type="dxa"/>
            <w:vAlign w:val="bottom"/>
            <w:tcBorders>
              <w:right w:val="single" w:sz="8" w:color="auto"/>
            </w:tcBorders>
          </w:tcPr>
          <w:p>
            <w:pPr>
              <w:spacing w:after="0"/>
              <w:rPr>
                <w:sz w:val="23"/>
                <w:szCs w:val="23"/>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8"/>
              </w:rPr>
              <w:t>February 5, 2025</w:t>
            </w:r>
          </w:p>
        </w:tc>
        <w:tc>
          <w:tcPr>
            <w:tcW w:w="2940" w:type="dxa"/>
            <w:vAlign w:val="bottom"/>
            <w:gridSpan w:val="2"/>
          </w:tcPr>
          <w:p>
            <w:pPr>
              <w:jc w:val="center"/>
              <w:ind w:left="312"/>
              <w:spacing w:after="0"/>
              <w:rPr>
                <w:sz w:val="20"/>
                <w:szCs w:val="20"/>
                <w:color w:val="auto"/>
              </w:rPr>
            </w:pPr>
            <w:r>
              <w:rPr>
                <w:rFonts w:ascii="Times New Roman" w:cs="Times New Roman" w:eastAsia="Times New Roman" w:hAnsi="Times New Roman"/>
                <w:sz w:val="22"/>
                <w:szCs w:val="22"/>
                <w:color w:val="auto"/>
                <w:w w:val="98"/>
              </w:rPr>
              <w:t>$500,000.00</w:t>
            </w: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77"/>
        </w:trPr>
        <w:tc>
          <w:tcPr>
            <w:tcW w:w="1960" w:type="dxa"/>
            <w:vAlign w:val="bottom"/>
            <w:tcBorders>
              <w:right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76"/>
        </w:trPr>
        <w:tc>
          <w:tcPr>
            <w:tcW w:w="1960" w:type="dxa"/>
            <w:vAlign w:val="bottom"/>
            <w:tcBorders>
              <w:right w:val="single" w:sz="8" w:color="auto"/>
            </w:tcBorders>
          </w:tcPr>
          <w:p>
            <w:pPr>
              <w:spacing w:after="0"/>
              <w:rPr>
                <w:sz w:val="23"/>
                <w:szCs w:val="23"/>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9"/>
              </w:rPr>
              <w:t>March 5, 2025</w:t>
            </w:r>
          </w:p>
        </w:tc>
        <w:tc>
          <w:tcPr>
            <w:tcW w:w="2940" w:type="dxa"/>
            <w:vAlign w:val="bottom"/>
            <w:gridSpan w:val="2"/>
          </w:tcPr>
          <w:p>
            <w:pPr>
              <w:jc w:val="center"/>
              <w:ind w:left="312"/>
              <w:spacing w:after="0"/>
              <w:rPr>
                <w:sz w:val="20"/>
                <w:szCs w:val="20"/>
                <w:color w:val="auto"/>
              </w:rPr>
            </w:pPr>
            <w:r>
              <w:rPr>
                <w:rFonts w:ascii="Times New Roman" w:cs="Times New Roman" w:eastAsia="Times New Roman" w:hAnsi="Times New Roman"/>
                <w:sz w:val="22"/>
                <w:szCs w:val="22"/>
                <w:color w:val="auto"/>
                <w:w w:val="98"/>
              </w:rPr>
              <w:t>$500,000.00</w:t>
            </w: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77"/>
        </w:trPr>
        <w:tc>
          <w:tcPr>
            <w:tcW w:w="1960" w:type="dxa"/>
            <w:vAlign w:val="bottom"/>
            <w:tcBorders>
              <w:right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76"/>
        </w:trPr>
        <w:tc>
          <w:tcPr>
            <w:tcW w:w="1960" w:type="dxa"/>
            <w:vAlign w:val="bottom"/>
            <w:tcBorders>
              <w:right w:val="single" w:sz="8" w:color="auto"/>
            </w:tcBorders>
          </w:tcPr>
          <w:p>
            <w:pPr>
              <w:spacing w:after="0"/>
              <w:rPr>
                <w:sz w:val="23"/>
                <w:szCs w:val="23"/>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8"/>
              </w:rPr>
              <w:t>April 4, 2025</w:t>
            </w:r>
          </w:p>
        </w:tc>
        <w:tc>
          <w:tcPr>
            <w:tcW w:w="2940" w:type="dxa"/>
            <w:vAlign w:val="bottom"/>
            <w:gridSpan w:val="2"/>
          </w:tcPr>
          <w:p>
            <w:pPr>
              <w:jc w:val="center"/>
              <w:ind w:left="312"/>
              <w:spacing w:after="0"/>
              <w:rPr>
                <w:sz w:val="20"/>
                <w:szCs w:val="20"/>
                <w:color w:val="auto"/>
              </w:rPr>
            </w:pPr>
            <w:r>
              <w:rPr>
                <w:rFonts w:ascii="Times New Roman" w:cs="Times New Roman" w:eastAsia="Times New Roman" w:hAnsi="Times New Roman"/>
                <w:sz w:val="22"/>
                <w:szCs w:val="22"/>
                <w:color w:val="auto"/>
                <w:w w:val="98"/>
              </w:rPr>
              <w:t>$500,000.00</w:t>
            </w: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77"/>
        </w:trPr>
        <w:tc>
          <w:tcPr>
            <w:tcW w:w="1960" w:type="dxa"/>
            <w:vAlign w:val="bottom"/>
            <w:tcBorders>
              <w:right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427"/>
        </w:trPr>
        <w:tc>
          <w:tcPr>
            <w:tcW w:w="1960" w:type="dxa"/>
            <w:vAlign w:val="bottom"/>
          </w:tcPr>
          <w:p>
            <w:pPr>
              <w:spacing w:after="0"/>
              <w:rPr>
                <w:sz w:val="24"/>
                <w:szCs w:val="24"/>
                <w:color w:val="auto"/>
              </w:rPr>
            </w:pPr>
          </w:p>
        </w:tc>
        <w:tc>
          <w:tcPr>
            <w:tcW w:w="3300" w:type="dxa"/>
            <w:vAlign w:val="bottom"/>
            <w:gridSpan w:val="3"/>
          </w:tcPr>
          <w:p>
            <w:pPr>
              <w:jc w:val="right"/>
              <w:ind w:right="880"/>
              <w:spacing w:after="0"/>
              <w:rPr>
                <w:sz w:val="20"/>
                <w:szCs w:val="20"/>
                <w:color w:val="auto"/>
              </w:rPr>
            </w:pPr>
            <w:r>
              <w:rPr>
                <w:rFonts w:ascii="Times New Roman" w:cs="Times New Roman" w:eastAsia="Times New Roman" w:hAnsi="Times New Roman"/>
                <w:sz w:val="19"/>
                <w:szCs w:val="19"/>
                <w:color w:val="auto"/>
              </w:rPr>
              <w:t>4</w:t>
            </w:r>
          </w:p>
        </w:tc>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9"/>
        </w:trPr>
        <w:tc>
          <w:tcPr>
            <w:tcW w:w="19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19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3" w:name="page54"/>
    <w:bookmarkEnd w:id="53"/>
    <w:tbl>
      <w:tblPr>
        <w:tblLayout w:type="fixed"/>
        <w:tblInd w:w="2130" w:type="dxa"/>
        <w:tblCellMar>
          <w:top w:w="0" w:type="dxa"/>
          <w:left w:w="0" w:type="dxa"/>
          <w:bottom w:w="0" w:type="dxa"/>
          <w:right w:w="0" w:type="dxa"/>
        </w:tblCellMar>
      </w:tblPr>
      <w:tr>
        <w:trPr>
          <w:trHeight w:val="296"/>
        </w:trPr>
        <w:tc>
          <w:tcPr>
            <w:tcW w:w="33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May 5, 2025</w:t>
            </w:r>
          </w:p>
        </w:tc>
        <w:tc>
          <w:tcPr>
            <w:tcW w:w="3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$500,000.00</w:t>
            </w:r>
          </w:p>
        </w:tc>
      </w:tr>
      <w:tr>
        <w:trPr>
          <w:trHeight w:val="177"/>
        </w:trPr>
        <w:tc>
          <w:tcPr>
            <w:tcW w:w="3300" w:type="dxa"/>
            <w:vAlign w:val="bottom"/>
            <w:tcBorders>
              <w:left w:val="single" w:sz="8" w:color="auto"/>
              <w:bottom w:val="single" w:sz="8" w:color="auto"/>
              <w:right w:val="single" w:sz="8" w:color="auto"/>
            </w:tcBorders>
          </w:tcPr>
          <w:p>
            <w:pPr>
              <w:spacing w:after="0"/>
              <w:rPr>
                <w:sz w:val="15"/>
                <w:szCs w:val="15"/>
                <w:color w:val="auto"/>
              </w:rPr>
            </w:pPr>
          </w:p>
        </w:tc>
        <w:tc>
          <w:tcPr>
            <w:tcW w:w="3420" w:type="dxa"/>
            <w:vAlign w:val="bottom"/>
            <w:tcBorders>
              <w:bottom w:val="single" w:sz="8" w:color="auto"/>
              <w:right w:val="single" w:sz="8" w:color="auto"/>
            </w:tcBorders>
          </w:tcPr>
          <w:p>
            <w:pPr>
              <w:spacing w:after="0"/>
              <w:rPr>
                <w:sz w:val="15"/>
                <w:szCs w:val="15"/>
                <w:color w:val="auto"/>
              </w:rPr>
            </w:pPr>
          </w:p>
        </w:tc>
      </w:tr>
      <w:tr>
        <w:trPr>
          <w:trHeight w:val="276"/>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June 5, 2025</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$500,000.00</w:t>
            </w:r>
          </w:p>
        </w:tc>
      </w:tr>
      <w:tr>
        <w:trPr>
          <w:trHeight w:val="177"/>
        </w:trPr>
        <w:tc>
          <w:tcPr>
            <w:tcW w:w="3300" w:type="dxa"/>
            <w:vAlign w:val="bottom"/>
            <w:tcBorders>
              <w:left w:val="single" w:sz="8" w:color="auto"/>
              <w:bottom w:val="single" w:sz="8" w:color="auto"/>
              <w:right w:val="single" w:sz="8" w:color="auto"/>
            </w:tcBorders>
          </w:tcPr>
          <w:p>
            <w:pPr>
              <w:spacing w:after="0"/>
              <w:rPr>
                <w:sz w:val="15"/>
                <w:szCs w:val="15"/>
                <w:color w:val="auto"/>
              </w:rPr>
            </w:pPr>
          </w:p>
        </w:tc>
        <w:tc>
          <w:tcPr>
            <w:tcW w:w="3420" w:type="dxa"/>
            <w:vAlign w:val="bottom"/>
            <w:tcBorders>
              <w:bottom w:val="single" w:sz="8" w:color="auto"/>
              <w:right w:val="single" w:sz="8" w:color="auto"/>
            </w:tcBorders>
          </w:tcPr>
          <w:p>
            <w:pPr>
              <w:spacing w:after="0"/>
              <w:rPr>
                <w:sz w:val="15"/>
                <w:szCs w:val="15"/>
                <w:color w:val="auto"/>
              </w:rPr>
            </w:pPr>
          </w:p>
        </w:tc>
      </w:tr>
      <w:tr>
        <w:trPr>
          <w:trHeight w:val="276"/>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July 3, 2025</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$500,000.00</w:t>
            </w:r>
          </w:p>
        </w:tc>
      </w:tr>
      <w:tr>
        <w:trPr>
          <w:trHeight w:val="177"/>
        </w:trPr>
        <w:tc>
          <w:tcPr>
            <w:tcW w:w="3300" w:type="dxa"/>
            <w:vAlign w:val="bottom"/>
            <w:tcBorders>
              <w:left w:val="single" w:sz="8" w:color="auto"/>
              <w:bottom w:val="single" w:sz="8" w:color="auto"/>
              <w:right w:val="single" w:sz="8" w:color="auto"/>
            </w:tcBorders>
          </w:tcPr>
          <w:p>
            <w:pPr>
              <w:spacing w:after="0"/>
              <w:rPr>
                <w:sz w:val="15"/>
                <w:szCs w:val="15"/>
                <w:color w:val="auto"/>
              </w:rPr>
            </w:pPr>
          </w:p>
        </w:tc>
        <w:tc>
          <w:tcPr>
            <w:tcW w:w="3420" w:type="dxa"/>
            <w:vAlign w:val="bottom"/>
            <w:tcBorders>
              <w:bottom w:val="single" w:sz="8" w:color="auto"/>
              <w:right w:val="single" w:sz="8" w:color="auto"/>
            </w:tcBorders>
          </w:tcPr>
          <w:p>
            <w:pPr>
              <w:spacing w:after="0"/>
              <w:rPr>
                <w:sz w:val="15"/>
                <w:szCs w:val="15"/>
                <w:color w:val="auto"/>
              </w:rPr>
            </w:pPr>
          </w:p>
        </w:tc>
      </w:tr>
      <w:tr>
        <w:trPr>
          <w:trHeight w:val="276"/>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August 5, 2025</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$500,000.00</w:t>
            </w:r>
          </w:p>
        </w:tc>
      </w:tr>
      <w:tr>
        <w:trPr>
          <w:trHeight w:val="177"/>
        </w:trPr>
        <w:tc>
          <w:tcPr>
            <w:tcW w:w="3300" w:type="dxa"/>
            <w:vAlign w:val="bottom"/>
            <w:tcBorders>
              <w:left w:val="single" w:sz="8" w:color="auto"/>
              <w:bottom w:val="single" w:sz="8" w:color="auto"/>
              <w:right w:val="single" w:sz="8" w:color="auto"/>
            </w:tcBorders>
          </w:tcPr>
          <w:p>
            <w:pPr>
              <w:spacing w:after="0"/>
              <w:rPr>
                <w:sz w:val="15"/>
                <w:szCs w:val="15"/>
                <w:color w:val="auto"/>
              </w:rPr>
            </w:pPr>
          </w:p>
        </w:tc>
        <w:tc>
          <w:tcPr>
            <w:tcW w:w="3420" w:type="dxa"/>
            <w:vAlign w:val="bottom"/>
            <w:tcBorders>
              <w:bottom w:val="single" w:sz="8" w:color="auto"/>
              <w:right w:val="single" w:sz="8" w:color="auto"/>
            </w:tcBorders>
          </w:tcPr>
          <w:p>
            <w:pPr>
              <w:spacing w:after="0"/>
              <w:rPr>
                <w:sz w:val="15"/>
                <w:szCs w:val="15"/>
                <w:color w:val="auto"/>
              </w:rPr>
            </w:pPr>
          </w:p>
        </w:tc>
      </w:tr>
      <w:tr>
        <w:trPr>
          <w:trHeight w:val="209"/>
        </w:trPr>
        <w:tc>
          <w:tcPr>
            <w:tcW w:w="3300" w:type="dxa"/>
            <w:vAlign w:val="bottom"/>
            <w:tcBorders>
              <w:left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Maturity Date</w:t>
            </w:r>
          </w:p>
        </w:tc>
        <w:tc>
          <w:tcPr>
            <w:tcW w:w="34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The remaining outstanding balance</w:t>
            </w:r>
          </w:p>
        </w:tc>
      </w:tr>
      <w:tr>
        <w:trPr>
          <w:trHeight w:val="282"/>
        </w:trPr>
        <w:tc>
          <w:tcPr>
            <w:tcW w:w="330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of the Loans</w:t>
            </w:r>
          </w:p>
        </w:tc>
      </w:tr>
      <w:tr>
        <w:trPr>
          <w:trHeight w:val="204"/>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spacing w:after="0"/>
              <w:rPr>
                <w:sz w:val="17"/>
                <w:szCs w:val="17"/>
                <w:color w:val="auto"/>
              </w:rPr>
            </w:pPr>
          </w:p>
        </w:tc>
      </w:tr>
    </w:tbl>
    <w:p>
      <w:pPr>
        <w:spacing w:after="0" w:line="216" w:lineRule="exact"/>
        <w:rPr>
          <w:sz w:val="20"/>
          <w:szCs w:val="20"/>
          <w:color w:val="auto"/>
        </w:rPr>
      </w:pPr>
    </w:p>
    <w:p>
      <w:pPr>
        <w:jc w:val="both"/>
        <w:ind w:left="840" w:right="1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Liquidity Covenant</w:t>
      </w:r>
      <w:r>
        <w:rPr>
          <w:rFonts w:ascii="Times New Roman" w:cs="Times New Roman" w:eastAsia="Times New Roman" w:hAnsi="Times New Roman"/>
          <w:sz w:val="22"/>
          <w:szCs w:val="22"/>
          <w:color w:val="auto"/>
        </w:rPr>
        <w:t>. The monthly Liquidity Covenant set forth in Section 9 of the Second Amendment is deleted in its entirety.</w:t>
      </w:r>
    </w:p>
    <w:p>
      <w:pPr>
        <w:spacing w:after="0" w:line="158" w:lineRule="exact"/>
        <w:rPr>
          <w:sz w:val="20"/>
          <w:szCs w:val="20"/>
          <w:color w:val="auto"/>
        </w:rPr>
      </w:pPr>
    </w:p>
    <w:p>
      <w:pPr>
        <w:ind w:left="1500" w:hanging="668"/>
        <w:spacing w:after="0"/>
        <w:tabs>
          <w:tab w:leader="none" w:pos="15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left="180" w:right="199" w:firstLine="652"/>
        <w:spacing w:after="0" w:line="234" w:lineRule="auto"/>
        <w:tabs>
          <w:tab w:leader="none" w:pos="151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Release</w:t>
      </w:r>
      <w:r>
        <w:rPr>
          <w:rFonts w:ascii="Times New Roman" w:cs="Times New Roman" w:eastAsia="Times New Roman" w:hAnsi="Times New Roman"/>
          <w:sz w:val="22"/>
          <w:szCs w:val="22"/>
          <w:color w:val="auto"/>
        </w:rPr>
        <w:t>. From and after the effective date of this Sixth Amendment,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and each Guarantor hereby agrees that, without any further act, the Administrative Agent, each Lender and each other Secured Party is fully and forever released and discharged from any and all claims for damages or losses to the Borrower, any Guarantor, or to any property of the Borrower or any Guarantor (whether any such damages or losses are known or unknown, foreseen or unforeseen, or patent or latent), including, without limitation, any tort claim, demand, action or cause of action of any nature, whatsoever, arising under or relating to the Credit Agreement or the other Loan Documents or any of the transactions related thereto, in each case, prior to the date hereof, and the Borrower and each Guarantor hereby waive application of California Civil Code Section 1542. The Borrower and each Guarantor certify that they have read the following provisions of California Civil Code Section 1542:</w:t>
      </w:r>
    </w:p>
    <w:p>
      <w:pPr>
        <w:spacing w:after="0" w:line="176" w:lineRule="exact"/>
        <w:rPr>
          <w:sz w:val="20"/>
          <w:szCs w:val="20"/>
          <w:color w:val="auto"/>
        </w:rPr>
      </w:pPr>
    </w:p>
    <w:p>
      <w:pPr>
        <w:jc w:val="both"/>
        <w:ind w:left="840" w:right="199"/>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3" w:lineRule="exact"/>
        <w:rPr>
          <w:sz w:val="20"/>
          <w:szCs w:val="20"/>
          <w:color w:val="auto"/>
        </w:rPr>
      </w:pPr>
    </w:p>
    <w:p>
      <w:pPr>
        <w:jc w:val="both"/>
        <w:ind w:left="180" w:right="199"/>
        <w:spacing w:after="0" w:line="234" w:lineRule="auto"/>
        <w:rPr>
          <w:sz w:val="20"/>
          <w:szCs w:val="20"/>
          <w:color w:val="auto"/>
        </w:rPr>
      </w:pPr>
      <w:r>
        <w:rPr>
          <w:rFonts w:ascii="Times New Roman" w:cs="Times New Roman" w:eastAsia="Times New Roman" w:hAnsi="Times New Roman"/>
          <w:sz w:val="22"/>
          <w:szCs w:val="22"/>
          <w:color w:val="auto"/>
        </w:rPr>
        <w:t>The Borrower and each Guarantor understands and acknowledges that the significance and consequence of this waiver of California Civil Code Section 1542 is that even if the Borrower or such Guarantor should eventually suffer additional damages arising out of the facts referred to above, it will not be able to make any claim for those damages. Furthermore, the Borrower and each Guarantor acknowledge that they intend these consequences even as to claims for damages that may exist as of the date of this release but which the Borrower or such Guarantor does not know exist, and which, if known, would materially affect the Borrower’s or such Guarantor’s decision to execute this Sixth Amendment, regardless of whether the Borrower’s or such Guarantor’s lack of knowledge is the result of ignorance, oversight, error, negligence, or any other cause.</w:t>
      </w:r>
    </w:p>
    <w:p>
      <w:pPr>
        <w:spacing w:after="0" w:line="175" w:lineRule="exact"/>
        <w:rPr>
          <w:sz w:val="20"/>
          <w:szCs w:val="20"/>
          <w:color w:val="auto"/>
        </w:rPr>
      </w:pPr>
    </w:p>
    <w:p>
      <w:pPr>
        <w:ind w:left="180" w:right="199" w:firstLine="652"/>
        <w:spacing w:after="0" w:line="262" w:lineRule="auto"/>
        <w:tabs>
          <w:tab w:leader="none" w:pos="151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Precedent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Sixth Amendment shall become effective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first set forth above upon satisfaction of the following conditions: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225425</wp:posOffset>
            </wp:positionV>
            <wp:extent cx="552894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54" w:name="page55"/>
    <w:bookmarkEnd w:id="54"/>
    <w:p>
      <w:pPr>
        <w:jc w:val="both"/>
        <w:ind w:left="840" w:right="1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This Sixth Amendment</w:t>
      </w:r>
      <w:r>
        <w:rPr>
          <w:rFonts w:ascii="Times New Roman" w:cs="Times New Roman" w:eastAsia="Times New Roman" w:hAnsi="Times New Roman"/>
          <w:sz w:val="22"/>
          <w:szCs w:val="22"/>
          <w:color w:val="auto"/>
        </w:rPr>
        <w:t>. The Administrative Agent shall have received this Sixth Amendment duly executed by the Borrower, the Guarantors, and each of the Lenders, as applicable;</w:t>
      </w:r>
    </w:p>
    <w:p>
      <w:pPr>
        <w:spacing w:after="0" w:line="201" w:lineRule="exact"/>
        <w:rPr>
          <w:sz w:val="20"/>
          <w:szCs w:val="20"/>
          <w:color w:val="auto"/>
        </w:rPr>
      </w:pPr>
    </w:p>
    <w:p>
      <w:pPr>
        <w:jc w:val="both"/>
        <w:ind w:left="840" w:right="1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Principal Pay Down</w:t>
      </w:r>
      <w:r>
        <w:rPr>
          <w:rFonts w:ascii="Times New Roman" w:cs="Times New Roman" w:eastAsia="Times New Roman" w:hAnsi="Times New Roman"/>
          <w:sz w:val="22"/>
          <w:szCs w:val="22"/>
          <w:color w:val="auto"/>
        </w:rPr>
        <w:t>. Administrative Agent has received a principal payment of $275,000.00;</w:t>
      </w:r>
    </w:p>
    <w:p>
      <w:pPr>
        <w:spacing w:after="0" w:line="185" w:lineRule="exact"/>
        <w:rPr>
          <w:sz w:val="20"/>
          <w:szCs w:val="20"/>
          <w:color w:val="auto"/>
        </w:rPr>
      </w:pPr>
    </w:p>
    <w:p>
      <w:pPr>
        <w:jc w:val="both"/>
        <w:ind w:left="840" w:right="1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Accrued Interest</w:t>
      </w:r>
      <w:r>
        <w:rPr>
          <w:rFonts w:ascii="Times New Roman" w:cs="Times New Roman" w:eastAsia="Times New Roman" w:hAnsi="Times New Roman"/>
          <w:sz w:val="22"/>
          <w:szCs w:val="22"/>
          <w:color w:val="auto"/>
        </w:rPr>
        <w:t>. Administrative Agent has received the payment all accrued and outstanding interest (other than PIK Interest) on the Loan;</w:t>
      </w:r>
    </w:p>
    <w:p>
      <w:pPr>
        <w:spacing w:after="0" w:line="200" w:lineRule="exact"/>
        <w:rPr>
          <w:sz w:val="20"/>
          <w:szCs w:val="20"/>
          <w:color w:val="auto"/>
        </w:rPr>
      </w:pPr>
    </w:p>
    <w:p>
      <w:pPr>
        <w:spacing w:after="0" w:line="201" w:lineRule="exact"/>
        <w:rPr>
          <w:sz w:val="20"/>
          <w:szCs w:val="20"/>
          <w:color w:val="auto"/>
        </w:rPr>
      </w:pPr>
    </w:p>
    <w:p>
      <w:pPr>
        <w:jc w:val="both"/>
        <w:ind w:left="840" w:right="1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Reading Guaranty</w:t>
      </w:r>
      <w:r>
        <w:rPr>
          <w:rFonts w:ascii="Times New Roman" w:cs="Times New Roman" w:eastAsia="Times New Roman" w:hAnsi="Times New Roman"/>
          <w:sz w:val="22"/>
          <w:szCs w:val="22"/>
          <w:color w:val="auto"/>
        </w:rPr>
        <w:t>. Administrative Agent shall have received a Continuing and Unconditional Guaranty duly executed by Reading, the form of which shall be subject to the sole and absolute discretion of Administrative Agent.</w:t>
      </w:r>
    </w:p>
    <w:p>
      <w:pPr>
        <w:spacing w:after="0" w:line="200" w:lineRule="exact"/>
        <w:rPr>
          <w:sz w:val="20"/>
          <w:szCs w:val="20"/>
          <w:color w:val="auto"/>
        </w:rPr>
      </w:pPr>
    </w:p>
    <w:p>
      <w:pPr>
        <w:spacing w:after="0" w:line="216" w:lineRule="exact"/>
        <w:rPr>
          <w:sz w:val="20"/>
          <w:szCs w:val="20"/>
          <w:color w:val="auto"/>
        </w:rPr>
      </w:pPr>
    </w:p>
    <w:p>
      <w:pPr>
        <w:jc w:val="both"/>
        <w:ind w:left="840" w:right="1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Officer’s Certificates</w:t>
      </w:r>
      <w:r>
        <w:rPr>
          <w:rFonts w:ascii="Times New Roman" w:cs="Times New Roman" w:eastAsia="Times New Roman" w:hAnsi="Times New Roman"/>
          <w:sz w:val="22"/>
          <w:szCs w:val="22"/>
          <w:color w:val="auto"/>
        </w:rPr>
        <w:t>. Administrative Agent shall have received officer’s certificates and resolutions authorizing this Sixth Amendment (including, without limitation, an officer’s certificates and resolutions from Reading authorizing the Guaranty, in form and substance acceptable to Administrative Agent);</w:t>
      </w:r>
    </w:p>
    <w:p>
      <w:pPr>
        <w:spacing w:after="0" w:line="207" w:lineRule="exact"/>
        <w:rPr>
          <w:sz w:val="20"/>
          <w:szCs w:val="20"/>
          <w:color w:val="auto"/>
        </w:rPr>
      </w:pPr>
    </w:p>
    <w:p>
      <w:pPr>
        <w:jc w:val="both"/>
        <w:ind w:left="840" w:right="1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Due Diligence</w:t>
      </w:r>
      <w:r>
        <w:rPr>
          <w:rFonts w:ascii="Times New Roman" w:cs="Times New Roman" w:eastAsia="Times New Roman" w:hAnsi="Times New Roman"/>
          <w:sz w:val="22"/>
          <w:szCs w:val="22"/>
          <w:color w:val="auto"/>
        </w:rPr>
        <w:t>. Administrative Agent and Lenders have received and are reasonably satisfied with all reports, inspections, and examinations required by Administrative Agent and Lenders; and</w:t>
      </w:r>
    </w:p>
    <w:p>
      <w:pPr>
        <w:spacing w:after="0" w:line="200" w:lineRule="exact"/>
        <w:rPr>
          <w:sz w:val="20"/>
          <w:szCs w:val="20"/>
          <w:color w:val="auto"/>
        </w:rPr>
      </w:pPr>
    </w:p>
    <w:p>
      <w:pPr>
        <w:jc w:val="both"/>
        <w:ind w:left="840" w:right="1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The Administrative Agent shall have received all fees, expenses and other amounts that have been invoiced by Administrative Agent to Borrower on or before the date hereof.</w:t>
      </w:r>
    </w:p>
    <w:p>
      <w:pPr>
        <w:spacing w:after="0" w:line="196" w:lineRule="exact"/>
        <w:rPr>
          <w:sz w:val="20"/>
          <w:szCs w:val="20"/>
          <w:color w:val="auto"/>
        </w:rPr>
      </w:pPr>
    </w:p>
    <w:p>
      <w:pPr>
        <w:jc w:val="both"/>
        <w:ind w:left="180" w:right="199" w:firstLine="652"/>
        <w:spacing w:after="0" w:line="235" w:lineRule="auto"/>
        <w:tabs>
          <w:tab w:leader="none" w:pos="154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Reaffirmation and Ratification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Borrower and each Guarantor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reaffirms, ratifies and confirms its Obligations under the Credit Agreement and all other Loan Documents and acknowledges that all of the terms and conditions of the Credit Agreement and all other Loan Documents, except as otherwise provided herein or therein, remain in full force and effect. The Borrower and each Guarantor further acknowledges and agrees that the liens, security interests, pledges, and assignments created by the Credit Agreement and Loan Documents are valid, effective, properly perfected, and enforceable liens, security interests, pledges, and assignments, and hereby reaffirms the grant of all liens, security interests, pledges, and assignments which each has previously granted to the Administrative Agent and Lenders.</w:t>
      </w:r>
    </w:p>
    <w:p>
      <w:pPr>
        <w:spacing w:after="0" w:line="173" w:lineRule="exact"/>
        <w:rPr>
          <w:rFonts w:ascii="Times New Roman" w:cs="Times New Roman" w:eastAsia="Times New Roman" w:hAnsi="Times New Roman"/>
          <w:sz w:val="22"/>
          <w:szCs w:val="22"/>
          <w:color w:val="auto"/>
        </w:rPr>
      </w:pPr>
    </w:p>
    <w:p>
      <w:pPr>
        <w:jc w:val="both"/>
        <w:ind w:left="180" w:right="199" w:firstLine="652"/>
        <w:spacing w:after="0" w:line="236" w:lineRule="auto"/>
        <w:tabs>
          <w:tab w:leader="none" w:pos="153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Loan Parties acknowledge and agree that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of this Sixth Amendment: (i) the Indebtedness is just, due, and owing, without any right of any Loan Party to setoff, recoup, or counterclaim; (ii) the Administrative Agent and Lenders have fully performed all of their obligations under the Credit Agreement and Loan Documents and are not in default under any terms, provisions, or conditions of the Credit Agreement or the Loan Documents, and in addition, no circumstances exist under which Administrative Agent and Lenders may be deemed in default merely upon service of notice or</w:t>
      </w:r>
    </w:p>
    <w:p>
      <w:pPr>
        <w:spacing w:after="0" w:line="1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225425</wp:posOffset>
            </wp:positionV>
            <wp:extent cx="552894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5" w:name="page56"/>
    <w:bookmarkEnd w:id="55"/>
    <w:p>
      <w:pPr>
        <w:ind w:left="180" w:right="199"/>
        <w:spacing w:after="0" w:line="259" w:lineRule="auto"/>
        <w:rPr>
          <w:sz w:val="20"/>
          <w:szCs w:val="20"/>
          <w:color w:val="auto"/>
        </w:rPr>
      </w:pPr>
      <w:r>
        <w:rPr>
          <w:rFonts w:ascii="Times New Roman" w:cs="Times New Roman" w:eastAsia="Times New Roman" w:hAnsi="Times New Roman"/>
          <w:sz w:val="22"/>
          <w:szCs w:val="22"/>
          <w:color w:val="auto"/>
        </w:rPr>
        <w:t>passage of time or both; and (iii) the Loan Parties have no defenses to the Indebtedness, the Credit Agreement, or the Loan Documents.</w:t>
      </w:r>
    </w:p>
    <w:p>
      <w:pPr>
        <w:spacing w:after="0" w:line="153" w:lineRule="exact"/>
        <w:rPr>
          <w:sz w:val="20"/>
          <w:szCs w:val="20"/>
          <w:color w:val="auto"/>
        </w:rPr>
      </w:pPr>
    </w:p>
    <w:p>
      <w:pPr>
        <w:jc w:val="both"/>
        <w:ind w:left="180" w:right="199" w:firstLine="652"/>
        <w:spacing w:after="0" w:line="234" w:lineRule="auto"/>
        <w:tabs>
          <w:tab w:leader="none" w:pos="155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 Each of the Loan Parties hereby confirms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all representations and warranties of the Loan Parties contained in Article V of the Credit Agreement, as applicable, continue to be true and correct in all material respects after giving effect to this Sixth Amendment, except: (i) for representations and warranties which are qualified by the inclusion of a materiality standard, which representations and warranties shall be true and correct in all respects; and (ii) to the extent that such representations and warranties specifically refer to an earlier date, in which case they shall be true and correct in all material respects as of such earlier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in each case, that any representation or warranty which is qualified by reference to Material Adverse Effect shall exclude events, circumstances, occurrences or conditions arising from the COVID-19 pandemic.</w:t>
      </w:r>
    </w:p>
    <w:p>
      <w:pPr>
        <w:spacing w:after="0" w:line="179" w:lineRule="exact"/>
        <w:rPr>
          <w:rFonts w:ascii="Times New Roman" w:cs="Times New Roman" w:eastAsia="Times New Roman" w:hAnsi="Times New Roman"/>
          <w:sz w:val="22"/>
          <w:szCs w:val="22"/>
          <w:color w:val="auto"/>
        </w:rPr>
      </w:pPr>
    </w:p>
    <w:p>
      <w:pPr>
        <w:ind w:left="180" w:right="199" w:firstLine="652"/>
        <w:spacing w:after="0" w:line="262" w:lineRule="auto"/>
        <w:tabs>
          <w:tab w:leader="none" w:pos="154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Events of Default</w:t>
      </w:r>
      <w:r>
        <w:rPr>
          <w:rFonts w:ascii="Times New Roman" w:cs="Times New Roman" w:eastAsia="Times New Roman" w:hAnsi="Times New Roman"/>
          <w:sz w:val="22"/>
          <w:szCs w:val="22"/>
          <w:color w:val="auto"/>
        </w:rPr>
        <w:t>. After giving effect to this Sixth Amendment, no Default nor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Event of Default has occurred and is continuing under the Credit Agreement.</w:t>
      </w:r>
    </w:p>
    <w:p>
      <w:pPr>
        <w:spacing w:after="0" w:line="149" w:lineRule="exact"/>
        <w:rPr>
          <w:rFonts w:ascii="Times New Roman" w:cs="Times New Roman" w:eastAsia="Times New Roman" w:hAnsi="Times New Roman"/>
          <w:sz w:val="22"/>
          <w:szCs w:val="22"/>
          <w:color w:val="auto"/>
        </w:rPr>
      </w:pPr>
    </w:p>
    <w:p>
      <w:pPr>
        <w:jc w:val="both"/>
        <w:ind w:left="180" w:right="199" w:firstLine="652"/>
        <w:spacing w:after="0" w:line="241" w:lineRule="auto"/>
        <w:tabs>
          <w:tab w:leader="none" w:pos="154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Integration</w:t>
      </w:r>
      <w:r>
        <w:rPr>
          <w:rFonts w:ascii="Times New Roman" w:cs="Times New Roman" w:eastAsia="Times New Roman" w:hAnsi="Times New Roman"/>
          <w:sz w:val="22"/>
          <w:szCs w:val="22"/>
          <w:color w:val="auto"/>
        </w:rPr>
        <w:t>. This Sixth Amendment constitutes the entire agreement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connection with the subject matter hereof and cannot be changed or terminated orally. All prior agreements, understandings, representations, warranties and negotiations regarding the subject matter hereof, if any, are merged into this Sixth Amendment.</w:t>
      </w:r>
    </w:p>
    <w:p>
      <w:pPr>
        <w:spacing w:after="0" w:line="171" w:lineRule="exact"/>
        <w:rPr>
          <w:rFonts w:ascii="Times New Roman" w:cs="Times New Roman" w:eastAsia="Times New Roman" w:hAnsi="Times New Roman"/>
          <w:sz w:val="22"/>
          <w:szCs w:val="22"/>
          <w:color w:val="auto"/>
        </w:rPr>
      </w:pPr>
    </w:p>
    <w:p>
      <w:pPr>
        <w:jc w:val="both"/>
        <w:ind w:left="180" w:right="199" w:firstLine="652"/>
        <w:spacing w:after="0" w:line="246" w:lineRule="auto"/>
        <w:tabs>
          <w:tab w:leader="none" w:pos="155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Sixth Amendment may be executed in multiple 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which when so executed and delivered shall be deemed an original, and all of which, taken together, shall constitute but one and the same agreement.</w:t>
      </w:r>
    </w:p>
    <w:p>
      <w:pPr>
        <w:spacing w:after="0" w:line="167" w:lineRule="exact"/>
        <w:rPr>
          <w:rFonts w:ascii="Times New Roman" w:cs="Times New Roman" w:eastAsia="Times New Roman" w:hAnsi="Times New Roman"/>
          <w:sz w:val="22"/>
          <w:szCs w:val="22"/>
          <w:color w:val="auto"/>
        </w:rPr>
      </w:pPr>
    </w:p>
    <w:p>
      <w:pPr>
        <w:jc w:val="both"/>
        <w:ind w:left="180" w:right="199" w:firstLine="652"/>
        <w:spacing w:after="0" w:line="246" w:lineRule="auto"/>
        <w:tabs>
          <w:tab w:leader="none" w:pos="154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Sixth Amendment shall be governed by, and construed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enforced in accordance with, the internal laws (as opposed to the conflicts of law principles) of the State of New York.</w:t>
      </w:r>
    </w:p>
    <w:p>
      <w:pPr>
        <w:spacing w:after="0" w:line="16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i w:val="1"/>
          <w:iCs w:val="1"/>
          <w:color w:val="auto"/>
        </w:rPr>
        <w:t>[Rest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225425</wp:posOffset>
            </wp:positionV>
            <wp:extent cx="552894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6" w:name="page57"/>
    <w:bookmarkEnd w:id="56"/>
    <w:p>
      <w:pPr>
        <w:ind w:left="180" w:right="199" w:firstLine="648"/>
        <w:spacing w:after="0" w:line="260" w:lineRule="auto"/>
        <w:rPr>
          <w:sz w:val="20"/>
          <w:szCs w:val="20"/>
          <w:color w:val="auto"/>
        </w:rPr>
      </w:pPr>
      <w:r>
        <w:rPr>
          <w:rFonts w:ascii="Times New Roman" w:cs="Times New Roman" w:eastAsia="Times New Roman" w:hAnsi="Times New Roman"/>
          <w:sz w:val="22"/>
          <w:szCs w:val="22"/>
          <w:i w:val="1"/>
          <w:iCs w:val="1"/>
          <w:color w:val="auto"/>
        </w:rPr>
        <w:t>IN WITNESS WHEREOF</w:t>
      </w:r>
      <w:r>
        <w:rPr>
          <w:rFonts w:ascii="Times New Roman" w:cs="Times New Roman" w:eastAsia="Times New Roman" w:hAnsi="Times New Roman"/>
          <w:sz w:val="22"/>
          <w:szCs w:val="22"/>
          <w:color w:val="auto"/>
        </w:rPr>
        <w:t>, the parties hereto have executed this Sixth Amendment by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respective duly authorized officers as of the date first above written.</w:t>
      </w:r>
    </w:p>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u w:val="single" w:color="auto"/>
          <w:color w:val="auto"/>
        </w:rPr>
        <w:t>BORROWER</w:t>
      </w:r>
      <w:r>
        <w:rPr>
          <w:rFonts w:ascii="Times New Roman" w:cs="Times New Roman" w:eastAsia="Times New Roman" w:hAnsi="Times New Roman"/>
          <w:sz w:val="22"/>
          <w:szCs w:val="22"/>
          <w:b w:val="1"/>
          <w:bCs w:val="1"/>
          <w:color w:val="auto"/>
        </w:rPr>
        <w:t>:</w:t>
      </w:r>
    </w:p>
    <w:p>
      <w:pPr>
        <w:spacing w:after="0" w:line="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CONSOLIDATED AMUSEMENT</w:t>
      </w:r>
    </w:p>
    <w:p>
      <w:pPr>
        <w:ind w:left="4080"/>
        <w:spacing w:after="0" w:line="230" w:lineRule="auto"/>
        <w:rPr>
          <w:sz w:val="20"/>
          <w:szCs w:val="20"/>
          <w:color w:val="auto"/>
        </w:rPr>
      </w:pPr>
      <w:r>
        <w:rPr>
          <w:rFonts w:ascii="Times New Roman" w:cs="Times New Roman" w:eastAsia="Times New Roman" w:hAnsi="Times New Roman"/>
          <w:sz w:val="22"/>
          <w:szCs w:val="22"/>
          <w:b w:val="1"/>
          <w:bCs w:val="1"/>
          <w:color w:val="auto"/>
        </w:rPr>
        <w:t>HOLDINGS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LLC</w:t>
      </w:r>
      <w:r>
        <w:rPr>
          <w:rFonts w:ascii="Times New Roman" w:cs="Times New Roman" w:eastAsia="Times New Roman" w:hAnsi="Times New Roman"/>
          <w:sz w:val="22"/>
          <w:szCs w:val="22"/>
          <w:color w:val="auto"/>
        </w:rPr>
        <w:t>, a Nevada limited liability</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company</w:t>
      </w:r>
    </w:p>
    <w:p>
      <w:pPr>
        <w:spacing w:after="0" w:line="200" w:lineRule="exact"/>
        <w:rPr>
          <w:sz w:val="20"/>
          <w:szCs w:val="20"/>
          <w:color w:val="auto"/>
        </w:rPr>
      </w:pP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380" w:type="dxa"/>
            <w:vAlign w:val="bottom"/>
            <w:gridSpan w:val="2"/>
          </w:tcPr>
          <w:p>
            <w:pPr>
              <w:ind w:left="3900"/>
              <w:spacing w:after="0"/>
              <w:rPr>
                <w:sz w:val="20"/>
                <w:szCs w:val="20"/>
                <w:color w:val="auto"/>
              </w:rPr>
            </w:pPr>
            <w:r>
              <w:rPr>
                <w:rFonts w:ascii="Times New Roman" w:cs="Times New Roman" w:eastAsia="Times New Roman" w:hAnsi="Times New Roman"/>
                <w:sz w:val="22"/>
                <w:szCs w:val="22"/>
                <w:color w:val="auto"/>
              </w:rPr>
              <w:t>By:</w:t>
            </w: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 Gilbert Avanes</w:t>
            </w:r>
          </w:p>
        </w:tc>
      </w:tr>
      <w:tr>
        <w:trPr>
          <w:trHeight w:val="236"/>
        </w:trPr>
        <w:tc>
          <w:tcPr>
            <w:tcW w:w="4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Gilbert Avanes</w:t>
            </w:r>
          </w:p>
        </w:tc>
        <w:tc>
          <w:tcPr>
            <w:tcW w:w="920" w:type="dxa"/>
            <w:vAlign w:val="bottom"/>
          </w:tcPr>
          <w:p>
            <w:pPr>
              <w:spacing w:after="0"/>
              <w:rPr>
                <w:sz w:val="20"/>
                <w:szCs w:val="20"/>
                <w:color w:val="auto"/>
              </w:rPr>
            </w:pPr>
          </w:p>
        </w:tc>
      </w:tr>
      <w:tr>
        <w:trPr>
          <w:trHeight w:val="282"/>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1041"/>
        </w:trPr>
        <w:tc>
          <w:tcPr>
            <w:tcW w:w="4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r>
        <w:trPr>
          <w:trHeight w:val="20"/>
        </w:trPr>
        <w:tc>
          <w:tcPr>
            <w:tcW w:w="42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3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7" w:name="page58"/>
    <w:bookmarkEnd w:id="57"/>
    <w:p>
      <w:pPr>
        <w:ind w:left="4080"/>
        <w:spacing w:after="0"/>
        <w:rPr>
          <w:sz w:val="20"/>
          <w:szCs w:val="20"/>
          <w:color w:val="auto"/>
        </w:rPr>
      </w:pPr>
      <w:r>
        <w:rPr>
          <w:rFonts w:ascii="Times New Roman" w:cs="Times New Roman" w:eastAsia="Times New Roman" w:hAnsi="Times New Roman"/>
          <w:sz w:val="22"/>
          <w:szCs w:val="22"/>
          <w:b w:val="1"/>
          <w:bCs w:val="1"/>
          <w:u w:val="single" w:color="auto"/>
          <w:color w:val="auto"/>
        </w:rPr>
        <w:t>GUARANTORS</w:t>
      </w:r>
      <w:r>
        <w:rPr>
          <w:rFonts w:ascii="Times New Roman" w:cs="Times New Roman" w:eastAsia="Times New Roman" w:hAnsi="Times New Roman"/>
          <w:sz w:val="22"/>
          <w:szCs w:val="22"/>
          <w:b w:val="1"/>
          <w:bCs w:val="1"/>
          <w:color w:val="auto"/>
        </w:rPr>
        <w:t>:</w:t>
      </w:r>
    </w:p>
    <w:p>
      <w:pPr>
        <w:spacing w:after="0" w:line="23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CONSOLIDATED ENTERTAINMENT,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 Nevada limited liability company</w:t>
      </w:r>
    </w:p>
    <w:p>
      <w:pPr>
        <w:spacing w:after="0" w:line="200" w:lineRule="exact"/>
        <w:rPr>
          <w:sz w:val="20"/>
          <w:szCs w:val="20"/>
          <w:color w:val="auto"/>
        </w:rPr>
      </w:pPr>
    </w:p>
    <w:p>
      <w:pPr>
        <w:spacing w:after="0" w:line="229"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33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 Gilbert Avanes</w:t>
            </w:r>
          </w:p>
        </w:tc>
      </w:tr>
      <w:tr>
        <w:trPr>
          <w:trHeight w:val="236"/>
        </w:trPr>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Gilbert Avanes</w:t>
            </w:r>
          </w:p>
        </w:tc>
      </w:tr>
      <w:tr>
        <w:trPr>
          <w:trHeight w:val="282"/>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ANGELIKA FILM CENTER MOSAIC,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 Nevada limited liability company</w:t>
      </w:r>
    </w:p>
    <w:p>
      <w:pPr>
        <w:spacing w:after="0" w:line="200" w:lineRule="exact"/>
        <w:rPr>
          <w:sz w:val="20"/>
          <w:szCs w:val="20"/>
          <w:color w:val="auto"/>
        </w:rPr>
      </w:pPr>
    </w:p>
    <w:p>
      <w:pPr>
        <w:spacing w:after="0" w:line="229"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33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 Gilbert Avanes</w:t>
            </w:r>
          </w:p>
        </w:tc>
      </w:tr>
      <w:tr>
        <w:trPr>
          <w:trHeight w:val="236"/>
        </w:trPr>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Gilbert Avanes</w:t>
            </w:r>
          </w:p>
        </w:tc>
      </w:tr>
      <w:tr>
        <w:trPr>
          <w:trHeight w:val="282"/>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ANGELIKA FILM CENTERS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29"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33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 Gilbert Avanes</w:t>
            </w:r>
          </w:p>
        </w:tc>
      </w:tr>
      <w:tr>
        <w:trPr>
          <w:trHeight w:val="236"/>
        </w:trPr>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Gilbert Avanes</w:t>
            </w:r>
          </w:p>
        </w:tc>
      </w:tr>
      <w:tr>
        <w:trPr>
          <w:trHeight w:val="282"/>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READING CINEMAS NJ,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380" w:type="dxa"/>
            <w:vAlign w:val="bottom"/>
            <w:gridSpan w:val="2"/>
          </w:tcPr>
          <w:p>
            <w:pPr>
              <w:ind w:left="3900"/>
              <w:spacing w:after="0"/>
              <w:rPr>
                <w:sz w:val="20"/>
                <w:szCs w:val="20"/>
                <w:color w:val="auto"/>
              </w:rPr>
            </w:pPr>
            <w:r>
              <w:rPr>
                <w:rFonts w:ascii="Times New Roman" w:cs="Times New Roman" w:eastAsia="Times New Roman" w:hAnsi="Times New Roman"/>
                <w:sz w:val="22"/>
                <w:szCs w:val="22"/>
                <w:color w:val="auto"/>
              </w:rPr>
              <w:t>By:</w:t>
            </w: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 Gilbert Avanes</w:t>
            </w:r>
          </w:p>
        </w:tc>
      </w:tr>
      <w:tr>
        <w:trPr>
          <w:trHeight w:val="236"/>
        </w:trPr>
        <w:tc>
          <w:tcPr>
            <w:tcW w:w="4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Gilbert Avanes</w:t>
            </w:r>
          </w:p>
        </w:tc>
        <w:tc>
          <w:tcPr>
            <w:tcW w:w="920" w:type="dxa"/>
            <w:vAlign w:val="bottom"/>
          </w:tcPr>
          <w:p>
            <w:pPr>
              <w:spacing w:after="0"/>
              <w:rPr>
                <w:sz w:val="20"/>
                <w:szCs w:val="20"/>
                <w:color w:val="auto"/>
              </w:rPr>
            </w:pPr>
          </w:p>
        </w:tc>
      </w:tr>
      <w:tr>
        <w:trPr>
          <w:trHeight w:val="282"/>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1041"/>
        </w:trPr>
        <w:tc>
          <w:tcPr>
            <w:tcW w:w="4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r>
        <w:trPr>
          <w:trHeight w:val="20"/>
        </w:trPr>
        <w:tc>
          <w:tcPr>
            <w:tcW w:w="42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3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8" w:name="page59"/>
    <w:bookmarkEnd w:id="58"/>
    <w:p>
      <w:pPr>
        <w:ind w:left="4080"/>
        <w:spacing w:after="0"/>
        <w:rPr>
          <w:sz w:val="20"/>
          <w:szCs w:val="20"/>
          <w:color w:val="auto"/>
        </w:rPr>
      </w:pPr>
      <w:r>
        <w:rPr>
          <w:rFonts w:ascii="Times New Roman" w:cs="Times New Roman" w:eastAsia="Times New Roman" w:hAnsi="Times New Roman"/>
          <w:sz w:val="22"/>
          <w:szCs w:val="22"/>
          <w:b w:val="1"/>
          <w:bCs w:val="1"/>
          <w:color w:val="auto"/>
        </w:rPr>
        <w:t>CONSOLIDATED CINEMA SERVICES, LLC</w:t>
      </w:r>
      <w:r>
        <w:rPr>
          <w:rFonts w:ascii="Times New Roman" w:cs="Times New Roman" w:eastAsia="Times New Roman" w:hAnsi="Times New Roman"/>
          <w:sz w:val="22"/>
          <w:szCs w:val="22"/>
          <w:color w:val="auto"/>
        </w:rPr>
        <w:t>,</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 Nevada limited liability company</w:t>
      </w:r>
    </w:p>
    <w:p>
      <w:pPr>
        <w:spacing w:after="0" w:line="200" w:lineRule="exact"/>
        <w:rPr>
          <w:sz w:val="20"/>
          <w:szCs w:val="20"/>
          <w:color w:val="auto"/>
        </w:rPr>
      </w:pPr>
    </w:p>
    <w:p>
      <w:pPr>
        <w:spacing w:after="0" w:line="229"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33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 Gilbert Avanes</w:t>
            </w:r>
          </w:p>
        </w:tc>
      </w:tr>
      <w:tr>
        <w:trPr>
          <w:trHeight w:val="236"/>
        </w:trPr>
        <w:tc>
          <w:tcPr>
            <w:tcW w:w="3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360" w:type="dxa"/>
            <w:vAlign w:val="bottom"/>
            <w:tcBorders>
              <w:top w:val="single" w:sz="8" w:color="auto"/>
            </w:tcBorders>
          </w:tcPr>
          <w:p>
            <w:pPr>
              <w:ind w:left="780"/>
              <w:spacing w:after="0" w:line="236" w:lineRule="exact"/>
              <w:rPr>
                <w:sz w:val="20"/>
                <w:szCs w:val="20"/>
                <w:color w:val="auto"/>
              </w:rPr>
            </w:pPr>
            <w:r>
              <w:rPr>
                <w:rFonts w:ascii="Times New Roman" w:cs="Times New Roman" w:eastAsia="Times New Roman" w:hAnsi="Times New Roman"/>
                <w:sz w:val="22"/>
                <w:szCs w:val="22"/>
                <w:color w:val="auto"/>
              </w:rPr>
              <w:t>Gilbert Avanes</w:t>
            </w:r>
          </w:p>
        </w:tc>
      </w:tr>
      <w:tr>
        <w:trPr>
          <w:trHeight w:val="282"/>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READING MURRIETA THEATER,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 Nevada limited liability company</w:t>
      </w:r>
    </w:p>
    <w:p>
      <w:pPr>
        <w:spacing w:after="0" w:line="200" w:lineRule="exact"/>
        <w:rPr>
          <w:sz w:val="20"/>
          <w:szCs w:val="20"/>
          <w:color w:val="auto"/>
        </w:rPr>
      </w:pPr>
    </w:p>
    <w:p>
      <w:pPr>
        <w:spacing w:after="0" w:line="229"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33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 Gilbert Avanes</w:t>
            </w:r>
          </w:p>
        </w:tc>
      </w:tr>
      <w:tr>
        <w:trPr>
          <w:trHeight w:val="236"/>
        </w:trPr>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Gilbert Avanes</w:t>
            </w:r>
          </w:p>
        </w:tc>
      </w:tr>
      <w:tr>
        <w:trPr>
          <w:trHeight w:val="282"/>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KAHALA CINEMA COMPANY,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 Nevada limited liability company</w:t>
      </w:r>
    </w:p>
    <w:p>
      <w:pPr>
        <w:spacing w:after="0" w:line="200" w:lineRule="exact"/>
        <w:rPr>
          <w:sz w:val="20"/>
          <w:szCs w:val="20"/>
          <w:color w:val="auto"/>
        </w:rPr>
      </w:pPr>
    </w:p>
    <w:p>
      <w:pPr>
        <w:spacing w:after="0" w:line="229"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33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 Gilbert Avanes</w:t>
            </w:r>
          </w:p>
        </w:tc>
      </w:tr>
      <w:tr>
        <w:trPr>
          <w:trHeight w:val="236"/>
        </w:trPr>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Gilbert Avanes</w:t>
            </w:r>
          </w:p>
        </w:tc>
      </w:tr>
      <w:tr>
        <w:trPr>
          <w:trHeight w:val="282"/>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KAAHUMANU CINEMAS,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 Nevada limited liability company</w:t>
      </w:r>
    </w:p>
    <w:p>
      <w:pPr>
        <w:spacing w:after="0" w:line="200" w:lineRule="exact"/>
        <w:rPr>
          <w:sz w:val="20"/>
          <w:szCs w:val="20"/>
          <w:color w:val="auto"/>
        </w:rPr>
      </w:pPr>
    </w:p>
    <w:p>
      <w:pPr>
        <w:spacing w:after="0" w:line="229"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33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 Gilbert Avanes</w:t>
            </w:r>
          </w:p>
        </w:tc>
      </w:tr>
      <w:tr>
        <w:trPr>
          <w:trHeight w:val="236"/>
        </w:trPr>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Gilbert Avanes</w:t>
            </w:r>
          </w:p>
        </w:tc>
      </w:tr>
      <w:tr>
        <w:trPr>
          <w:trHeight w:val="282"/>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READING CONSOLIDATING HOLDINGS,</w:t>
      </w:r>
    </w:p>
    <w:p>
      <w:pPr>
        <w:spacing w:after="0" w:line="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INC.</w:t>
      </w:r>
      <w:r>
        <w:rPr>
          <w:rFonts w:ascii="Times New Roman" w:cs="Times New Roman" w:eastAsia="Times New Roman" w:hAnsi="Times New Roman"/>
          <w:sz w:val="22"/>
          <w:szCs w:val="22"/>
          <w:color w:val="auto"/>
        </w:rPr>
        <w:t>,</w:t>
      </w:r>
    </w:p>
    <w:p>
      <w:pPr>
        <w:ind w:left="4080"/>
        <w:spacing w:after="0"/>
        <w:rPr>
          <w:sz w:val="20"/>
          <w:szCs w:val="20"/>
          <w:color w:val="auto"/>
        </w:rPr>
      </w:pPr>
      <w:r>
        <w:rPr>
          <w:rFonts w:ascii="Times New Roman" w:cs="Times New Roman" w:eastAsia="Times New Roman" w:hAnsi="Times New Roman"/>
          <w:sz w:val="22"/>
          <w:szCs w:val="22"/>
          <w:color w:val="auto"/>
        </w:rPr>
        <w:t>a Nevada corporation</w:t>
      </w:r>
    </w:p>
    <w:p>
      <w:pPr>
        <w:spacing w:after="0" w:line="200" w:lineRule="exact"/>
        <w:rPr>
          <w:sz w:val="20"/>
          <w:szCs w:val="20"/>
          <w:color w:val="auto"/>
        </w:rPr>
      </w:pP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380" w:type="dxa"/>
            <w:vAlign w:val="bottom"/>
            <w:gridSpan w:val="2"/>
          </w:tcPr>
          <w:p>
            <w:pPr>
              <w:ind w:left="3900"/>
              <w:spacing w:after="0"/>
              <w:rPr>
                <w:sz w:val="20"/>
                <w:szCs w:val="20"/>
                <w:color w:val="auto"/>
              </w:rPr>
            </w:pPr>
            <w:r>
              <w:rPr>
                <w:rFonts w:ascii="Times New Roman" w:cs="Times New Roman" w:eastAsia="Times New Roman" w:hAnsi="Times New Roman"/>
                <w:sz w:val="22"/>
                <w:szCs w:val="22"/>
                <w:color w:val="auto"/>
              </w:rPr>
              <w:t>By:</w:t>
            </w: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 Gilbert Avanes</w:t>
            </w:r>
          </w:p>
        </w:tc>
      </w:tr>
      <w:tr>
        <w:trPr>
          <w:trHeight w:val="236"/>
        </w:trPr>
        <w:tc>
          <w:tcPr>
            <w:tcW w:w="4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Gilbert Avanes</w:t>
            </w:r>
          </w:p>
        </w:tc>
        <w:tc>
          <w:tcPr>
            <w:tcW w:w="920" w:type="dxa"/>
            <w:vAlign w:val="bottom"/>
          </w:tcPr>
          <w:p>
            <w:pPr>
              <w:spacing w:after="0"/>
              <w:rPr>
                <w:sz w:val="20"/>
                <w:szCs w:val="20"/>
                <w:color w:val="auto"/>
              </w:rPr>
            </w:pPr>
          </w:p>
        </w:tc>
      </w:tr>
      <w:tr>
        <w:trPr>
          <w:trHeight w:val="282"/>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555"/>
        </w:trPr>
        <w:tc>
          <w:tcPr>
            <w:tcW w:w="4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r>
        <w:trPr>
          <w:trHeight w:val="20"/>
        </w:trPr>
        <w:tc>
          <w:tcPr>
            <w:tcW w:w="42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3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9" w:name="page60"/>
    <w:bookmarkEnd w:id="59"/>
    <w:p>
      <w:pPr>
        <w:ind w:left="4080"/>
        <w:spacing w:after="0"/>
        <w:rPr>
          <w:sz w:val="20"/>
          <w:szCs w:val="20"/>
          <w:color w:val="auto"/>
        </w:rPr>
      </w:pPr>
      <w:r>
        <w:rPr>
          <w:rFonts w:ascii="Times New Roman" w:cs="Times New Roman" w:eastAsia="Times New Roman" w:hAnsi="Times New Roman"/>
          <w:sz w:val="22"/>
          <w:szCs w:val="22"/>
          <w:b w:val="1"/>
          <w:bCs w:val="1"/>
          <w:color w:val="auto"/>
        </w:rPr>
        <w:t>KMA CINEMAS, LLC,</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 Nevada limited liability company</w:t>
      </w:r>
    </w:p>
    <w:p>
      <w:pPr>
        <w:spacing w:after="0" w:line="200" w:lineRule="exact"/>
        <w:rPr>
          <w:sz w:val="20"/>
          <w:szCs w:val="20"/>
          <w:color w:val="auto"/>
        </w:rPr>
      </w:pPr>
    </w:p>
    <w:p>
      <w:pPr>
        <w:spacing w:after="0" w:line="229"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33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 Gilbert Avanes</w:t>
            </w:r>
          </w:p>
        </w:tc>
      </w:tr>
      <w:tr>
        <w:trPr>
          <w:trHeight w:val="236"/>
        </w:trPr>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Gilbert Avanes</w:t>
            </w:r>
          </w:p>
        </w:tc>
      </w:tr>
      <w:tr>
        <w:trPr>
          <w:trHeight w:val="282"/>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CARMEL THEATRES, LLC,</w:t>
      </w:r>
    </w:p>
    <w:p>
      <w:pPr>
        <w:spacing w:after="0" w:line="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 Nevada limited liability company</w:t>
      </w:r>
    </w:p>
    <w:p>
      <w:pPr>
        <w:spacing w:after="0" w:line="200" w:lineRule="exact"/>
        <w:rPr>
          <w:sz w:val="20"/>
          <w:szCs w:val="20"/>
          <w:color w:val="auto"/>
        </w:rPr>
      </w:pPr>
    </w:p>
    <w:p>
      <w:pPr>
        <w:spacing w:after="0" w:line="229"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34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 Gilbert Avanes</w:t>
            </w:r>
          </w:p>
        </w:tc>
      </w:tr>
      <w:tr>
        <w:trPr>
          <w:trHeight w:val="236"/>
        </w:trPr>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Gilbert Avanes</w:t>
            </w:r>
          </w:p>
        </w:tc>
      </w:tr>
      <w:tr>
        <w:trPr>
          <w:trHeight w:val="282"/>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READING FOOD SERVICES, LLC,</w:t>
      </w:r>
    </w:p>
    <w:p>
      <w:pPr>
        <w:spacing w:after="0" w:line="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 Nevada limited liability company</w:t>
      </w:r>
    </w:p>
    <w:p>
      <w:pPr>
        <w:spacing w:after="0" w:line="200" w:lineRule="exact"/>
        <w:rPr>
          <w:sz w:val="20"/>
          <w:szCs w:val="20"/>
          <w:color w:val="auto"/>
        </w:rPr>
      </w:pP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380" w:type="dxa"/>
            <w:vAlign w:val="bottom"/>
            <w:gridSpan w:val="2"/>
          </w:tcPr>
          <w:p>
            <w:pPr>
              <w:ind w:left="3900"/>
              <w:spacing w:after="0"/>
              <w:rPr>
                <w:sz w:val="20"/>
                <w:szCs w:val="20"/>
                <w:color w:val="auto"/>
              </w:rPr>
            </w:pPr>
            <w:r>
              <w:rPr>
                <w:rFonts w:ascii="Times New Roman" w:cs="Times New Roman" w:eastAsia="Times New Roman" w:hAnsi="Times New Roman"/>
                <w:sz w:val="22"/>
                <w:szCs w:val="22"/>
                <w:color w:val="auto"/>
              </w:rPr>
              <w:t>By:</w:t>
            </w: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 Gilbert Avanes</w:t>
            </w:r>
          </w:p>
        </w:tc>
      </w:tr>
      <w:tr>
        <w:trPr>
          <w:trHeight w:val="236"/>
        </w:trPr>
        <w:tc>
          <w:tcPr>
            <w:tcW w:w="4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Gilbert Avanes</w:t>
            </w:r>
          </w:p>
        </w:tc>
        <w:tc>
          <w:tcPr>
            <w:tcW w:w="920" w:type="dxa"/>
            <w:vAlign w:val="bottom"/>
          </w:tcPr>
          <w:p>
            <w:pPr>
              <w:spacing w:after="0"/>
              <w:rPr>
                <w:sz w:val="20"/>
                <w:szCs w:val="20"/>
                <w:color w:val="auto"/>
              </w:rPr>
            </w:pPr>
          </w:p>
        </w:tc>
      </w:tr>
      <w:tr>
        <w:trPr>
          <w:trHeight w:val="282"/>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798"/>
        </w:trPr>
        <w:tc>
          <w:tcPr>
            <w:tcW w:w="4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r>
        <w:trPr>
          <w:trHeight w:val="20"/>
        </w:trPr>
        <w:tc>
          <w:tcPr>
            <w:tcW w:w="42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3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0" w:name="page61"/>
    <w:bookmarkEnd w:id="60"/>
    <w:p>
      <w:pPr>
        <w:ind w:left="4080"/>
        <w:spacing w:after="0"/>
        <w:rPr>
          <w:sz w:val="20"/>
          <w:szCs w:val="20"/>
          <w:color w:val="auto"/>
        </w:rPr>
      </w:pPr>
      <w:r>
        <w:rPr>
          <w:rFonts w:ascii="Times New Roman" w:cs="Times New Roman" w:eastAsia="Times New Roman" w:hAnsi="Times New Roman"/>
          <w:sz w:val="21"/>
          <w:szCs w:val="21"/>
          <w:b w:val="1"/>
          <w:bCs w:val="1"/>
          <w:u w:val="single" w:color="auto"/>
          <w:color w:val="auto"/>
        </w:rPr>
        <w:t>ADMINISTRATIVE AGENT AND LENDERS</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BANK OF AMERICA, N.A.,</w:t>
      </w:r>
    </w:p>
    <w:p>
      <w:pPr>
        <w:spacing w:after="0" w:line="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-13970</wp:posOffset>
            </wp:positionV>
            <wp:extent cx="22631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-22860</wp:posOffset>
            </wp:positionV>
            <wp:extent cx="2091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right="399"/>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-22225</wp:posOffset>
            </wp:positionV>
            <wp:extent cx="21602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BANK OF AMERICA, N.A.,</w:t>
      </w:r>
    </w:p>
    <w:p>
      <w:pPr>
        <w:spacing w:after="0" w:line="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as a Lender, L/C Issuer and Swingline Lender</w:t>
      </w:r>
    </w:p>
    <w:p>
      <w:pPr>
        <w:spacing w:after="0" w:line="200" w:lineRule="exact"/>
        <w:rPr>
          <w:sz w:val="20"/>
          <w:szCs w:val="20"/>
          <w:color w:val="auto"/>
        </w:rPr>
      </w:pPr>
    </w:p>
    <w:p>
      <w:pPr>
        <w:spacing w:after="0" w:line="2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-13970</wp:posOffset>
            </wp:positionV>
            <wp:extent cx="22631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-22860</wp:posOffset>
            </wp:positionV>
            <wp:extent cx="2091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right="399"/>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659130</wp:posOffset>
            </wp:positionV>
            <wp:extent cx="552894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28945" cy="508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-22225</wp:posOffset>
            </wp:positionV>
            <wp:extent cx="21602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1" w:name="page62"/>
    <w:bookmarkEnd w:id="61"/>
    <w:p>
      <w:pPr>
        <w:ind w:left="4080"/>
        <w:spacing w:after="0"/>
        <w:rPr>
          <w:sz w:val="20"/>
          <w:szCs w:val="20"/>
          <w:color w:val="auto"/>
        </w:rPr>
      </w:pPr>
      <w:r>
        <w:rPr>
          <w:rFonts w:ascii="Times New Roman" w:cs="Times New Roman" w:eastAsia="Times New Roman" w:hAnsi="Times New Roman"/>
          <w:sz w:val="21"/>
          <w:szCs w:val="21"/>
          <w:b w:val="1"/>
          <w:bCs w:val="1"/>
          <w:color w:val="auto"/>
        </w:rPr>
        <w:t>BANK OF HAWAII,</w:t>
      </w:r>
    </w:p>
    <w:p>
      <w:pPr>
        <w:spacing w:after="0" w:line="3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-13970</wp:posOffset>
            </wp:positionV>
            <wp:extent cx="22631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-22860</wp:posOffset>
            </wp:positionV>
            <wp:extent cx="2091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right="399"/>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504825</wp:posOffset>
            </wp:positionV>
            <wp:extent cx="552894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28945" cy="508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-22225</wp:posOffset>
            </wp:positionV>
            <wp:extent cx="21602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2" w:name="page63"/>
    <w:bookmarkEnd w:id="62"/>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PURSUANT TO EXCHANGE ACT RULE 13a-14(a)/15d-14(a) AS ADOPTED</w:t>
      </w:r>
    </w:p>
    <w:p>
      <w:pPr>
        <w:ind w:left="15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Ellen M. Cotter, certify that:</w:t>
      </w:r>
    </w:p>
    <w:p>
      <w:pPr>
        <w:spacing w:after="0" w:line="158" w:lineRule="exact"/>
        <w:rPr>
          <w:sz w:val="20"/>
          <w:szCs w:val="20"/>
          <w:color w:val="auto"/>
        </w:rPr>
      </w:pPr>
    </w:p>
    <w:p>
      <w:pPr>
        <w:ind w:left="840" w:hanging="332"/>
        <w:spacing w:after="0"/>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Reading International, Inc.;</w:t>
      </w:r>
    </w:p>
    <w:p>
      <w:pPr>
        <w:spacing w:after="0" w:line="144" w:lineRule="exact"/>
        <w:rPr>
          <w:rFonts w:ascii="Times New Roman" w:cs="Times New Roman" w:eastAsia="Times New Roman" w:hAnsi="Times New Roman"/>
          <w:sz w:val="18"/>
          <w:szCs w:val="18"/>
          <w:color w:val="auto"/>
        </w:rPr>
      </w:pPr>
    </w:p>
    <w:p>
      <w:pPr>
        <w:jc w:val="both"/>
        <w:ind w:left="840" w:right="199" w:hanging="332"/>
        <w:spacing w:after="0" w:line="231" w:lineRule="auto"/>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jc w:val="both"/>
        <w:ind w:left="840" w:right="199" w:hanging="332"/>
        <w:spacing w:after="0" w:line="226" w:lineRule="auto"/>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Times New Roman" w:cs="Times New Roman" w:eastAsia="Times New Roman" w:hAnsi="Times New Roman"/>
          <w:sz w:val="18"/>
          <w:szCs w:val="18"/>
          <w:color w:val="auto"/>
        </w:rPr>
      </w:pPr>
    </w:p>
    <w:p>
      <w:pPr>
        <w:jc w:val="both"/>
        <w:ind w:left="840" w:right="199" w:hanging="332"/>
        <w:spacing w:after="0" w:line="231" w:lineRule="auto"/>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1460" w:right="199" w:hanging="304"/>
        <w:spacing w:after="0" w:line="213"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460" w:right="199" w:hanging="304"/>
        <w:spacing w:after="0" w:line="207"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460" w:right="199" w:hanging="304"/>
        <w:spacing w:after="0" w:line="208"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460" w:right="199" w:hanging="304"/>
        <w:spacing w:after="0" w:line="223"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jc w:val="both"/>
        <w:ind w:left="840" w:right="199" w:hanging="332"/>
        <w:spacing w:after="0" w:line="226" w:lineRule="auto"/>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sz w:val="20"/>
          <w:szCs w:val="20"/>
          <w:color w:val="auto"/>
        </w:rPr>
      </w:pPr>
    </w:p>
    <w:p>
      <w:pPr>
        <w:jc w:val="both"/>
        <w:ind w:left="1480" w:right="199" w:hanging="324"/>
        <w:spacing w:after="0" w:line="216" w:lineRule="auto"/>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480" w:right="199" w:hanging="324"/>
        <w:spacing w:after="0" w:line="226" w:lineRule="auto"/>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Ellen M. Cotter</w:t>
            </w:r>
          </w:p>
        </w:tc>
      </w:tr>
      <w:tr>
        <w:trPr>
          <w:trHeight w:val="142"/>
        </w:trPr>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Ellen M. Cotter</w:t>
            </w:r>
          </w:p>
        </w:tc>
        <w:tc>
          <w:tcPr>
            <w:tcW w:w="6680" w:type="dxa"/>
            <w:vAlign w:val="bottom"/>
          </w:tcPr>
          <w:p>
            <w:pPr>
              <w:spacing w:after="0"/>
              <w:rPr>
                <w:sz w:val="12"/>
                <w:szCs w:val="12"/>
                <w:color w:val="auto"/>
              </w:rPr>
            </w:pPr>
          </w:p>
        </w:tc>
      </w:tr>
      <w:tr>
        <w:trPr>
          <w:trHeight w:val="184"/>
        </w:trPr>
        <w:tc>
          <w:tcPr>
            <w:tcW w:w="460" w:type="dxa"/>
            <w:vAlign w:val="bottom"/>
          </w:tcPr>
          <w:p>
            <w:pPr>
              <w:spacing w:after="0"/>
              <w:rPr>
                <w:sz w:val="16"/>
                <w:szCs w:val="16"/>
                <w:color w:val="auto"/>
              </w:rPr>
            </w:pPr>
          </w:p>
        </w:tc>
        <w:tc>
          <w:tcPr>
            <w:tcW w:w="8220" w:type="dxa"/>
            <w:vAlign w:val="bottom"/>
            <w:gridSpan w:val="3"/>
          </w:tcPr>
          <w:p>
            <w:pPr>
              <w:ind w:left="200"/>
              <w:spacing w:after="0" w:line="184"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60" w:type="dxa"/>
            <w:vAlign w:val="bottom"/>
          </w:tcPr>
          <w:p>
            <w:pPr>
              <w:spacing w:after="0"/>
              <w:rPr>
                <w:sz w:val="20"/>
                <w:szCs w:val="20"/>
                <w:color w:val="auto"/>
              </w:rPr>
            </w:pPr>
          </w:p>
        </w:tc>
        <w:tc>
          <w:tcPr>
            <w:tcW w:w="8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May 15, 2024</w:t>
            </w:r>
          </w:p>
        </w:tc>
      </w:tr>
      <w:tr>
        <w:trPr>
          <w:trHeight w:val="189"/>
        </w:trPr>
        <w:tc>
          <w:tcPr>
            <w:tcW w:w="4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6680" w:type="dxa"/>
            <w:vAlign w:val="bottom"/>
            <w:tcBorders>
              <w:bottom w:val="single" w:sz="8" w:color="9A9A9A"/>
            </w:tcBorders>
          </w:tcPr>
          <w:p>
            <w:pPr>
              <w:spacing w:after="0"/>
              <w:rPr>
                <w:sz w:val="16"/>
                <w:szCs w:val="16"/>
                <w:color w:val="auto"/>
              </w:rPr>
            </w:pPr>
          </w:p>
        </w:tc>
      </w:tr>
      <w:tr>
        <w:trPr>
          <w:trHeight w:val="20"/>
        </w:trPr>
        <w:tc>
          <w:tcPr>
            <w:tcW w:w="4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66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3" w:name="page64"/>
    <w:bookmarkEnd w:id="63"/>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0" w:lineRule="exact"/>
        <w:rPr>
          <w:sz w:val="20"/>
          <w:szCs w:val="20"/>
          <w:color w:val="auto"/>
        </w:rPr>
      </w:pPr>
    </w:p>
    <w:p>
      <w:pPr>
        <w:spacing w:after="0" w:line="285" w:lineRule="exact"/>
        <w:rPr>
          <w:sz w:val="20"/>
          <w:szCs w:val="20"/>
          <w:color w:val="auto"/>
        </w:rPr>
      </w:pPr>
    </w:p>
    <w:p>
      <w:pPr>
        <w:jc w:val="center"/>
        <w:ind w:left="180" w:right="199"/>
        <w:spacing w:after="0" w:line="227"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Gilbert Avanes, certify that:</w:t>
      </w:r>
    </w:p>
    <w:p>
      <w:pPr>
        <w:spacing w:after="0" w:line="158" w:lineRule="exact"/>
        <w:rPr>
          <w:sz w:val="20"/>
          <w:szCs w:val="20"/>
          <w:color w:val="auto"/>
        </w:rPr>
      </w:pPr>
    </w:p>
    <w:p>
      <w:pPr>
        <w:ind w:left="840" w:hanging="332"/>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Reading International, Inc.;</w:t>
      </w:r>
    </w:p>
    <w:p>
      <w:pPr>
        <w:spacing w:after="0" w:line="144" w:lineRule="exact"/>
        <w:rPr>
          <w:rFonts w:ascii="Times New Roman" w:cs="Times New Roman" w:eastAsia="Times New Roman" w:hAnsi="Times New Roman"/>
          <w:sz w:val="18"/>
          <w:szCs w:val="18"/>
          <w:color w:val="auto"/>
        </w:rPr>
      </w:pPr>
    </w:p>
    <w:p>
      <w:pPr>
        <w:jc w:val="both"/>
        <w:ind w:left="840" w:right="199" w:hanging="332"/>
        <w:spacing w:after="0" w:line="231" w:lineRule="auto"/>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jc w:val="both"/>
        <w:ind w:left="840" w:right="199" w:hanging="332"/>
        <w:spacing w:after="0" w:line="231" w:lineRule="auto"/>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840" w:right="199" w:hanging="332"/>
        <w:spacing w:after="0" w:line="226" w:lineRule="auto"/>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Times New Roman" w:cs="Times New Roman" w:eastAsia="Times New Roman" w:hAnsi="Times New Roman"/>
          <w:sz w:val="18"/>
          <w:szCs w:val="18"/>
          <w:color w:val="auto"/>
        </w:rPr>
      </w:pPr>
    </w:p>
    <w:p>
      <w:pPr>
        <w:jc w:val="both"/>
        <w:ind w:left="1480" w:right="199" w:hanging="324"/>
        <w:spacing w:after="0" w:line="213"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480" w:right="199" w:hanging="324"/>
        <w:spacing w:after="0" w:line="207"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480" w:right="199" w:hanging="324"/>
        <w:spacing w:after="0" w:line="208"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480" w:right="199" w:hanging="324"/>
        <w:spacing w:after="0" w:line="223"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jc w:val="both"/>
        <w:ind w:left="840" w:right="199" w:hanging="332"/>
        <w:spacing w:after="0" w:line="231" w:lineRule="auto"/>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8"/>
          <w:szCs w:val="18"/>
          <w:color w:val="auto"/>
        </w:rPr>
      </w:pPr>
    </w:p>
    <w:p>
      <w:pPr>
        <w:jc w:val="both"/>
        <w:ind w:left="1480" w:right="199" w:hanging="324"/>
        <w:spacing w:after="0" w:line="216"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480" w:right="199" w:hanging="324"/>
        <w:spacing w:after="0" w:line="226"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Gilbert Avanes</w:t>
      </w:r>
    </w:p>
    <w:p>
      <w:pPr>
        <w:ind w:left="840"/>
        <w:spacing w:after="0" w:line="205" w:lineRule="auto"/>
        <w:rPr>
          <w:sz w:val="20"/>
          <w:szCs w:val="20"/>
          <w:color w:val="auto"/>
        </w:rPr>
      </w:pPr>
      <w:r>
        <w:rPr>
          <w:rFonts w:ascii="Times New Roman" w:cs="Times New Roman" w:eastAsia="Times New Roman" w:hAnsi="Times New Roman"/>
          <w:sz w:val="18"/>
          <w:szCs w:val="18"/>
          <w:color w:val="auto"/>
        </w:rPr>
        <w:t>Gilbert Avanes</w:t>
      </w:r>
    </w:p>
    <w:p>
      <w:pPr>
        <w:ind w:left="840"/>
        <w:spacing w:after="0" w:line="204"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ind w:left="840"/>
        <w:spacing w:after="0"/>
        <w:rPr>
          <w:sz w:val="20"/>
          <w:szCs w:val="20"/>
          <w:color w:val="auto"/>
        </w:rPr>
      </w:pPr>
      <w:r>
        <w:rPr>
          <w:rFonts w:ascii="Times New Roman" w:cs="Times New Roman" w:eastAsia="Times New Roman" w:hAnsi="Times New Roman"/>
          <w:sz w:val="18"/>
          <w:szCs w:val="18"/>
          <w:color w:val="auto"/>
        </w:rPr>
        <w:t>May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120650</wp:posOffset>
            </wp:positionV>
            <wp:extent cx="552894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4" w:name="page65"/>
    <w:bookmarkEnd w:id="64"/>
    <w:p>
      <w:pPr>
        <w:ind w:left="7920"/>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6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CERTIFICATION PURSUANT TO</w:t>
      </w:r>
    </w:p>
    <w:p>
      <w:pPr>
        <w:ind w:left="3480"/>
        <w:spacing w:after="0" w:line="203" w:lineRule="auto"/>
        <w:rPr>
          <w:sz w:val="20"/>
          <w:szCs w:val="20"/>
          <w:color w:val="auto"/>
        </w:rPr>
      </w:pPr>
      <w:r>
        <w:rPr>
          <w:rFonts w:ascii="Times New Roman" w:cs="Times New Roman" w:eastAsia="Times New Roman" w:hAnsi="Times New Roman"/>
          <w:sz w:val="18"/>
          <w:szCs w:val="18"/>
          <w:color w:val="auto"/>
        </w:rPr>
        <w:t>18 U.S.C. SECTION 1350,</w:t>
      </w:r>
    </w:p>
    <w:p>
      <w:pPr>
        <w:ind w:left="3300"/>
        <w:spacing w:after="0" w:line="219" w:lineRule="auto"/>
        <w:rPr>
          <w:sz w:val="20"/>
          <w:szCs w:val="20"/>
          <w:color w:val="auto"/>
        </w:rPr>
      </w:pPr>
      <w:r>
        <w:rPr>
          <w:rFonts w:ascii="Times New Roman" w:cs="Times New Roman" w:eastAsia="Times New Roman" w:hAnsi="Times New Roman"/>
          <w:sz w:val="18"/>
          <w:szCs w:val="18"/>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13" w:lineRule="exact"/>
        <w:rPr>
          <w:sz w:val="20"/>
          <w:szCs w:val="20"/>
          <w:color w:val="auto"/>
        </w:rPr>
      </w:pPr>
    </w:p>
    <w:p>
      <w:pPr>
        <w:jc w:val="both"/>
        <w:ind w:left="180" w:right="199"/>
        <w:spacing w:after="0" w:line="226" w:lineRule="auto"/>
        <w:rPr>
          <w:sz w:val="20"/>
          <w:szCs w:val="20"/>
          <w:color w:val="auto"/>
        </w:rPr>
      </w:pPr>
      <w:r>
        <w:rPr>
          <w:rFonts w:ascii="Times New Roman" w:cs="Times New Roman" w:eastAsia="Times New Roman" w:hAnsi="Times New Roman"/>
          <w:sz w:val="18"/>
          <w:szCs w:val="18"/>
          <w:color w:val="auto"/>
        </w:rPr>
        <w:t>Ellen M. Cotter, Chief Executive Officer, and Gilbert Avanes, Chief Financial Officer, of Reading International, Inc. (the “Company”), pursuant to 18 U.S.C. Section 1350, as adopted pursuant to Section 906 of the Sarbanes-Oxley Act of 2002, do each hereby certify, that, to his or her knowledge:</w:t>
      </w:r>
    </w:p>
    <w:p>
      <w:pPr>
        <w:spacing w:after="0" w:line="131" w:lineRule="exact"/>
        <w:rPr>
          <w:sz w:val="20"/>
          <w:szCs w:val="20"/>
          <w:color w:val="auto"/>
        </w:rPr>
      </w:pPr>
    </w:p>
    <w:p>
      <w:pPr>
        <w:ind w:left="820" w:right="379" w:hanging="312"/>
        <w:spacing w:after="0" w:line="231"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2024 (the "Report") of the Company fully complies with the requirements of Section 13(a) or 15(d), as applicable, of the Securities Exchange Act of 1934; and</w:t>
      </w:r>
    </w:p>
    <w:p>
      <w:pPr>
        <w:spacing w:after="0" w:line="117" w:lineRule="exact"/>
        <w:rPr>
          <w:rFonts w:ascii="Times New Roman" w:cs="Times New Roman" w:eastAsia="Times New Roman" w:hAnsi="Times New Roman"/>
          <w:sz w:val="18"/>
          <w:szCs w:val="18"/>
          <w:color w:val="auto"/>
        </w:rPr>
      </w:pPr>
    </w:p>
    <w:p>
      <w:pPr>
        <w:ind w:left="820" w:right="499" w:hanging="312"/>
        <w:spacing w:after="0" w:line="237"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Dated: May 15, 2024</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Ellen M. Cotter</w:t>
      </w:r>
    </w:p>
    <w:tbl>
      <w:tblPr>
        <w:tblLayout w:type="fixed"/>
        <w:tblInd w:w="180" w:type="dxa"/>
        <w:tblCellMar>
          <w:top w:w="0" w:type="dxa"/>
          <w:left w:w="0" w:type="dxa"/>
          <w:bottom w:w="0" w:type="dxa"/>
          <w:right w:w="0" w:type="dxa"/>
        </w:tblCellMar>
      </w:tblPr>
      <w:tr>
        <w:trPr>
          <w:trHeight w:val="164"/>
        </w:trPr>
        <w:tc>
          <w:tcPr>
            <w:tcW w:w="580" w:type="dxa"/>
            <w:vAlign w:val="bottom"/>
            <w:tcBorders>
              <w:top w:val="single" w:sz="8" w:color="auto"/>
            </w:tcBorders>
          </w:tcPr>
          <w:p>
            <w:pPr>
              <w:spacing w:after="0" w:line="164" w:lineRule="exact"/>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top w:val="single" w:sz="8" w:color="auto"/>
            </w:tcBorders>
            <w:gridSpan w:val="2"/>
          </w:tcPr>
          <w:p>
            <w:pPr>
              <w:ind w:left="120"/>
              <w:spacing w:after="0" w:line="164" w:lineRule="exact"/>
              <w:rPr>
                <w:sz w:val="20"/>
                <w:szCs w:val="20"/>
                <w:color w:val="auto"/>
              </w:rPr>
            </w:pPr>
            <w:r>
              <w:rPr>
                <w:rFonts w:ascii="Times New Roman" w:cs="Times New Roman" w:eastAsia="Times New Roman" w:hAnsi="Times New Roman"/>
                <w:sz w:val="18"/>
                <w:szCs w:val="18"/>
                <w:color w:val="auto"/>
              </w:rPr>
              <w:t>Ellen M. Cotter</w:t>
            </w:r>
          </w:p>
        </w:tc>
        <w:tc>
          <w:tcPr>
            <w:tcW w:w="4640" w:type="dxa"/>
            <w:vAlign w:val="bottom"/>
          </w:tcPr>
          <w:p>
            <w:pPr>
              <w:spacing w:after="0"/>
              <w:rPr>
                <w:sz w:val="14"/>
                <w:szCs w:val="14"/>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24"/>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Gilbert Avanes</w:t>
            </w:r>
          </w:p>
        </w:tc>
      </w:tr>
      <w:tr>
        <w:trPr>
          <w:trHeight w:val="164"/>
        </w:trPr>
        <w:tc>
          <w:tcPr>
            <w:tcW w:w="580" w:type="dxa"/>
            <w:vAlign w:val="bottom"/>
            <w:tcBorders>
              <w:top w:val="single" w:sz="8" w:color="auto"/>
            </w:tcBorders>
          </w:tcPr>
          <w:p>
            <w:pPr>
              <w:spacing w:after="0" w:line="164" w:lineRule="exact"/>
              <w:rPr>
                <w:sz w:val="20"/>
                <w:szCs w:val="20"/>
                <w:color w:val="auto"/>
              </w:rPr>
            </w:pPr>
            <w:r>
              <w:rPr>
                <w:rFonts w:ascii="Times New Roman" w:cs="Times New Roman" w:eastAsia="Times New Roman" w:hAnsi="Times New Roman"/>
                <w:sz w:val="18"/>
                <w:szCs w:val="18"/>
                <w:color w:val="auto"/>
              </w:rPr>
              <w:t>Name:</w:t>
            </w:r>
          </w:p>
        </w:tc>
        <w:tc>
          <w:tcPr>
            <w:tcW w:w="3420" w:type="dxa"/>
            <w:vAlign w:val="bottom"/>
            <w:tcBorders>
              <w:top w:val="single" w:sz="8" w:color="auto"/>
            </w:tcBorders>
          </w:tcPr>
          <w:p>
            <w:pPr>
              <w:ind w:left="80"/>
              <w:spacing w:after="0" w:line="164" w:lineRule="exact"/>
              <w:rPr>
                <w:sz w:val="20"/>
                <w:szCs w:val="20"/>
                <w:color w:val="auto"/>
              </w:rPr>
            </w:pPr>
            <w:r>
              <w:rPr>
                <w:rFonts w:ascii="Times New Roman" w:cs="Times New Roman" w:eastAsia="Times New Roman" w:hAnsi="Times New Roman"/>
                <w:sz w:val="18"/>
                <w:szCs w:val="18"/>
                <w:color w:val="auto"/>
              </w:rPr>
              <w:t>Gilbert Avanes</w:t>
            </w:r>
          </w:p>
        </w:tc>
        <w:tc>
          <w:tcPr>
            <w:tcW w:w="4680" w:type="dxa"/>
            <w:vAlign w:val="bottom"/>
            <w:gridSpan w:val="2"/>
          </w:tcPr>
          <w:p>
            <w:pPr>
              <w:spacing w:after="0"/>
              <w:rPr>
                <w:sz w:val="14"/>
                <w:szCs w:val="14"/>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03"/>
        </w:trPr>
        <w:tc>
          <w:tcPr>
            <w:tcW w:w="580" w:type="dxa"/>
            <w:vAlign w:val="bottom"/>
            <w:tcBorders>
              <w:bottom w:val="single" w:sz="8" w:color="9A9A9A"/>
            </w:tcBorders>
          </w:tcPr>
          <w:p>
            <w:pPr>
              <w:spacing w:after="0"/>
              <w:rPr>
                <w:sz w:val="17"/>
                <w:szCs w:val="17"/>
                <w:color w:val="auto"/>
              </w:rPr>
            </w:pPr>
          </w:p>
        </w:tc>
        <w:tc>
          <w:tcPr>
            <w:tcW w:w="34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640" w:type="dxa"/>
            <w:vAlign w:val="bottom"/>
            <w:tcBorders>
              <w:bottom w:val="single" w:sz="8" w:color="9A9A9A"/>
            </w:tcBorders>
          </w:tcPr>
          <w:p>
            <w:pPr>
              <w:spacing w:after="0"/>
              <w:rPr>
                <w:sz w:val="17"/>
                <w:szCs w:val="17"/>
                <w:color w:val="auto"/>
              </w:rPr>
            </w:pPr>
          </w:p>
        </w:tc>
      </w:tr>
      <w:tr>
        <w:trPr>
          <w:trHeight w:val="20"/>
        </w:trPr>
        <w:tc>
          <w:tcPr>
            <w:tcW w:w="580" w:type="dxa"/>
            <w:vAlign w:val="bottom"/>
            <w:tcBorders>
              <w:bottom w:val="single" w:sz="8" w:color="EEEEEE"/>
            </w:tcBorders>
          </w:tcPr>
          <w:p>
            <w:pPr>
              <w:spacing w:after="0" w:line="20" w:lineRule="exact"/>
              <w:rPr>
                <w:sz w:val="1"/>
                <w:szCs w:val="1"/>
                <w:color w:val="auto"/>
              </w:rPr>
            </w:pPr>
          </w:p>
        </w:tc>
        <w:tc>
          <w:tcPr>
            <w:tcW w:w="34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6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sectPr>
      <w:pgSz w:w="11900" w:h="16838" w:orient="portrait"/>
      <w:cols w:equalWidth="0" w:num="1">
        <w:col w:w="9019"/>
      </w:cols>
      <w:pgMar w:left="14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
      <w:numFmt w:val="bullet"/>
      <w:start w:val="1"/>
    </w:lvl>
  </w:abstractNum>
  <w:abstractNum w:abstractNumId="6">
    <w:nsid w:val="836C40E"/>
    <w:multiLevelType w:val="hybridMultilevel"/>
    <w:lvl w:ilvl="0">
      <w:lvlJc w:val="left"/>
      <w:lvlText w:val=" "/>
      <w:numFmt w:val="bullet"/>
      <w:start w:val="1"/>
    </w:lvl>
  </w:abstractNum>
  <w:abstractNum w:abstractNumId="7">
    <w:nsid w:val="2901D82"/>
    <w:multiLevelType w:val="hybridMultilevel"/>
    <w:lvl w:ilvl="0">
      <w:lvlJc w:val="left"/>
      <w:lvlText w:val=" "/>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 "/>
      <w:numFmt w:val="bullet"/>
      <w:start w:val="1"/>
    </w:lvl>
  </w:abstractNum>
  <w:abstractNum w:abstractNumId="10">
    <w:nsid w:val="1E7FF521"/>
    <w:multiLevelType w:val="hybridMultilevel"/>
    <w:lvl w:ilvl="0">
      <w:lvlJc w:val="left"/>
      <w:lvlText w:val=" "/>
      <w:numFmt w:val="bullet"/>
      <w:start w:val="1"/>
    </w:lvl>
  </w:abstractNum>
  <w:abstractNum w:abstractNumId="11">
    <w:nsid w:val="7C3DBD3D"/>
    <w:multiLevelType w:val="hybridMultilevel"/>
    <w:lvl w:ilvl="0">
      <w:lvlJc w:val="left"/>
      <w:lvlText w:val=" "/>
      <w:numFmt w:val="bullet"/>
      <w:start w:val="1"/>
    </w:lvl>
  </w:abstractNum>
  <w:abstractNum w:abstractNumId="12">
    <w:nsid w:val="737B8DDC"/>
    <w:multiLevelType w:val="hybridMultilevel"/>
    <w:lvl w:ilvl="0">
      <w:lvlJc w:val="left"/>
      <w:lvlText w:val=" "/>
      <w:numFmt w:val="bullet"/>
      <w:start w:val="1"/>
    </w:lvl>
  </w:abstractNum>
  <w:abstractNum w:abstractNumId="13">
    <w:nsid w:val="6CEAF087"/>
    <w:multiLevelType w:val="hybridMultilevel"/>
    <w:lvl w:ilvl="0">
      <w:lvlJc w:val="left"/>
      <w:lvlText w:val=" "/>
      <w:numFmt w:val="bullet"/>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 "/>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
      <w:numFmt w:val="bullet"/>
      <w:start w:val="1"/>
    </w:lvl>
  </w:abstractNum>
  <w:abstractNum w:abstractNumId="18">
    <w:nsid w:val="419AC241"/>
    <w:multiLevelType w:val="hybridMultilevel"/>
    <w:lvl w:ilvl="0">
      <w:lvlJc w:val="left"/>
      <w:lvlText w:val=" "/>
      <w:numFmt w:val="bullet"/>
      <w:start w:val="1"/>
    </w:lvl>
  </w:abstractNum>
  <w:abstractNum w:abstractNumId="19">
    <w:nsid w:val="5577F8E1"/>
    <w:multiLevelType w:val="hybridMultilevel"/>
    <w:lvl w:ilvl="0">
      <w:lvlJc w:val="left"/>
      <w:lvlText w:val=" "/>
      <w:numFmt w:val="bullet"/>
      <w:start w:val="1"/>
    </w:lvl>
  </w:abstractNum>
  <w:abstractNum w:abstractNumId="20">
    <w:nsid w:val="440BADFC"/>
    <w:multiLevelType w:val="hybridMultilevel"/>
    <w:lvl w:ilvl="0">
      <w:lvlJc w:val="left"/>
      <w:lvlText w:val=" "/>
      <w:numFmt w:val="bullet"/>
      <w:start w:val="1"/>
    </w:lvl>
  </w:abstractNum>
  <w:abstractNum w:abstractNumId="21">
    <w:nsid w:val="5072367"/>
    <w:multiLevelType w:val="hybridMultilevel"/>
    <w:lvl w:ilvl="0">
      <w:lvlJc w:val="left"/>
      <w:lvlText w:val=" "/>
      <w:numFmt w:val="bullet"/>
      <w:start w:val="1"/>
    </w:lvl>
  </w:abstractNum>
  <w:abstractNum w:abstractNumId="22">
    <w:nsid w:val="3804823E"/>
    <w:multiLevelType w:val="hybridMultilevel"/>
    <w:lvl w:ilvl="0">
      <w:lvlJc w:val="left"/>
      <w:lvlText w:val=" "/>
      <w:numFmt w:val="bullet"/>
      <w:start w:val="1"/>
    </w:lvl>
  </w:abstractNum>
  <w:abstractNum w:abstractNumId="23">
    <w:nsid w:val="77465F01"/>
    <w:multiLevelType w:val="hybridMultilevel"/>
    <w:lvl w:ilvl="0">
      <w:lvlJc w:val="left"/>
      <w:lvlText w:val=" "/>
      <w:numFmt w:val="bullet"/>
      <w:start w:val="1"/>
    </w:lvl>
  </w:abstractNum>
  <w:abstractNum w:abstractNumId="24">
    <w:nsid w:val="7724C67E"/>
    <w:multiLevelType w:val="hybridMultilevel"/>
    <w:lvl w:ilvl="0">
      <w:lvlJc w:val="left"/>
      <w:lvlText w:val="(%1)"/>
      <w:numFmt w:val="lowerRoman"/>
      <w:start w:val="1"/>
    </w:lvl>
  </w:abstractNum>
  <w:abstractNum w:abstractNumId="25">
    <w:nsid w:val="5C482A97"/>
    <w:multiLevelType w:val="hybridMultilevel"/>
    <w:lvl w:ilvl="0">
      <w:lvlJc w:val="left"/>
      <w:lvlText w:val="\endash "/>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lowerRoman"/>
      <w:start w:val="1"/>
    </w:lvl>
  </w:abstractNum>
  <w:abstractNum w:abstractNumId="29">
    <w:nsid w:val="2D517796"/>
    <w:multiLevelType w:val="hybridMultilevel"/>
    <w:lvl w:ilvl="0">
      <w:lvlJc w:val="left"/>
      <w:lvlText w:val="(%1)"/>
      <w:numFmt w:val="lowerRoman"/>
      <w:start w:val="2"/>
    </w:lvl>
  </w:abstractNum>
  <w:abstractNum w:abstractNumId="30">
    <w:nsid w:val="580BD78F"/>
    <w:multiLevelType w:val="hybridMultilevel"/>
    <w:lvl w:ilvl="0">
      <w:lvlJc w:val="left"/>
      <w:lvlText w:val=" "/>
      <w:numFmt w:val="bullet"/>
      <w:start w:val="1"/>
    </w:lvl>
  </w:abstractNum>
  <w:abstractNum w:abstractNumId="31">
    <w:nsid w:val="153EA438"/>
    <w:multiLevelType w:val="hybridMultilevel"/>
    <w:lvl w:ilvl="0">
      <w:lvlJc w:val="left"/>
      <w:lvlText w:val=" "/>
      <w:numFmt w:val="bullet"/>
      <w:start w:val="1"/>
    </w:lvl>
    <w:lvl w:ilvl="1">
      <w:lvlJc w:val="left"/>
      <w:lvlText w:val=" "/>
      <w:numFmt w:val="bullet"/>
      <w:start w:val="1"/>
    </w:lvl>
  </w:abstractNum>
  <w:abstractNum w:abstractNumId="32">
    <w:nsid w:val="3855585C"/>
    <w:multiLevelType w:val="hybridMultilevel"/>
    <w:lvl w:ilvl="0">
      <w:lvlJc w:val="left"/>
      <w:lvlText w:val=" "/>
      <w:numFmt w:val="bullet"/>
      <w:start w:val="1"/>
    </w:lvl>
  </w:abstractNum>
  <w:abstractNum w:abstractNumId="33">
    <w:nsid w:val="70A64E2A"/>
    <w:multiLevelType w:val="hybridMultilevel"/>
    <w:lvl w:ilvl="0">
      <w:lvlJc w:val="left"/>
      <w:lvlText w:val=" "/>
      <w:numFmt w:val="bullet"/>
      <w:start w:val="1"/>
    </w:lvl>
  </w:abstractNum>
  <w:abstractNum w:abstractNumId="34">
    <w:nsid w:val="6A2342EC"/>
    <w:multiLevelType w:val="hybridMultilevel"/>
    <w:lvl w:ilvl="0">
      <w:lvlJc w:val="left"/>
      <w:lvlText w:val="%1"/>
      <w:numFmt w:val="decimal"/>
      <w:start w:val="10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upperLetter"/>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lowerRoman"/>
      <w:start w:val="2"/>
    </w:lvl>
  </w:abstractNum>
  <w:abstractNum w:abstractNumId="39">
    <w:nsid w:val="57E4CCAF"/>
    <w:multiLevelType w:val="hybridMultilevel"/>
    <w:lvl w:ilvl="0">
      <w:lvlJc w:val="left"/>
      <w:lvlText w:val="(%1)"/>
      <w:numFmt w:val="upperLetter"/>
      <w:start w:val="2"/>
    </w:lvl>
    <w:lvl w:ilvl="1">
      <w:lvlJc w:val="left"/>
      <w:lvlText w:val="(%2)"/>
      <w:numFmt w:val="lowerRoman"/>
      <w:start w:val="1"/>
    </w:lvl>
  </w:abstractNum>
  <w:abstractNum w:abstractNumId="40">
    <w:nsid w:val="7A6D8D3C"/>
    <w:multiLevelType w:val="hybridMultilevel"/>
    <w:lvl w:ilvl="0">
      <w:lvlJc w:val="left"/>
      <w:lvlText w:val="%1"/>
      <w:numFmt w:val="upperLetter"/>
      <w:start w:val="1"/>
    </w:lvl>
    <w:lvl w:ilvl="1">
      <w:lvlJc w:val="left"/>
      <w:lvlText w:val="(%2)"/>
      <w:numFmt w:val="lowerRoman"/>
      <w:start w:val="7"/>
    </w:lvl>
  </w:abstractNum>
  <w:abstractNum w:abstractNumId="41">
    <w:nsid w:val="4B588F54"/>
    <w:multiLevelType w:val="hybridMultilevel"/>
    <w:lvl w:ilvl="0">
      <w:lvlJc w:val="left"/>
      <w:lvlText w:val="%1."/>
      <w:numFmt w:val="upperLetter"/>
      <w:start w:val="2"/>
    </w:lvl>
    <w:lvl w:ilvl="1">
      <w:lvlJc w:val="left"/>
      <w:lvlText w:val="%2"/>
      <w:numFmt w:val="lowerRoman"/>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decimal"/>
      <w:start w:val="7"/>
    </w:lvl>
  </w:abstractNum>
  <w:abstractNum w:abstractNumId="44">
    <w:nsid w:val="38437FDB"/>
    <w:multiLevelType w:val="hybridMultilevel"/>
    <w:lvl w:ilvl="0">
      <w:lvlJc w:val="left"/>
      <w:lvlText w:val="%1."/>
      <w:numFmt w:val="decimal"/>
      <w:start w:val="8"/>
    </w:lvl>
  </w:abstractNum>
  <w:abstractNum w:abstractNumId="45">
    <w:nsid w:val="7644A45C"/>
    <w:multiLevelType w:val="hybridMultilevel"/>
    <w:lvl w:ilvl="0">
      <w:lvlJc w:val="left"/>
      <w:lvlText w:val="%1."/>
      <w:numFmt w:val="decimal"/>
      <w:start w:val="10"/>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2024-05-15T16:34:25Z</dcterms:created>
  <dcterms:modified xsi:type="dcterms:W3CDTF">2024-05-15T16:34:25Z</dcterms:modified>
</cp:coreProperties>
</file>