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U.S. SECURITIES AND EXCHANGE COMMISSION</w:t>
      </w:r>
    </w:p>
    <w:p>
      <w:pPr>
        <w:spacing w:after="0" w:line="33" w:lineRule="exact"/>
        <w:rPr>
          <w:sz w:val="24"/>
          <w:szCs w:val="24"/>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(Mark One)</w:t>
      </w:r>
    </w:p>
    <w:p>
      <w:pPr>
        <w:spacing w:after="0" w:line="147" w:lineRule="exact"/>
        <w:rPr>
          <w:sz w:val="24"/>
          <w:szCs w:val="24"/>
          <w:color w:val="auto"/>
        </w:rPr>
      </w:pPr>
    </w:p>
    <w:p>
      <w:pPr>
        <w:ind w:left="1900" w:right="3679" w:hanging="1806"/>
        <w:spacing w:after="0" w:line="270" w:lineRule="auto"/>
        <w:tabs>
          <w:tab w:leader="none" w:pos="112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tbl>
      <w:tblPr>
        <w:tblLayout w:type="fixed"/>
        <w:tblInd w:w="0" w:type="dxa"/>
        <w:tblCellMar>
          <w:top w:w="0" w:type="dxa"/>
          <w:left w:w="0" w:type="dxa"/>
          <w:bottom w:w="0" w:type="dxa"/>
          <w:right w:w="0" w:type="dxa"/>
        </w:tblCellMar>
      </w:tblPr>
      <w:tr>
        <w:trPr>
          <w:trHeight w:val="140"/>
        </w:trPr>
        <w:tc>
          <w:tcPr>
            <w:tcW w:w="660" w:type="dxa"/>
            <w:vAlign w:val="bottom"/>
          </w:tcPr>
          <w:p>
            <w:pPr>
              <w:spacing w:after="0"/>
              <w:rPr>
                <w:sz w:val="12"/>
                <w:szCs w:val="12"/>
                <w:color w:val="auto"/>
              </w:rPr>
            </w:pPr>
          </w:p>
        </w:tc>
        <w:tc>
          <w:tcPr>
            <w:tcW w:w="258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rPr>
              <w:t>For the fiscal year</w:t>
            </w:r>
          </w:p>
        </w:tc>
        <w:tc>
          <w:tcPr>
            <w:tcW w:w="2840" w:type="dxa"/>
            <w:vAlign w:val="bottom"/>
            <w:gridSpan w:val="2"/>
          </w:tcPr>
          <w:p>
            <w:pPr>
              <w:jc w:val="right"/>
              <w:ind w:right="748"/>
              <w:spacing w:after="0" w:line="140" w:lineRule="exact"/>
              <w:rPr>
                <w:sz w:val="20"/>
                <w:szCs w:val="20"/>
                <w:color w:val="auto"/>
              </w:rPr>
            </w:pPr>
            <w:r>
              <w:rPr>
                <w:rFonts w:ascii="Courier New" w:cs="Courier New" w:eastAsia="Courier New" w:hAnsi="Courier New"/>
                <w:sz w:val="14"/>
                <w:szCs w:val="14"/>
                <w:color w:val="auto"/>
              </w:rPr>
              <w:t>ended December 31, 1998</w:t>
            </w: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[_]</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TRANSITION REPORT PURSUANT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632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SECTION 13 OR 15(d) OF THE SECURITIES</w:t>
            </w:r>
          </w:p>
        </w:tc>
        <w:tc>
          <w:tcPr>
            <w:tcW w:w="0" w:type="dxa"/>
            <w:vAlign w:val="bottom"/>
          </w:tcPr>
          <w:p>
            <w:pPr>
              <w:spacing w:after="0"/>
              <w:rPr>
                <w:sz w:val="1"/>
                <w:szCs w:val="1"/>
                <w:color w:val="auto"/>
              </w:rPr>
            </w:pPr>
          </w:p>
        </w:tc>
      </w:tr>
      <w:tr>
        <w:trPr>
          <w:trHeight w:val="166"/>
        </w:trPr>
        <w:tc>
          <w:tcPr>
            <w:tcW w:w="66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6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EXCHANGE ACT OF 1934</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[NO FEE REQUIRED]</w:t>
            </w: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the transition period</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from _______ to ______</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5420" w:type="dxa"/>
            <w:vAlign w:val="bottom"/>
            <w:gridSpan w:val="3"/>
          </w:tcPr>
          <w:p>
            <w:pPr>
              <w:ind w:left="1580"/>
              <w:spacing w:after="0"/>
              <w:rPr>
                <w:sz w:val="20"/>
                <w:szCs w:val="20"/>
                <w:color w:val="auto"/>
              </w:rPr>
            </w:pPr>
            <w:r>
              <w:rPr>
                <w:rFonts w:ascii="Courier New" w:cs="Courier New" w:eastAsia="Courier New" w:hAnsi="Courier New"/>
                <w:sz w:val="14"/>
                <w:szCs w:val="14"/>
                <w:color w:val="auto"/>
              </w:rPr>
              <w:t>Commission File No. 1-8625</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5420" w:type="dxa"/>
            <w:vAlign w:val="bottom"/>
            <w:gridSpan w:val="3"/>
          </w:tcPr>
          <w:p>
            <w:pPr>
              <w:jc w:val="right"/>
              <w:ind w:right="18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5420" w:type="dxa"/>
            <w:vAlign w:val="bottom"/>
            <w:gridSpan w:val="3"/>
          </w:tcPr>
          <w:p>
            <w:pPr>
              <w:ind w:left="1580"/>
              <w:spacing w:after="0"/>
              <w:rPr>
                <w:sz w:val="20"/>
                <w:szCs w:val="20"/>
                <w:color w:val="auto"/>
              </w:rPr>
            </w:pPr>
            <w:r>
              <w:rPr>
                <w:rFonts w:ascii="Courier New" w:cs="Courier New" w:eastAsia="Courier New" w:hAnsi="Courier New"/>
                <w:sz w:val="14"/>
                <w:szCs w:val="14"/>
                <w:color w:val="auto"/>
              </w:rPr>
              <w:t>CITADEL HOLDING CORPORATION</w:t>
            </w: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(Exact name of registrant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specified in its charter)</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660" w:type="dxa"/>
            <w:vAlign w:val="bottom"/>
          </w:tcPr>
          <w:p>
            <w:pPr>
              <w:spacing w:after="0"/>
              <w:rPr>
                <w:sz w:val="24"/>
                <w:szCs w:val="24"/>
                <w:color w:val="auto"/>
              </w:rPr>
            </w:pPr>
          </w:p>
        </w:tc>
        <w:tc>
          <w:tcPr>
            <w:tcW w:w="2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DELAWARE</w:t>
            </w:r>
          </w:p>
        </w:tc>
        <w:tc>
          <w:tcPr>
            <w:tcW w:w="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95-3885184</w:t>
            </w:r>
          </w:p>
        </w:tc>
        <w:tc>
          <w:tcPr>
            <w:tcW w:w="0" w:type="dxa"/>
            <w:vAlign w:val="bottom"/>
          </w:tcPr>
          <w:p>
            <w:pPr>
              <w:spacing w:after="0"/>
              <w:rPr>
                <w:sz w:val="1"/>
                <w:szCs w:val="1"/>
                <w:color w:val="auto"/>
              </w:rPr>
            </w:pPr>
          </w:p>
        </w:tc>
      </w:tr>
      <w:tr>
        <w:trPr>
          <w:trHeight w:val="242"/>
        </w:trPr>
        <w:tc>
          <w:tcPr>
            <w:tcW w:w="6080" w:type="dxa"/>
            <w:vAlign w:val="bottom"/>
            <w:gridSpan w:val="4"/>
          </w:tcPr>
          <w:p>
            <w:pPr>
              <w:jc w:val="right"/>
              <w:ind w:right="668"/>
              <w:spacing w:after="0"/>
              <w:rPr>
                <w:sz w:val="20"/>
                <w:szCs w:val="20"/>
                <w:color w:val="auto"/>
              </w:rPr>
            </w:pPr>
            <w:r>
              <w:rPr>
                <w:rFonts w:ascii="Courier New" w:cs="Courier New" w:eastAsia="Courier New" w:hAnsi="Courier New"/>
                <w:sz w:val="14"/>
                <w:szCs w:val="14"/>
                <w:color w:val="auto"/>
              </w:rPr>
              <w:t>(State or other jurisdiction of incorporation or organization)</w:t>
            </w:r>
          </w:p>
        </w:tc>
        <w:tc>
          <w:tcPr>
            <w:tcW w:w="3740" w:type="dxa"/>
            <w:vAlign w:val="bottom"/>
          </w:tcPr>
          <w:p>
            <w:pPr>
              <w:jc w:val="right"/>
              <w:spacing w:after="0"/>
              <w:rPr>
                <w:sz w:val="20"/>
                <w:szCs w:val="20"/>
                <w:color w:val="auto"/>
              </w:rPr>
            </w:pPr>
            <w:r>
              <w:rPr>
                <w:rFonts w:ascii="Courier New" w:cs="Courier New" w:eastAsia="Courier New" w:hAnsi="Courier New"/>
                <w:sz w:val="14"/>
                <w:szCs w:val="14"/>
                <w:color w:val="auto"/>
              </w:rPr>
              <w:t>(I.R.S. Employer Identification Number)</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550 South Hope Street,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Suite 1825</w:t>
            </w:r>
          </w:p>
        </w:tc>
        <w:tc>
          <w:tcPr>
            <w:tcW w:w="37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90071</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Los Angeles,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CA</w:t>
            </w:r>
          </w:p>
        </w:tc>
        <w:tc>
          <w:tcPr>
            <w:tcW w:w="2580" w:type="dxa"/>
            <w:vAlign w:val="bottom"/>
          </w:tcPr>
          <w:p>
            <w:pPr>
              <w:spacing w:after="0"/>
              <w:rPr>
                <w:sz w:val="16"/>
                <w:szCs w:val="16"/>
                <w:color w:val="auto"/>
              </w:rPr>
            </w:pPr>
          </w:p>
        </w:tc>
        <w:tc>
          <w:tcPr>
            <w:tcW w:w="37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bl>
    <w:p>
      <w:pPr>
        <w:ind w:left="130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312" w:lineRule="exact"/>
        <w:rPr>
          <w:sz w:val="24"/>
          <w:szCs w:val="24"/>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Registrant's telephone number, including Area Code:</w:t>
        <w:tab/>
        <w:t>(213) 239-0540</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3" w:lineRule="exact"/>
        <w:rPr>
          <w:sz w:val="24"/>
          <w:szCs w:val="24"/>
          <w:color w:val="auto"/>
        </w:rPr>
      </w:pPr>
    </w:p>
    <w:p>
      <w:pPr>
        <w:ind w:left="700"/>
        <w:spacing w:after="0"/>
        <w:tabs>
          <w:tab w:leader="none" w:pos="3260" w:val="left"/>
        </w:tabs>
        <w:rPr>
          <w:sz w:val="20"/>
          <w:szCs w:val="20"/>
          <w:color w:val="auto"/>
        </w:rPr>
      </w:pPr>
      <w:r>
        <w:rPr>
          <w:rFonts w:ascii="Courier New" w:cs="Courier New" w:eastAsia="Courier New" w:hAnsi="Courier New"/>
          <w:sz w:val="14"/>
          <w:szCs w:val="14"/>
          <w:color w:val="auto"/>
        </w:rPr>
        <w:t>Title of each class</w:t>
      </w:r>
      <w:r>
        <w:rPr>
          <w:sz w:val="20"/>
          <w:szCs w:val="20"/>
          <w:color w:val="auto"/>
        </w:rPr>
        <w:tab/>
      </w:r>
      <w:r>
        <w:rPr>
          <w:rFonts w:ascii="Courier New" w:cs="Courier New" w:eastAsia="Courier New" w:hAnsi="Courier New"/>
          <w:sz w:val="14"/>
          <w:szCs w:val="14"/>
          <w:color w:val="auto"/>
        </w:rPr>
        <w:t>Name of each exchange on which registered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360"/>
        <w:spacing w:after="0"/>
        <w:tabs>
          <w:tab w:leader="none" w:pos="3860" w:val="left"/>
        </w:tabs>
        <w:rPr>
          <w:sz w:val="20"/>
          <w:szCs w:val="20"/>
          <w:color w:val="auto"/>
        </w:rPr>
      </w:pPr>
      <w:r>
        <w:rPr>
          <w:rFonts w:ascii="Courier New" w:cs="Courier New" w:eastAsia="Courier New" w:hAnsi="Courier New"/>
          <w:sz w:val="14"/>
          <w:szCs w:val="14"/>
          <w:color w:val="auto"/>
        </w:rPr>
        <w:t>Common Stock, $0.01 par value</w:t>
      </w:r>
      <w:r>
        <w:rPr>
          <w:sz w:val="20"/>
          <w:szCs w:val="20"/>
          <w:color w:val="auto"/>
        </w:rPr>
        <w:tab/>
      </w:r>
      <w:r>
        <w:rPr>
          <w:rFonts w:ascii="Courier New" w:cs="Courier New" w:eastAsia="Courier New" w:hAnsi="Courier New"/>
          <w:sz w:val="14"/>
          <w:szCs w:val="14"/>
          <w:color w:val="auto"/>
        </w:rPr>
        <w:t>American Stock Exchange</w:t>
      </w:r>
    </w:p>
    <w:p>
      <w:pPr>
        <w:sectPr>
          <w:pgSz w:w="11900" w:h="16838" w:orient="portrait"/>
          <w:cols w:equalWidth="0" w:num="1">
            <w:col w:w="10239"/>
          </w:cols>
          <w:pgMar w:left="220" w:top="535" w:right="1440" w:bottom="1440" w:gutter="0" w:footer="0" w:header="0"/>
        </w:sectPr>
      </w:pPr>
    </w:p>
    <w:p>
      <w:pPr>
        <w:spacing w:after="0" w:line="312" w:lineRule="exact"/>
        <w:rPr>
          <w:sz w:val="24"/>
          <w:szCs w:val="24"/>
          <w:color w:val="auto"/>
        </w:rPr>
      </w:pPr>
    </w:p>
    <w:p>
      <w:pPr>
        <w:jc w:val="center"/>
        <w:ind w:left="18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sectPr>
          <w:pgSz w:w="11900" w:h="16838" w:orient="portrait"/>
          <w:cols w:equalWidth="0" w:num="2">
            <w:col w:w="5260" w:space="180"/>
            <w:col w:w="4799"/>
          </w:cols>
          <w:pgMar w:left="220" w:top="535" w:right="1440"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Indicate by</w:t>
            </w:r>
          </w:p>
        </w:tc>
        <w:tc>
          <w:tcPr>
            <w:tcW w:w="26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check mark whether registrant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has filed all</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reports required</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 be filed</w:t>
            </w:r>
          </w:p>
        </w:tc>
        <w:tc>
          <w:tcPr>
            <w:tcW w:w="1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by Section 13</w:t>
            </w:r>
          </w:p>
        </w:tc>
        <w:tc>
          <w:tcPr>
            <w:tcW w:w="310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or 15(d) of the Securities Exchange</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Act of 1934 during</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the preceding</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months (or for</w:t>
            </w:r>
          </w:p>
        </w:tc>
        <w:tc>
          <w:tcPr>
            <w:tcW w:w="1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such shorter</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period that</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registrant was</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required to</w:t>
            </w: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w:t>
            </w: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such reports),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has</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been subject</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such filing</w:t>
            </w:r>
          </w:p>
        </w:tc>
      </w:tr>
      <w:tr>
        <w:trPr>
          <w:trHeight w:val="192"/>
        </w:trPr>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requirements for</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the past</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90 days.</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Yes</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X</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No</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___.</w:t>
            </w: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ind w:right="3339" w:firstLine="172"/>
        <w:spacing w:after="0" w:line="28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[____]</w:t>
      </w:r>
    </w:p>
    <w:p>
      <w:pPr>
        <w:spacing w:after="0" w:line="62" w:lineRule="exact"/>
        <w:rPr>
          <w:sz w:val="24"/>
          <w:szCs w:val="24"/>
          <w:color w:val="auto"/>
        </w:rPr>
      </w:pPr>
    </w:p>
    <w:p>
      <w:pPr>
        <w:ind w:right="3859" w:firstLine="172"/>
        <w:spacing w:after="0" w:line="375"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was $12,327,000 as of March 26, 1999.</w:t>
      </w:r>
    </w:p>
    <w:p>
      <w:pPr>
        <w:spacing w:after="0" w:line="1" w:lineRule="exact"/>
        <w:rPr>
          <w:sz w:val="24"/>
          <w:szCs w:val="24"/>
          <w:color w:val="auto"/>
        </w:rPr>
      </w:pPr>
    </w:p>
    <w:p>
      <w:pPr>
        <w:ind w:right="3519" w:firstLine="172"/>
        <w:spacing w:after="0" w:line="313"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 As of March 25, 1999, there were 6,669,924 shares of Common Stock, par value $.01 per share outstanding.</w:t>
      </w:r>
    </w:p>
    <w:p>
      <w:pPr>
        <w:spacing w:after="0" w:line="42"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3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53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2"/>
        </w:trPr>
        <w:tc>
          <w:tcPr>
            <w:tcW w:w="1040" w:type="dxa"/>
            <w:vAlign w:val="bottom"/>
          </w:tcPr>
          <w:p>
            <w:pPr>
              <w:spacing w:after="0"/>
              <w:rPr>
                <w:sz w:val="21"/>
                <w:szCs w:val="21"/>
                <w:color w:val="auto"/>
              </w:rPr>
            </w:pPr>
          </w:p>
        </w:tc>
        <w:tc>
          <w:tcPr>
            <w:tcW w:w="6600" w:type="dxa"/>
            <w:vAlign w:val="bottom"/>
          </w:tcPr>
          <w:p>
            <w:pPr>
              <w:ind w:left="1200"/>
              <w:spacing w:after="0"/>
              <w:rPr>
                <w:sz w:val="20"/>
                <w:szCs w:val="20"/>
                <w:color w:val="auto"/>
              </w:rPr>
            </w:pPr>
            <w:r>
              <w:rPr>
                <w:rFonts w:ascii="Courier New" w:cs="Courier New" w:eastAsia="Courier New" w:hAnsi="Courier New"/>
                <w:sz w:val="14"/>
                <w:szCs w:val="14"/>
                <w:color w:val="auto"/>
              </w:rPr>
              <w:t>CITADEL HOLDING CORPORATION</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2"/>
                <w:szCs w:val="22"/>
                <w:color w:val="auto"/>
              </w:rPr>
            </w:pPr>
          </w:p>
        </w:tc>
        <w:tc>
          <w:tcPr>
            <w:tcW w:w="6600" w:type="dxa"/>
            <w:vAlign w:val="bottom"/>
          </w:tcPr>
          <w:p>
            <w:pPr>
              <w:ind w:left="1300"/>
              <w:spacing w:after="0"/>
              <w:rPr>
                <w:sz w:val="20"/>
                <w:szCs w:val="20"/>
                <w:color w:val="auto"/>
              </w:rPr>
            </w:pPr>
            <w:r>
              <w:rPr>
                <w:rFonts w:ascii="Courier New" w:cs="Courier New" w:eastAsia="Courier New" w:hAnsi="Courier New"/>
                <w:sz w:val="14"/>
                <w:szCs w:val="14"/>
                <w:color w:val="auto"/>
              </w:rPr>
              <w:t>ANNUAL REPORT ON FORM 10-K</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6600" w:type="dxa"/>
            <w:vAlign w:val="bottom"/>
          </w:tcPr>
          <w:p>
            <w:pPr>
              <w:ind w:left="1200"/>
              <w:spacing w:after="0"/>
              <w:rPr>
                <w:sz w:val="20"/>
                <w:szCs w:val="20"/>
                <w:color w:val="auto"/>
              </w:rPr>
            </w:pPr>
            <w:r>
              <w:rPr>
                <w:rFonts w:ascii="Courier New" w:cs="Courier New" w:eastAsia="Courier New" w:hAnsi="Courier New"/>
                <w:sz w:val="14"/>
                <w:szCs w:val="14"/>
                <w:color w:val="auto"/>
              </w:rPr>
              <w:t>YEAR ENDED DECEMBER 31, 1998</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6600" w:type="dxa"/>
            <w:vAlign w:val="bottom"/>
          </w:tcPr>
          <w:p>
            <w:pPr>
              <w:ind w:left="2160"/>
              <w:spacing w:after="0"/>
              <w:rPr>
                <w:sz w:val="20"/>
                <w:szCs w:val="20"/>
                <w:color w:val="auto"/>
              </w:rPr>
            </w:pPr>
            <w:r>
              <w:rPr>
                <w:rFonts w:ascii="Courier New" w:cs="Courier New" w:eastAsia="Courier New" w:hAnsi="Courier New"/>
                <w:sz w:val="14"/>
                <w:szCs w:val="14"/>
                <w:color w:val="auto"/>
              </w:rPr>
              <w:t>INDEX</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6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1040" w:type="dxa"/>
            <w:vAlign w:val="bottom"/>
            <w:vMerge w:val="restart"/>
          </w:tcPr>
          <w:p>
            <w:pPr>
              <w:spacing w:after="0"/>
              <w:rPr>
                <w:sz w:val="20"/>
                <w:szCs w:val="20"/>
                <w:color w:val="auto"/>
              </w:rPr>
            </w:pPr>
            <w:r>
              <w:rPr>
                <w:rFonts w:ascii="Courier New" w:cs="Courier New" w:eastAsia="Courier New" w:hAnsi="Courier New"/>
                <w:sz w:val="14"/>
                <w:szCs w:val="14"/>
                <w:color w:val="auto"/>
              </w:rPr>
              <w:t>PART I.</w:t>
            </w:r>
          </w:p>
        </w:tc>
        <w:tc>
          <w:tcPr>
            <w:tcW w:w="66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6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Business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Properties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Legal Proceedings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66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Market for the Registrant's Common Stock and Related Stockholder Matters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66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Selected Financial Data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1040" w:type="dxa"/>
            <w:vAlign w:val="bottom"/>
            <w:vMerge w:val="restart"/>
          </w:tcPr>
          <w:p>
            <w:pPr>
              <w:spacing w:after="0"/>
              <w:rPr>
                <w:sz w:val="20"/>
                <w:szCs w:val="20"/>
                <w:color w:val="auto"/>
              </w:rPr>
            </w:pPr>
            <w:r>
              <w:rPr>
                <w:rFonts w:ascii="Courier New" w:cs="Courier New" w:eastAsia="Courier New" w:hAnsi="Courier New"/>
                <w:sz w:val="14"/>
                <w:szCs w:val="14"/>
                <w:color w:val="auto"/>
              </w:rPr>
              <w:t>Item 8.</w:t>
            </w:r>
          </w:p>
        </w:tc>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and Results of Operations ("MD&amp;A")</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Change in and Disagreements with Accountants on Accounting and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Financial Disclosure</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66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66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Executive Compensation</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66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Exhibits, Financial Statement Schedule, and Reports on Form 8-K</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52</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66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Signatures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590"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Citadel Holding Corporation, a Delaware corporation ("Citadel" and collectively with its wholly owned subsidiaries, the "Company") was organized in 1983 and has been engaged in recent periods primarily in the business of owning and managing its principally real estate intensive businesses and in the offering of various real estate consulting services to its affiliates. The Company currently owns two office buildings located in Phoenix, Arizona and Glendale, California. During 1996, the Company invested $7 million to acquire 70,000 shares of the Series A Voting Cumulative Convertible Preferred Stock (the "Series A Preferred Stock") of Reading Entertainment, Inc. ("REI" and collectively with its consolidated subsidiaries, "Reading") and the Asset Put Option described below (the "Reading Investment Transaction"). Reading is engaged in the "Beyond-the-Home" or real estate based segment of the entertainment industry. In December 1997, the Company purchased a 40% partnership interest (the "Agricultural Partnership Interests") in each of three general partnerships (the "Agricultural Partnerships") formed to acquire certain agricultural properties located in the Central Valley of California and commonly known as the Big 4 Ranch (the "Big 4 Properties"), and an 80% equity interest in Big 4 Farming, LLC (a newly formed farm operating company, created to provide farming services to the Agricultural Partnerships with respect to the Big 4 Properties and referred to herein as "Farming"). During 1998, the Company purchased, for approximately $1 million, an 11.6% interest in Gish Biomedical, Inc. ("Gish"), a company engaged primarily in the business of developing, manufacturing and distributing cardio-vasicular devices. In March 1999, the Company increased its interest in Gish to 13.25%. At December 31, 1998, the Company's had assets with a book value of approximately $35 million, subject to long term liabilities of $9.4 million. Until April 1994, Citadel was engaged principally in the business of serving as the holding company for Fidelity Federal Bank, FSB ("Fidelity").</w:t>
      </w:r>
    </w:p>
    <w:p>
      <w:pPr>
        <w:spacing w:after="0" w:line="25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Citadel currently intends, at least for the near term, to continue to manage its commercial real estate and agricultural properties, to provide real estate consulting services to its affiliates, and to monitor the progress of Reading in its real estate based entertainment business. Depending upon the success of Reading in the implementation of its business plan, the Company may exercise its Asset Put Option or elect to hold or dispose of its current preferred stock interest in Reading, or to convert such preferred stock interest into Reading common stock pursuant to the exercise of the conversion feature of such preferred stock and/or to hold or dispose of such Reading common stock. Alternatively or additionally, the Company may seek or consider, if offered, some further transaction or transactions with its shareholder affiliates, Reading and/or Craig Corporation ("CC" and collectively with its wholly owned subsidiaries "Craig") which would permit the Company's stockholders to further participate, directly or indirectly, in Reading's "Beyond-the-Home" entertainment business. The Company may, from time to time, also consider other transactions. The Gish transaction was a departure from the traditional business activities of the Company. The determination to purchase the Gish interest was based upon a variety of factors including the belief by management of the Company that the stock was undervalued, the fact that the transaction provided the Company with the opportunity to acquire a meaningful stake in Gish, in essence, in a single transaction, and the fact that a third party, Value Asset Fund Limited Partnership ("VAF"), was at the same time acquiring a similarly sized interest in Gish. Collectively, VAF and the Company currently own approximately 26.5% of the outstanding shares of Gish. The management of VAF is well known to and respected by the Chairman of the Board of the Company, and presented the Gish Transaction to the Company.</w:t>
      </w: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59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Commercial Real Property Ownership and Management Activities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Since April 1994, the Company has been principally involved in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and management of its real estate interests, and in the provision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consulting services to Reading. The Company has, over the past four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disposed of three multi-family residential properties, one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 and certain open land. During the same period, it has acquired two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the office buildings located in Phoenix, Arizona and Glendale,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 In March 1999 the Company entered into a Purchase and Sale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sell the office building located in Phoenix, Arizona for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$20,000,000. However, that contract is subject to usual and customary closing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and no assurance can be given that the Phoenix, Arizona building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sold at this price. Due in large part to the competition presented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substantially larger and tax benefited real estate investment trusts ("REITs"),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believes it doubtful that it will be able to effectively compete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market for the ownership of commercial properties. Nor does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believe it likely that it would be able to effectively compete in the market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property management services with respect to properties owned by 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given the significant and well established competition in this area.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Accordingly, the Company has been open to other opportunities to invest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real estate intensive businesses that may offer the Company greater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returns than competing with REITs for commercial properties or competing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 established management companies for property management business.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the Reading Series A Preferred Stock and the Agricultural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Partnerships, discussed in greater detail below, were in the view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such opportunities.</w:t>
      </w:r>
    </w:p>
    <w:p>
      <w:pPr>
        <w:spacing w:after="0" w:line="147"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Since 1995, a substantial portion of the executive time of the Company has been spent providing real estate consulting services to Reading in connection with the development by Reading of multiplex cinemas in Puerto Rico, Australia, New Zealand and the United States, and the development of entertainment centers in Australia and New Zealand. Real estate consulting services are currently being provided by the Company to Reading under an arrangement pursuant to which Reading reimburses Citadel for its costs in providing such services. During Fiscal 1998, 1997 and 1996, Reading paid to Citadel $398,000, $240,000 and $169,000 respectively, with respect to such consulting services.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Agricultural Activities</w:t>
      </w:r>
    </w:p>
    <w:p>
      <w:pPr>
        <w:spacing w:after="0" w:line="173"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Company currently has a 40% general partnership interest in three agricultural partnerships (the Agricultural Partnerships"), and 80% membership interest in the farming company, Big 4 Farming, LLC ("Farming"), that manages and farms the properties owned by the Agricultural Partnerships. The Agricultural Partnerships currently own approximately 1,580 acres of property in Kern County, California, of which approximately 980 acres is improved with mature citrus trees. In 1998, the Agricultural Partnerships planted 60 acres of new citrus, and plans to plant an additional 100 acres in 1999.</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December 1998, the Kern County area suffered a devastating freeze.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Substantially all of the Agricultural Partnerships' crop was destroyed.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crop was not insured against freeze damage, the Agricultural Partnerships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booked a loss of $2,651,000 for 1998 (inclusive of $1,577,000 related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loss resulting from the freeze), the Company's share of which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$1,061,000. It is to be anticipated that the Agricultural Partnerships will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a significant loss for 1999, as they will not receive any crop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until the second quarter of 2000. As Farming's profit is tied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agricultural results of the Agricultural Partnerships, it is not anticipated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Farming will report any income for 1998 and 1999.</w:t>
      </w:r>
    </w:p>
    <w:p>
      <w:pPr>
        <w:spacing w:after="0" w:line="147"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Citadel is the principal source of funding for the operations of the Agricultural Partnerships. The costs of the destroyed crop were funded through a line of credit from Citadel to the Agricultural Partnerships. At March 26, 1999, $1,705,000 had been drawn down under that $1,850,000 line of credit. In addition, at March 26, 1999 the Agricultural Partnership had incurred liabilities of approximately $187,000 which they expect to borrow pursuant to an amended line of credit with the Company. The Agricultural Partnerships do not currently have any source of funds with which to repay that line of credit when it comes due in August 1999, or any funds (other than the remaining undrawn upon balance of the line of credit) with which to cover its 1999 cultural, administrative and interest costs and capital improvement budget currently projected at</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4" w:name="page5"/>
    <w:bookmarkEnd w:id="4"/>
    <w:p>
      <w:pPr>
        <w:ind w:right="3599"/>
        <w:spacing w:after="0" w:line="313" w:lineRule="auto"/>
        <w:rPr>
          <w:sz w:val="20"/>
          <w:szCs w:val="20"/>
          <w:color w:val="auto"/>
        </w:rPr>
      </w:pPr>
      <w:r>
        <w:rPr>
          <w:rFonts w:ascii="Courier New" w:cs="Courier New" w:eastAsia="Courier New" w:hAnsi="Courier New"/>
          <w:sz w:val="14"/>
          <w:szCs w:val="14"/>
          <w:color w:val="auto"/>
        </w:rPr>
        <w:t>$2,640,000. The Company is currently reviewing the situation, but will likely determine to provide the financing required to produce a 1999 crop and to complete the plantings planned for 1999.</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Acquisition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During 1997, the Company formed three subsidiaries, Citadel Agricultural, Inc., a wholly owned subsidiary, "CAI"), Farming, (80% owned by the Company and 20% by Visalia LLC ("Visalia"), a limited liability company controlled by Mr. James J. Cotter, the Chairman of the Board of the Company, and owned by Mr. Cotter and certain members of his family) and Big 4 Ranch, Inc. ("BRI"). Such subsidiaries were formed in anticipation of effecting a purchase of the Big 4 Properties and in order to address certain restrictions on access of federal water. The Company capitalized BRI with a cash contribution of $1.2 million which was used primarily to acquire a 40% interest in each of the Agricultural Partnerships. The remaining interests in the Agricultural Partnerships are held 40% by CAI and 20% by Visalia. On December 29, 1997, the Company distributed 100% of the shares of BRI to the shareholders of record of the Company's common stock as of the close of business on December 23, 1997, as a spin-off dividend (the "Spin-off").</w:t>
      </w:r>
    </w:p>
    <w:p>
      <w:pPr>
        <w:spacing w:after="0" w:line="79" w:lineRule="exact"/>
        <w:rPr>
          <w:sz w:val="20"/>
          <w:szCs w:val="20"/>
          <w:color w:val="auto"/>
        </w:rPr>
      </w:pPr>
    </w:p>
    <w:p>
      <w:pPr>
        <w:ind w:right="3519" w:firstLine="431"/>
        <w:spacing w:after="0" w:line="262" w:lineRule="auto"/>
        <w:rPr>
          <w:sz w:val="20"/>
          <w:szCs w:val="20"/>
          <w:color w:val="auto"/>
        </w:rPr>
      </w:pPr>
      <w:r>
        <w:rPr>
          <w:rFonts w:ascii="Courier New" w:cs="Courier New" w:eastAsia="Courier New" w:hAnsi="Courier New"/>
          <w:sz w:val="14"/>
          <w:szCs w:val="14"/>
          <w:color w:val="auto"/>
        </w:rPr>
        <w:t>On December 31, 1997, the Agricultural Partnerships acquired the Big 4 Properties consisting of approximately 1,580 acres of agricultural land and related improvements. The assets acquired included (i) approximately 560 acres of Navel oranges, 205 acres of Valencia oranges, 145 acres of lemons, 32 acres of minneolas and 600 acres of open land currently leased on a short term basis to a third party for the cultivation of annual crops (the "Open Land"), (ii) irrigation systems, (iii) water rights, (iv) frost prevention systems and (v) the fruit currently on the trees and slated for harvest in 1998. The Big 4 Properties were acquired by the Partnerships (the "Ranch Acquisition") from Prudential Insurance Company of America ("Prudential") on an arms length basis for a purchase price of $6.75 million, plus reimbursement of certain cultural costs approximating $831,000.</w:t>
      </w:r>
    </w:p>
    <w:p>
      <w:pPr>
        <w:spacing w:after="0" w:line="76"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Prior to the Spin-off, Farming entered into a two-year farming services agreement (the "Farming Contract") with each of the Agricultural Partnerships, pursuant to which Farming is obligated to provide all of the day to day farming services necessary to cultivate the citrus orchards located on the Big 4 Properties and, over time, to develop the empty land as may be determined by the Agricultural Partnerships. Under the Farming Contract, Farming is reimbursed for its out-of-pocket costs and is paid a management fee equal to 5% of gross receipts, such gross receipts to be calculated, less costs of picking, packing and hauling. In turn, Farming has entered into a management services contract agreement (the "Cecelia Contract") with Cecelia Packing Corporation ("Cecelia" a company owned by James Cotter) pursuant to which Cecelia has agreed to provide management consulting, purchasing and bookkeeping services to Farming for an initial term of two years at a monthly fee of $6,000, along with reimbursement of certain out-of-pocket expenses, the cost and benefit of which will be passed through to the Agricultural Partnerships. Cecelia also packs a portion of the fruit produced by the Agricultural Partnerships. While the Company has no experience in citrus farming, Cecelia has been engaged in farm management and citrus packing and marketing for more than the past 20 years.</w:t>
      </w:r>
    </w:p>
    <w:p>
      <w:pPr>
        <w:spacing w:after="0" w:line="78"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BRI was initially owned by the shareholders of record of Citadel on December 23, 1997, including Craig Corporation ("CC", and collectively with its wholly owned subsidiaries, "Craig") and Reading. During 1998 Craig and Reading purchased additional shares of BRI increasing their collective ownership in BRI to approximately 49%. In addition Cecelia and a trust for Mr. Tompkin's daughter purchased 210,700 shares or approximately 3.2% of BRI's outstanding securities during 1998.</w:t>
      </w:r>
    </w:p>
    <w:p>
      <w:pPr>
        <w:spacing w:after="0" w:line="72"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Concurrent with the Spin-off, Citadel provided BRI with a working capital line of credit in the amount of $200,000. Pursuant to the Line of Credit Agreement dated December 29, 1997, entered into between the Company and BRI, the Company had agreed to lend up to $200,000 to BRI over a three-year period. Any drawdowns under the line would accrue interest at prime plus 200 basis points, payable quarterly. All principal amounts borrowed are due and payable on December 29, 2002. As of March 20, 1999, no borrowings have</w:t>
      </w:r>
    </w:p>
    <w:p>
      <w:pPr>
        <w:spacing w:after="0" w:line="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5" w:name="page6"/>
    <w:bookmarkEnd w:id="5"/>
    <w:p>
      <w:pPr>
        <w:jc w:val="both"/>
        <w:ind w:right="3339"/>
        <w:spacing w:after="0" w:line="375" w:lineRule="auto"/>
        <w:rPr>
          <w:sz w:val="20"/>
          <w:szCs w:val="20"/>
          <w:color w:val="auto"/>
        </w:rPr>
      </w:pPr>
      <w:r>
        <w:rPr>
          <w:rFonts w:ascii="Courier New" w:cs="Courier New" w:eastAsia="Courier New" w:hAnsi="Courier New"/>
          <w:sz w:val="14"/>
          <w:szCs w:val="14"/>
          <w:color w:val="auto"/>
        </w:rPr>
        <w:t>occurred. The future of BRI and the collectibility of any Citadel loans due from BRI will be dependent on the future operations of the Agricultural Partnerships.</w:t>
      </w:r>
    </w:p>
    <w:p>
      <w:pPr>
        <w:spacing w:after="0" w:line="1" w:lineRule="exact"/>
        <w:rPr>
          <w:sz w:val="20"/>
          <w:szCs w:val="20"/>
          <w:color w:val="auto"/>
        </w:rPr>
      </w:pPr>
    </w:p>
    <w:p>
      <w:pPr>
        <w:ind w:right="3419" w:firstLine="431"/>
        <w:spacing w:after="0" w:line="261" w:lineRule="auto"/>
        <w:rPr>
          <w:sz w:val="20"/>
          <w:szCs w:val="20"/>
          <w:color w:val="auto"/>
        </w:rPr>
      </w:pPr>
      <w:r>
        <w:rPr>
          <w:rFonts w:ascii="Courier New" w:cs="Courier New" w:eastAsia="Courier New" w:hAnsi="Courier New"/>
          <w:sz w:val="14"/>
          <w:szCs w:val="14"/>
          <w:color w:val="auto"/>
        </w:rPr>
        <w:t>The Ranch Acquisition was financed by prorata capital contributions of the partners (Citadel's 40% portion amounting to approximately $1,080,000), by a $4,050,000 purchase money loan from Prudential, and by a crop finance loan by Citadel to the Agricultural Partnerships of approximately $831,000. The loan by Citadel was advanced pursuant to a $1,200,000 Line of Credit Agreement (the "Crop Financing") extended by the Company to the Agricultural Partnerships. Drawdowns under the Crop Financing will accrue interest at prime plus 100 basis points, payable quarterly. The line of credit was increased to $1,850,000 in 1998 and is currently due and payable in August 1999. At December 31, 1998 Citadel had advanced or incurred liabilities of approximately $1,502,000 under the Crop Financing Line of Credit. While under no obligation, it appears likely that Citadel will, as a practical matter, need to renew the Crop Financing in August 1999.</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Prudential Purchase Money Loan in the amount of $4,050,000 is secured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among other things, a first priority mortgage lien on the property, has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ten-year maturity and accrues interest, payable quarterly, at a fixed rate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 Principal is payable in annual installments of $200,000 each, beginning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2002; provided, however, that the Partnerships are obligated to make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mandatory prepayments unless the Partnerships make capital improvements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real property totaling $500,000 by December 31, 2000 and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 by December 31, 2001; the amount of such prepayments in each case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difference between the amount specified and the amount actually spent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improvements as of the relevant date. The purchase money mortgage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imposes a prepayment penalty equal to the greater of (a) one-half of one percent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each prepayment of principal and (b) a present value calculation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anticipated loss that the note holder will suffer as a result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prepayment.</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Industry Overview</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Citrus is produced in the United States and other countries where night time temperatures typically do not fall below 24 degrees Fahrenheit for more than a few hours at a time. Currently citrus is produced in 80 countries. The major producing countries, in addition to the United States, are Brazil, Mexico, Argentina and Spain. The majority of international trade is in juice form, less than 15% of world production is shipped fresh to non-domestic markets.</w:t>
      </w:r>
    </w:p>
    <w:p>
      <w:pPr>
        <w:spacing w:after="0" w:line="69"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In the United States, citrus is produced in Florida, California, Arizona and Texas. The Florida industry is oriented to juice production with less than 10% of the orange crop being sold as fresh fruit. In addition to oranges, Florida is the number one producer of grapefruit. Of Florida's grapefruit production, approximately 50% is shipped as fresh fruit. Production in Arizona and Texas is limited and these areas are not considered major producing regions.</w:t>
      </w:r>
    </w:p>
    <w:p>
      <w:pPr>
        <w:spacing w:after="0" w:line="69"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Production in California is oriented to oranges and lemons for the fresh market. Approximately 85% of all orange production is sold as fresh fruit. Lemon production is concentrated in California, where approximately 75% of the U.S. crop is produced.</w:t>
      </w:r>
    </w:p>
    <w:p>
      <w:pPr>
        <w:spacing w:after="0" w:line="56"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California citrus is sold year round. Major markets are the United States, Canada, Japan and Hong Kong. As with most commodities, citrus pricing is sensitive to supply and demand changes. Production is dependent on the number of acres planted to citrus, the environmental conditions and cultural inputs. Environmental conditions is the single largest contributor to supply changes within a season. Acres in production change in response to growers income and the historical cycle time from expansion to contraction</w:t>
      </w:r>
    </w:p>
    <w:p>
      <w:pPr>
        <w:spacing w:after="0" w:line="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6" w:name="page7"/>
    <w:bookmarkEnd w:id="6"/>
    <w:p>
      <w:pPr>
        <w:ind w:right="3339"/>
        <w:spacing w:after="0" w:line="313" w:lineRule="auto"/>
        <w:rPr>
          <w:sz w:val="20"/>
          <w:szCs w:val="20"/>
          <w:color w:val="auto"/>
        </w:rPr>
      </w:pPr>
      <w:r>
        <w:rPr>
          <w:rFonts w:ascii="Courier New" w:cs="Courier New" w:eastAsia="Courier New" w:hAnsi="Courier New"/>
          <w:sz w:val="14"/>
          <w:szCs w:val="14"/>
          <w:color w:val="auto"/>
        </w:rPr>
        <w:t>has historically been in the range of 10 to 12 years. Currently, the industry is undergoing contraction and is projected to continue in that direction for the next 3 to 5 years.</w:t>
      </w:r>
    </w:p>
    <w:p>
      <w:pPr>
        <w:spacing w:after="0" w:line="42"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Currently, marketing and sales of California citrus is dominated by Sunkist Growers, Inc., a cooperative of growers from California and Arizona. Sunkist market share ranges from 60% for oranges to 75% for lemons. Membership in Sunkist is not restricted and some of the Property's fruit has been historically and will likely be marketed in the future through Sunkist.</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Strategy and Description of Business</w:t>
      </w:r>
    </w:p>
    <w:p>
      <w:pPr>
        <w:spacing w:after="0" w:line="33"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The business plan currently being implemented by the Agricultural Partnerships is to focus on the cultivation of citrus crops utilizing the Big 4 Properties' existing orchards and, over time, to improve the Open Land with additional citrus orchards.</w:t>
      </w:r>
    </w:p>
    <w:p>
      <w:pPr>
        <w:spacing w:after="0" w:line="56"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At the present time, approximately 942 acres of the Big 4 Properties is improved with mature orchards, consisting of approximately 560 acres of Navel oranges, 205 acres of Valencia oranges, 145 acres of lemons and 32 acres of minneolas. In 1998, the Agricultural Partnerships planted approximately 60 acres of additional citrus trees. Approximately 540 acres is open land of which is currently anticipated that 100 acres will be planted with additional citrus in 1999. The remaining acreage is used for agricultural support facilities or held for development as additional orchards. During the 1997-1998 season, the Big 4 Properties produced approximately 479,232 cartons of Navel oranges, approximately 164,886 cartons of Valencia oranges, approximately 159,084 cartons of lemons and approximately 33,552 cartons of minneolas, for a total of approximately 836,754 cartons of citrus. As a result of a devastating freeze in 1998, the Big 4 Properties produced almost no marketable crops for the 1998-1999 season.</w:t>
      </w:r>
    </w:p>
    <w:p>
      <w:pPr>
        <w:spacing w:after="0" w:line="251" w:lineRule="exact"/>
        <w:rPr>
          <w:sz w:val="20"/>
          <w:szCs w:val="20"/>
          <w:color w:val="auto"/>
        </w:rPr>
      </w:pPr>
    </w:p>
    <w:p>
      <w:pPr>
        <w:ind w:right="3339" w:firstLine="172"/>
        <w:spacing w:after="0" w:line="268" w:lineRule="auto"/>
        <w:rPr>
          <w:sz w:val="20"/>
          <w:szCs w:val="20"/>
          <w:color w:val="auto"/>
        </w:rPr>
      </w:pPr>
      <w:r>
        <w:rPr>
          <w:rFonts w:ascii="Courier New" w:cs="Courier New" w:eastAsia="Courier New" w:hAnsi="Courier New"/>
          <w:sz w:val="14"/>
          <w:szCs w:val="14"/>
          <w:color w:val="auto"/>
        </w:rPr>
        <w:t>The assets acquired also included wind machines used for frost protection, irrigation systems, and access to a forty acre reservoir owned by the local irrigation district for the short-term storage of water from wells located on the Big 4 Properties as well as from other sources. While the business plan is to make use of federal water rights to provide water to the Big 4 Properties, these wells and access rights provide a safeguard in the event that such federal water should from time to time prove prohibitively expensive or insufficient to meet the needs of the Big 4 Properties.</w:t>
      </w:r>
    </w:p>
    <w:p>
      <w:pPr>
        <w:spacing w:after="0" w:line="74" w:lineRule="exact"/>
        <w:rPr>
          <w:sz w:val="20"/>
          <w:szCs w:val="20"/>
          <w:color w:val="auto"/>
        </w:rPr>
      </w:pPr>
    </w:p>
    <w:p>
      <w:pPr>
        <w:ind w:right="3339" w:firstLine="172"/>
        <w:spacing w:after="0" w:line="263" w:lineRule="auto"/>
        <w:rPr>
          <w:sz w:val="20"/>
          <w:szCs w:val="20"/>
          <w:color w:val="auto"/>
        </w:rPr>
      </w:pPr>
      <w:r>
        <w:rPr>
          <w:rFonts w:ascii="Courier New" w:cs="Courier New" w:eastAsia="Courier New" w:hAnsi="Courier New"/>
          <w:sz w:val="14"/>
          <w:szCs w:val="14"/>
          <w:color w:val="auto"/>
        </w:rPr>
        <w:t>It is anticipated that the preparation and planting of the Open Land will likely be completed over a period of 5 to 7 years. It was originally anticipated that such preparation and planting would be funded, over time, principally out of the free cash flow generated from the Big 4 Properties. However, as a result of the 1998 freeze, it will be necessary for the Agricultural Partnerships to seek funding from the Company or third parties in order to complete the planting currently planned for 1999. Such improvement will include the installation of additional irrigation systems, the planting of trees and the installation of frost control systems (principally wind machines). The period to maturity varies from variety to variety, but generally speaking it is anticipated that the first commercial crops will be harvested 5 years after the trees are planted.</w:t>
      </w:r>
    </w:p>
    <w:p>
      <w:pPr>
        <w:spacing w:after="0" w:line="76"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The business of the Agricultural Partnerships is subject to risks associated with its agricultural operations. Numerous factors can affect the price, yield and marketability of the crops grown on the Big 4 Properties. Crop prices may vary greatly from year to year as a result of the relationship between production and market demand. For example, the production of a particular crop in excess of demand in any particular year will depress market prices, and inflationary factors and other unforeseeable economic changes may also, at the same time, increase operating costs with respect to such crops. In addition, the agricultural industry in the United States is highly competitive, and domestic growers and produce marketers are facing increased competition from foreign sources. There are also a number of factors outside of the control of the Company and the Agricultural Partnerships that could, alone or in combination, materially adversely affect the agricultural operations of the Agricultural Partnerships, such as adverse weather conditions, the availability of</w:t>
      </w:r>
    </w:p>
    <w:p>
      <w:pPr>
        <w:spacing w:after="0" w:line="25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7" w:name="page8"/>
    <w:bookmarkEnd w:id="7"/>
    <w:p>
      <w:pPr>
        <w:ind w:right="3419"/>
        <w:spacing w:after="0" w:line="292" w:lineRule="auto"/>
        <w:rPr>
          <w:sz w:val="20"/>
          <w:szCs w:val="20"/>
          <w:color w:val="auto"/>
        </w:rPr>
      </w:pPr>
      <w:r>
        <w:rPr>
          <w:rFonts w:ascii="Courier New" w:cs="Courier New" w:eastAsia="Courier New" w:hAnsi="Courier New"/>
          <w:sz w:val="14"/>
          <w:szCs w:val="14"/>
          <w:color w:val="auto"/>
        </w:rPr>
        <w:t>water, insects, blight or other diseases, labor problems such as boycotts or strikes, and shortages of competent laborers. The business operations of the Agricultural Partnerships may also be adversely affected by changes in governmental policies, social and economic conditions, and industry production.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ind w:right="3419" w:firstLine="172"/>
        <w:spacing w:after="0" w:line="271" w:lineRule="auto"/>
        <w:rPr>
          <w:sz w:val="20"/>
          <w:szCs w:val="20"/>
          <w:color w:val="auto"/>
        </w:rPr>
      </w:pPr>
      <w:r>
        <w:rPr>
          <w:rFonts w:ascii="Courier New" w:cs="Courier New" w:eastAsia="Courier New" w:hAnsi="Courier New"/>
          <w:sz w:val="14"/>
          <w:szCs w:val="14"/>
          <w:color w:val="auto"/>
        </w:rPr>
        <w:t>The agricultural operations of the Agricultural Partnerships will be impacted by the general seasonal trends that are characteristic of the citrus industry. The Agricultural Partnerships anticipate receiving a majority of their net income during the second and third calendar quarters following the harvest and sale of their citrus crops. Due to this concentrated activity, the Agricultural Partnerships anticipate that they will typically show losses in the first and fourth calendar quarters.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599" w:firstLine="172"/>
        <w:spacing w:after="0" w:line="275" w:lineRule="auto"/>
        <w:rPr>
          <w:sz w:val="20"/>
          <w:szCs w:val="20"/>
          <w:color w:val="auto"/>
        </w:rPr>
      </w:pPr>
      <w:r>
        <w:rPr>
          <w:rFonts w:ascii="Courier New" w:cs="Courier New" w:eastAsia="Courier New" w:hAnsi="Courier New"/>
          <w:sz w:val="14"/>
          <w:szCs w:val="14"/>
          <w:color w:val="auto"/>
        </w:rPr>
        <w:t>The agricultural business is highly competitive. The Agricultural Partnerships' competitors include a large number of both large and small independent growers and grower cooperatives, many of which have considerably greater financial resources and experience than the Company. No single grower has a dominant market share in this industry due to, among other things, the regionalized nature of these businesses and limited access to federal water.</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172"/>
        <w:spacing w:after="0" w:line="271" w:lineRule="auto"/>
        <w:rPr>
          <w:sz w:val="20"/>
          <w:szCs w:val="20"/>
          <w:color w:val="auto"/>
        </w:rPr>
      </w:pPr>
      <w:r>
        <w:rPr>
          <w:rFonts w:ascii="Courier New" w:cs="Courier New" w:eastAsia="Courier New" w:hAnsi="Courier New"/>
          <w:sz w:val="14"/>
          <w:szCs w:val="14"/>
          <w:color w:val="auto"/>
        </w:rPr>
        <w:t>The Company has a total of seven full-time employees to operate the Big 4 Properties. These employees are provided and supervised by Farming. Certain management consulting, purchasing and bookkeeping is contracted out to Cecelia. Packing and harvesting is also contracted out to independent contractor third parties in accordance with industry practices. Accordingly, it is not anticipated that the Agricultural Partnerships will have any employees, full time or otherwise.</w:t>
      </w:r>
    </w:p>
    <w:p>
      <w:pPr>
        <w:spacing w:after="0" w:line="72" w:lineRule="exact"/>
        <w:rPr>
          <w:sz w:val="20"/>
          <w:szCs w:val="20"/>
          <w:color w:val="auto"/>
        </w:rPr>
      </w:pPr>
    </w:p>
    <w:p>
      <w:pPr>
        <w:ind w:right="3419" w:firstLine="431"/>
        <w:spacing w:after="0" w:line="277" w:lineRule="auto"/>
        <w:rPr>
          <w:sz w:val="20"/>
          <w:szCs w:val="20"/>
          <w:color w:val="auto"/>
        </w:rPr>
      </w:pPr>
      <w:r>
        <w:rPr>
          <w:rFonts w:ascii="Courier New" w:cs="Courier New" w:eastAsia="Courier New" w:hAnsi="Courier New"/>
          <w:sz w:val="14"/>
          <w:szCs w:val="14"/>
          <w:color w:val="auto"/>
        </w:rPr>
        <w:t>The success of the Agricultural Partnerships is highly dependent upon Mr. James J. Cotter, who has more than 25 years experience in citrus farming and upon the senior management of Cecelia, which is wholly owned by Mr. Cotter, and which, through its employees, provides senior management, purchasing and bookkeeping services to Farming and through Farming to the Agricultural Partnerships.</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3" w:lineRule="exact"/>
        <w:rPr>
          <w:sz w:val="20"/>
          <w:szCs w:val="20"/>
          <w:color w:val="auto"/>
        </w:rPr>
      </w:pPr>
    </w:p>
    <w:p>
      <w:pPr>
        <w:ind w:right="3339" w:firstLine="431"/>
        <w:spacing w:after="0" w:line="254" w:lineRule="auto"/>
        <w:rPr>
          <w:sz w:val="20"/>
          <w:szCs w:val="20"/>
          <w:color w:val="auto"/>
        </w:rPr>
      </w:pPr>
      <w:r>
        <w:rPr>
          <w:rFonts w:ascii="Courier New" w:cs="Courier New" w:eastAsia="Courier New" w:hAnsi="Courier New"/>
          <w:sz w:val="14"/>
          <w:szCs w:val="14"/>
          <w:color w:val="auto"/>
        </w:rPr>
        <w:t>Certain areas of the operations of the Agricultural Partnerships are subject to varying degrees of federal, state and local laws and regulations. Such operations are, for example, subject to a broad range of evolving environmental laws and regulations. These laws and regulations include the Clean Air Act, the Clean Water Act, the Resource Conservation and Recovery Act, the Federal Insecticide, Fungicide and Rodenticide Act, and the Comprehensive Environmental Response, Compensation and Liability Act. Compliance with these foreign and domestic laws and related regulations is an ongoing process which is not currently expected to have a material effect on the capital expenditures, earnings or competitive position of the Agricultural Partnerships.</w:t>
      </w:r>
    </w:p>
    <w:p>
      <w:pPr>
        <w:spacing w:after="0" w:line="4" w:lineRule="exact"/>
        <w:rPr>
          <w:sz w:val="20"/>
          <w:szCs w:val="20"/>
          <w:color w:val="auto"/>
        </w:rPr>
      </w:pPr>
    </w:p>
    <w:p>
      <w:pPr>
        <w:ind w:right="3519"/>
        <w:spacing w:after="0" w:line="261" w:lineRule="auto"/>
        <w:rPr>
          <w:sz w:val="20"/>
          <w:szCs w:val="20"/>
          <w:color w:val="auto"/>
        </w:rPr>
      </w:pPr>
      <w:r>
        <w:rPr>
          <w:rFonts w:ascii="Courier New" w:cs="Courier New" w:eastAsia="Courier New" w:hAnsi="Courier New"/>
          <w:sz w:val="14"/>
          <w:szCs w:val="14"/>
          <w:color w:val="auto"/>
        </w:rPr>
        <w:t>Environmental concerns are, however, inherent in most major agricultural operations, including those expected to be conducted by the Agricultural Partnerships, and there can be no assurance that the cost of compliance with environmental laws and regulations in the future will not be material. In the normal course of its agricultural operations, Farming, on behalf of the Agricultural Partnerships, will handle, store, transport and cleanup of such hazardous substances or wastes or may adversely affect the value of the Big 4 Properties. Such matters could, in the future, have a material adverse effect on the Company and the Agricultural Partnerships.</w:t>
      </w:r>
    </w:p>
    <w:p>
      <w:pPr>
        <w:spacing w:after="0" w:line="7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8" w:name="page9"/>
    <w:bookmarkEnd w:id="8"/>
    <w:p>
      <w:pPr>
        <w:ind w:right="3339" w:firstLine="431"/>
        <w:spacing w:after="0" w:line="263" w:lineRule="auto"/>
        <w:rPr>
          <w:sz w:val="20"/>
          <w:szCs w:val="20"/>
          <w:color w:val="auto"/>
        </w:rPr>
      </w:pPr>
      <w:r>
        <w:rPr>
          <w:rFonts w:ascii="Courier New" w:cs="Courier New" w:eastAsia="Courier New" w:hAnsi="Courier New"/>
          <w:sz w:val="14"/>
          <w:szCs w:val="14"/>
          <w:color w:val="auto"/>
        </w:rPr>
        <w:t>The operations of the Agricultural Partnerships are also subject to regulations enforced by, among others, the U.S. Food and Drug Administration and state, local and foreign equivalents and to inspection by the U.S. Department of Agriculture and other federal, state, local and foreign environmental and health authorities. Certain areas of the operations of the Agricultural Partnerships are subject to varying degrees of federal, state and local laws and regulations. Farm operations such as those conducted on the Big 4 Properties are subject to federal, state and local laws and regulations controlling, among other things, the discharge of materials into the environment or otherwise relating to the protection of the environment. Environmental regulations may have a materially adverse effect upon operations.</w:t>
      </w:r>
    </w:p>
    <w:p>
      <w:pPr>
        <w:spacing w:after="0" w:line="76" w:lineRule="exact"/>
        <w:rPr>
          <w:sz w:val="20"/>
          <w:szCs w:val="20"/>
          <w:color w:val="auto"/>
        </w:rPr>
      </w:pPr>
    </w:p>
    <w:p>
      <w:pPr>
        <w:ind w:right="3419" w:firstLine="431"/>
        <w:spacing w:after="0" w:line="261" w:lineRule="auto"/>
        <w:rPr>
          <w:sz w:val="20"/>
          <w:szCs w:val="20"/>
          <w:color w:val="auto"/>
        </w:rPr>
      </w:pPr>
      <w:r>
        <w:rPr>
          <w:rFonts w:ascii="Courier New" w:cs="Courier New" w:eastAsia="Courier New" w:hAnsi="Courier New"/>
          <w:sz w:val="14"/>
          <w:szCs w:val="14"/>
          <w:color w:val="auto"/>
        </w:rPr>
        <w:t>The purpose of the Spin-Off was principally to comply with applicable federal laws and regulations ("Water Laws") as administered by the Bureau of Reclamation (the "Bureau") in order to have access to and use of federal water (the "Water Rights") for the operation of the Agricultural Partnerships. Under the Water Laws, no entity with more than 25 stockholders can acquire federal water for more than 640 acres of owned land. Although Citadel has received assurances that the partnership structure being used to own and farm the Big 4 Properties will comply with the Water Laws and not infringe on the Agricultural Partnership's access to the federal water, there can be no assurance that the Bureau and the federal government will not at some future date object to this structure or that the Water Laws will not change, either of which event could have material adverse consequence to the value of the Big 4 Properties and viability of the business of the Agricultural Partnerships.</w:t>
      </w:r>
    </w:p>
    <w:p>
      <w:pPr>
        <w:spacing w:after="0" w:line="77" w:lineRule="exact"/>
        <w:rPr>
          <w:sz w:val="20"/>
          <w:szCs w:val="20"/>
          <w:color w:val="auto"/>
        </w:rPr>
      </w:pPr>
    </w:p>
    <w:p>
      <w:pPr>
        <w:ind w:right="3599" w:firstLine="431"/>
        <w:spacing w:after="0" w:line="313" w:lineRule="auto"/>
        <w:rPr>
          <w:sz w:val="20"/>
          <w:szCs w:val="20"/>
          <w:color w:val="auto"/>
        </w:rPr>
      </w:pPr>
      <w:r>
        <w:rPr>
          <w:rFonts w:ascii="Courier New" w:cs="Courier New" w:eastAsia="Courier New" w:hAnsi="Courier New"/>
          <w:sz w:val="14"/>
          <w:szCs w:val="14"/>
          <w:color w:val="auto"/>
        </w:rPr>
        <w:t>Weather, availability of labor, changes in state or local law or regulation, and similar localized events could also have an adverse impact on the performance or value of the Big 4 Properties.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Reading Entertainment, Inc. ("Reading")</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Reading is a publicly traded company whose shares are quoted on the NASD/NMS and listed for trading on the NASDAQ Philadelphia Stock Exchange. Set forth as Exhibit 10.41 to this report is the Report on Form 10K filed by Reading with respect to the fiscal year ended December 31, 1998. Reading is currently controlled by Craig, which owns common and preferred stock in Reading representing approximately 78% of the voting power of that company. Craig directly owns 1,096,006 (16%) shares of Citadel common stock, and through its ownership of Reading indirectly owns an additional 2,113,673 (32%) shares of Citadel common stock.</w:t>
      </w:r>
    </w:p>
    <w:p>
      <w:pPr>
        <w:spacing w:after="0" w:line="74" w:lineRule="exact"/>
        <w:rPr>
          <w:sz w:val="20"/>
          <w:szCs w:val="20"/>
          <w:color w:val="auto"/>
        </w:rPr>
      </w:pPr>
    </w:p>
    <w:p>
      <w:pPr>
        <w:ind w:right="3519" w:firstLine="431"/>
        <w:spacing w:after="0" w:line="266" w:lineRule="auto"/>
        <w:rPr>
          <w:sz w:val="20"/>
          <w:szCs w:val="20"/>
          <w:color w:val="auto"/>
        </w:rPr>
      </w:pPr>
      <w:r>
        <w:rPr>
          <w:rFonts w:ascii="Courier New" w:cs="Courier New" w:eastAsia="Courier New" w:hAnsi="Courier New"/>
          <w:sz w:val="14"/>
          <w:szCs w:val="14"/>
          <w:color w:val="auto"/>
        </w:rPr>
        <w:t>The acquisition of the Series A Preferred Stock and the Asset Put Option provided the Company an opportunity to make an initial investment in the movie exhibition industry, and the ability, thereafter, to review the implementation by Reading of its business plan and, if it approves of the progress made by Reading, to make a further investment in this industry through the exercise of its Asset Put Option. The Company has the right to require Reading to redeem the securities issued to it in the Reading Investment Transaction after five years, or sooner if Reading fails to pay dividends on such securities for four quarters.</w:t>
      </w:r>
    </w:p>
    <w:p>
      <w:pPr>
        <w:spacing w:after="0" w:line="74"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As set forth in the Asset Put and Registration Rights Agreement, (the "Asset Put Agreement"), the Asset Put Option is exercisable any time until approximately April 2000. The Asset Put Option gives the Company the right to require Reading to acquire, for shares of Reading Common Stock, substantially all of the Company's assets and assume related liabilities (such as mortgages) (the "Asset Put"). In exchange for up to $20 million in aggregate appraised value of such assets, Reading is obligated to deliver to the Company that number of shares of Reading Common Stock determined by dividing the value of Citadel's assets by $12.25 per share. The closing price of Reading Common Stock was $8.00 per share at December 31, 1998. If the appraised value of the Company's assets is in excess of $20 million, Reading is obligated pay for the excess by issuing Common Stock at the then fair market value, up to a maximum of $30 million of assets. If the average trading price of Reading Common Stock exceeds 130% of the then applicable exercise price for more than 60</w:t>
      </w:r>
    </w:p>
    <w:p>
      <w:pPr>
        <w:spacing w:after="0" w:line="7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9" w:name="page10"/>
    <w:bookmarkEnd w:id="9"/>
    <w:p>
      <w:pPr>
        <w:ind w:right="3339"/>
        <w:spacing w:after="0" w:line="271" w:lineRule="auto"/>
        <w:rPr>
          <w:sz w:val="20"/>
          <w:szCs w:val="20"/>
          <w:color w:val="auto"/>
        </w:rPr>
      </w:pPr>
      <w:r>
        <w:rPr>
          <w:rFonts w:ascii="Courier New" w:cs="Courier New" w:eastAsia="Courier New" w:hAnsi="Courier New"/>
          <w:sz w:val="14"/>
          <w:szCs w:val="14"/>
          <w:color w:val="auto"/>
        </w:rPr>
        <w:t>days (the "Repricing Trigger"), then the exercise price will adjust to the fair market of the Reading Common Stock from time to time, unless the Company exercises the Asset Put within 120 days of receipt of notice from Reading of the occurrence of the Repricing Trigger. The Asset Put Agreement has been filed as Exhibit 10.12 to this Report. Any description of the rights granted by that agreement is necessarily summary in nature and qualified by reference to the definitive terms of the Asset Put Agreement.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Gish Biomedical, Inc.</w:t>
      </w:r>
    </w:p>
    <w:p>
      <w:pPr>
        <w:spacing w:after="0" w:line="173" w:lineRule="exact"/>
        <w:rPr>
          <w:sz w:val="20"/>
          <w:szCs w:val="20"/>
          <w:color w:val="auto"/>
        </w:rPr>
      </w:pPr>
    </w:p>
    <w:p>
      <w:pPr>
        <w:ind w:right="3419" w:firstLine="431"/>
        <w:spacing w:after="0" w:line="263" w:lineRule="auto"/>
        <w:rPr>
          <w:sz w:val="20"/>
          <w:szCs w:val="20"/>
          <w:color w:val="auto"/>
        </w:rPr>
      </w:pPr>
      <w:r>
        <w:rPr>
          <w:rFonts w:ascii="Courier New" w:cs="Courier New" w:eastAsia="Courier New" w:hAnsi="Courier New"/>
          <w:sz w:val="14"/>
          <w:szCs w:val="14"/>
          <w:color w:val="auto"/>
        </w:rPr>
        <w:t>In November 1998, the Company purchased 398,850 shares of the common stock of Gish Biomedical, Inc. ("Gish"), representing approximately 11.6% of the outstanding common stock of that company. The transaction was brought to the Company by Value Asset Fund Limited Partnership ("VAF"), which also purchased approximately 398,850 shares. In March 1999, the Company and VAF each increased their respective ownership interests in Gish to approximately 456,950 shares, representing approximately 13.24% of the outstanding common stock of that company. Currently, the aggregate holdings of the Company and VAF represent approximately 26.5% of the outstanding common stock of Gish. At December 31, 1998 the book value of the Company's investment in Gish is $1,002,000 or $2.51 per share.</w:t>
      </w:r>
    </w:p>
    <w:p>
      <w:pPr>
        <w:spacing w:after="0" w:line="76" w:lineRule="exact"/>
        <w:rPr>
          <w:sz w:val="20"/>
          <w:szCs w:val="20"/>
          <w:color w:val="auto"/>
        </w:rPr>
      </w:pPr>
    </w:p>
    <w:p>
      <w:pPr>
        <w:ind w:right="3419" w:firstLine="431"/>
        <w:spacing w:after="0" w:line="264" w:lineRule="auto"/>
        <w:rPr>
          <w:sz w:val="20"/>
          <w:szCs w:val="20"/>
          <w:color w:val="auto"/>
        </w:rPr>
      </w:pPr>
      <w:r>
        <w:rPr>
          <w:rFonts w:ascii="Courier New" w:cs="Courier New" w:eastAsia="Courier New" w:hAnsi="Courier New"/>
          <w:sz w:val="14"/>
          <w:szCs w:val="14"/>
          <w:color w:val="auto"/>
        </w:rPr>
        <w:t>The Gish Transaction was a departure from the traditional business activities of the Company, and was not intended to constitute a change of direction for the Company. The determination to purchase the Gish interest was based upon a variety of factors, including the belief by management of the Company that the stock was undervalued, the fact that the transaction provided the Company with the opportunity to acquire a meaningful stake in Gish, in essence, in a single transaction, and the fact that VAF was, at the same time, acquiring a similarly sized investment in Gish. The chief executive officer of VAF is well known to and respected by the Chairman of the Board of the Company as asset based investors, and presented the transaction to the Company.</w:t>
      </w:r>
    </w:p>
    <w:p>
      <w:pPr>
        <w:spacing w:after="0" w:line="77"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Company is currently reviewing its options with respect to Gish. Depending upon a variety of factors, including its assessment of Gish's prospects, the possibilities for a strategic combination of Gish with one or more other companies in the health sector, and the alternative uses available for the Company's resources, the Company may determine to acquire additional Gish shares, to sell all or some portion of its Gish shares, or to participate in or sponsor one or more strategic transactions involving Gish. However, at the present time, the Company has no specific plans other than to continue to monitor its investment in Gish.</w:t>
      </w:r>
    </w:p>
    <w:p>
      <w:pPr>
        <w:spacing w:after="0" w:line="74"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According to its most recent report on Form 10-K, Gish was founded in 1976 to design, produce and market innovative specialty surgical devices. Gish develops and markets its innovative and unique devices for various applications within the medical community. Gish operates in one industry segment, the manufacture of medical devices, which are marketed primarily thought direct sales representatives domestically and through international distributors. All of Gish's products are single use disposable products or have a disposable component. Gish primary markets include products for use in cardiac surgery, myocardial management, infusion therapy, and post operative blood salvage.</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Historic Thrift Activities</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Prior to August 4, 1994, Citadel was engaged primarily in providing holding company services for its wholly owned thrift subsidiary, Fidelity. On August 4, 1994, Citadel and Fidelity completed a recapitalization and restructuring transaction (the "Restructuring"), which resulted in, among other things, the reduction of Citadel's interest in Fidelity from 100% to approximately 16%, the acquisition by the Company from Fidelity of certain real estate assets, and the receipt by way of dividend from Fidelity of options to acquire at book value certain other real estate assets. During Fiscal 1995, substantially all of the Company's remaining interest in Fidelity was sold.</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Management</w:t>
      </w:r>
    </w:p>
    <w:p>
      <w:pPr>
        <w:spacing w:after="0" w:line="173"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Steve Wesson is the President and Chief Executive Officer of the Company. From 1989 until he joined the Company in 1993, Mr. Wesson served as CEO of Burton Property Trust Inc., the U.S. real estate subsidiary of The Burton Group PLC. In this position he was responsible for the restructuring and eventual disposal of the Company's assets in the U.S.</w:t>
      </w:r>
    </w:p>
    <w:p>
      <w:pPr>
        <w:spacing w:after="0" w:line="62" w:lineRule="exact"/>
        <w:rPr>
          <w:sz w:val="20"/>
          <w:szCs w:val="20"/>
          <w:color w:val="auto"/>
        </w:rPr>
      </w:pPr>
    </w:p>
    <w:p>
      <w:pPr>
        <w:ind w:right="3419" w:firstLine="431"/>
        <w:spacing w:after="0" w:line="268" w:lineRule="auto"/>
        <w:rPr>
          <w:sz w:val="20"/>
          <w:szCs w:val="20"/>
          <w:color w:val="auto"/>
        </w:rPr>
      </w:pPr>
      <w:r>
        <w:rPr>
          <w:rFonts w:ascii="Courier New" w:cs="Courier New" w:eastAsia="Courier New" w:hAnsi="Courier New"/>
          <w:sz w:val="14"/>
          <w:szCs w:val="14"/>
          <w:color w:val="auto"/>
        </w:rPr>
        <w:t>S. Craig Tompkins became the Secretary/Treasurer and Principal Accounting Officer of Citadel in September, 1994. Mr. Tompkins is also the Vice Chairman and a director of Citadel; President and director of CAI; a member of the management committee of Farming and of each of the Agricultural Partnerships; the President and a director of Craig; the Vice Chairman and a director of Reading and serves, as an administrative convenience, as an assistant secretary to BRI and Visalia. Prior to joining Craig and Reading in March 1993, Mr. Tompkins was a partner in the law firm of Gibson, Dunn &amp; Crutcher.</w:t>
      </w:r>
    </w:p>
    <w:p>
      <w:pPr>
        <w:spacing w:after="0" w:line="74"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Brett Marsh is responsible for the real estate activities of the Company. Prior to joining the Company, Mr. Marsh was the Senior Vice President of Burton Property Trust, Inc., the U.S. real estate subsidiary of the Burton Group PLC. In this position, Mr. Marsh was responsible for the real estate portfolio of that company.</w:t>
      </w:r>
    </w:p>
    <w:p>
      <w:pPr>
        <w:spacing w:after="0" w:line="62"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Company has one additional corporate employee, and shares space and has contracted for certain administrative and accounting services with Craig. In addition, the Company has seven employees including a farm manager at Big 4 Farming LLC, which handles the affairs of the Agricultural Partnerships.</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11" w:name="page12"/>
    <w:bookmarkEnd w:id="11"/>
    <w:p>
      <w:pPr>
        <w:spacing w:after="0"/>
        <w:tabs>
          <w:tab w:leader="none" w:pos="84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Interests</w:t>
      </w:r>
    </w:p>
    <w:p>
      <w:pPr>
        <w:spacing w:after="0" w:line="173" w:lineRule="exact"/>
        <w:rPr>
          <w:sz w:val="20"/>
          <w:szCs w:val="20"/>
          <w:color w:val="auto"/>
        </w:rPr>
      </w:pPr>
    </w:p>
    <w:p>
      <w:pPr>
        <w:ind w:right="4560" w:firstLine="431"/>
        <w:spacing w:after="0" w:line="376" w:lineRule="auto"/>
        <w:rPr>
          <w:sz w:val="20"/>
          <w:szCs w:val="20"/>
          <w:color w:val="auto"/>
        </w:rPr>
      </w:pPr>
      <w:r>
        <w:rPr>
          <w:rFonts w:ascii="Courier New" w:cs="Courier New" w:eastAsia="Courier New" w:hAnsi="Courier New"/>
          <w:sz w:val="14"/>
          <w:szCs w:val="14"/>
          <w:color w:val="auto"/>
        </w:rPr>
        <w:t>The table below provides an overview of the real estate assets owned by the Company at December 31, 1998.</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460"/>
          </w:cols>
          <w:pgMar w:left="220" w:top="590" w:right="21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1340" w:val="left"/>
          <w:tab w:leader="none" w:pos="2560" w:val="left"/>
          <w:tab w:leader="none" w:pos="3340" w:val="left"/>
          <w:tab w:leader="none" w:pos="4540" w:val="left"/>
          <w:tab w:leader="none" w:pos="6080" w:val="left"/>
        </w:tabs>
        <w:rPr>
          <w:sz w:val="20"/>
          <w:szCs w:val="20"/>
          <w:color w:val="auto"/>
        </w:rPr>
      </w:pP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Feet</w:t>
      </w:r>
      <w:r>
        <w:rPr>
          <w:sz w:val="20"/>
          <w:szCs w:val="20"/>
          <w:color w:val="auto"/>
        </w:rPr>
        <w:tab/>
      </w:r>
      <w:r>
        <w:rPr>
          <w:rFonts w:ascii="Courier New" w:cs="Courier New" w:eastAsia="Courier New" w:hAnsi="Courier New"/>
          <w:sz w:val="14"/>
          <w:szCs w:val="14"/>
          <w:color w:val="auto"/>
        </w:rPr>
        <w:t>% Leased</w:t>
      </w:r>
      <w:r>
        <w:rPr>
          <w:sz w:val="20"/>
          <w:szCs w:val="20"/>
          <w:color w:val="auto"/>
        </w:rPr>
        <w:tab/>
      </w:r>
      <w:r>
        <w:rPr>
          <w:rFonts w:ascii="Courier New" w:cs="Courier New" w:eastAsia="Courier New" w:hAnsi="Courier New"/>
          <w:sz w:val="14"/>
          <w:szCs w:val="14"/>
          <w:color w:val="auto"/>
        </w:rPr>
        <w:t>Major Tenants</w:t>
      </w:r>
      <w:r>
        <w:rPr>
          <w:sz w:val="20"/>
          <w:szCs w:val="20"/>
          <w:color w:val="auto"/>
        </w:rPr>
        <w:tab/>
      </w:r>
      <w:r>
        <w:rPr>
          <w:rFonts w:ascii="Courier New" w:cs="Courier New" w:eastAsia="Courier New" w:hAnsi="Courier New"/>
          <w:sz w:val="14"/>
          <w:szCs w:val="14"/>
          <w:color w:val="auto"/>
        </w:rPr>
        <w:t>Remaining</w:t>
      </w:r>
    </w:p>
    <w:p>
      <w:pPr>
        <w:spacing w:after="0" w:line="33" w:lineRule="exact"/>
        <w:rPr>
          <w:sz w:val="20"/>
          <w:szCs w:val="20"/>
          <w:color w:val="auto"/>
        </w:rPr>
      </w:pPr>
    </w:p>
    <w:p>
      <w:pPr>
        <w:ind w:left="3260"/>
        <w:spacing w:after="0"/>
        <w:tabs>
          <w:tab w:leader="none" w:pos="4960" w:val="left"/>
          <w:tab w:leader="none" w:pos="6000" w:val="left"/>
        </w:tabs>
        <w:rPr>
          <w:sz w:val="20"/>
          <w:szCs w:val="20"/>
          <w:color w:val="auto"/>
        </w:rPr>
      </w:pPr>
      <w:r>
        <w:rPr>
          <w:rFonts w:ascii="Courier New" w:cs="Courier New" w:eastAsia="Courier New" w:hAnsi="Courier New"/>
          <w:sz w:val="14"/>
          <w:szCs w:val="14"/>
          <w:color w:val="auto"/>
        </w:rPr>
        <w:t>At 12/31/97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Lease Terms</w:t>
      </w:r>
    </w:p>
    <w:p>
      <w:pPr>
        <w:spacing w:after="0" w:line="57" w:lineRule="exact"/>
        <w:rPr>
          <w:sz w:val="20"/>
          <w:szCs w:val="20"/>
          <w:color w:val="auto"/>
        </w:rPr>
      </w:pPr>
    </w:p>
    <w:p>
      <w:pPr>
        <w:sectPr>
          <w:pgSz w:w="11900" w:h="16838" w:orient="portrait"/>
          <w:cols w:equalWidth="0" w:num="2">
            <w:col w:w="1020" w:space="720"/>
            <w:col w:w="9720"/>
          </w:cols>
          <w:pgMar w:left="220" w:top="590"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ARBOLEDA</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178,000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1820" w:type="dxa"/>
            <w:vAlign w:val="bottom"/>
          </w:tcPr>
          <w:p>
            <w:pPr>
              <w:ind w:left="300"/>
              <w:spacing w:after="0"/>
              <w:rPr>
                <w:sz w:val="20"/>
                <w:szCs w:val="20"/>
                <w:color w:val="auto"/>
              </w:rPr>
            </w:pPr>
            <w:r>
              <w:rPr>
                <w:rFonts w:ascii="Courier New" w:cs="Courier New" w:eastAsia="Courier New" w:hAnsi="Courier New"/>
                <w:sz w:val="14"/>
                <w:szCs w:val="14"/>
                <w:color w:val="auto"/>
              </w:rPr>
              <w:t>American Express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February 2004</w:t>
            </w:r>
          </w:p>
        </w:tc>
        <w:tc>
          <w:tcPr>
            <w:tcW w:w="0" w:type="dxa"/>
            <w:vAlign w:val="bottom"/>
          </w:tcPr>
          <w:p>
            <w:pPr>
              <w:spacing w:after="0"/>
              <w:rPr>
                <w:sz w:val="1"/>
                <w:szCs w:val="1"/>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1661 Camelback Rd.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Restaurant</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740"/>
              <w:spacing w:after="0"/>
              <w:rPr>
                <w:sz w:val="20"/>
                <w:szCs w:val="20"/>
                <w:color w:val="auto"/>
              </w:rPr>
            </w:pPr>
            <w:r>
              <w:rPr>
                <w:rFonts w:ascii="Courier New" w:cs="Courier New" w:eastAsia="Courier New" w:hAnsi="Courier New"/>
                <w:sz w:val="14"/>
                <w:szCs w:val="14"/>
                <w:color w:val="auto"/>
              </w:rPr>
              <w:t>Others</w:t>
            </w:r>
          </w:p>
        </w:tc>
        <w:tc>
          <w:tcPr>
            <w:tcW w:w="86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1-5 Years</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0"/>
                <w:szCs w:val="20"/>
                <w:color w:val="auto"/>
              </w:rPr>
            </w:pPr>
            <w:r>
              <w:rPr>
                <w:rFonts w:ascii="Courier New" w:cs="Courier New" w:eastAsia="Courier New" w:hAnsi="Courier New"/>
                <w:sz w:val="14"/>
                <w:szCs w:val="14"/>
                <w:color w:val="auto"/>
              </w:rPr>
              <w:t>Phoenix, Arizona</w:t>
            </w: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780" w:type="dxa"/>
            <w:vAlign w:val="bottom"/>
          </w:tcPr>
          <w:p>
            <w:pPr>
              <w:spacing w:after="0"/>
              <w:rPr>
                <w:sz w:val="20"/>
                <w:szCs w:val="20"/>
                <w:color w:val="auto"/>
              </w:rPr>
            </w:pPr>
            <w:r>
              <w:rPr>
                <w:rFonts w:ascii="Courier New" w:cs="Courier New" w:eastAsia="Courier New" w:hAnsi="Courier New"/>
                <w:sz w:val="14"/>
                <w:szCs w:val="14"/>
                <w:color w:val="auto"/>
              </w:rPr>
              <w:t>Glendale Building</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Office</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89,000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820" w:type="dxa"/>
            <w:vAlign w:val="bottom"/>
          </w:tcPr>
          <w:p>
            <w:pPr>
              <w:ind w:left="300"/>
              <w:spacing w:after="0"/>
              <w:rPr>
                <w:sz w:val="20"/>
                <w:szCs w:val="20"/>
                <w:color w:val="auto"/>
              </w:rPr>
            </w:pPr>
            <w:r>
              <w:rPr>
                <w:rFonts w:ascii="Courier New" w:cs="Courier New" w:eastAsia="Courier New" w:hAnsi="Courier New"/>
                <w:sz w:val="14"/>
                <w:szCs w:val="14"/>
                <w:color w:val="auto"/>
              </w:rPr>
              <w:t>Fidelity</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May 2005</w:t>
            </w:r>
          </w:p>
        </w:tc>
        <w:tc>
          <w:tcPr>
            <w:tcW w:w="0" w:type="dxa"/>
            <w:vAlign w:val="bottom"/>
          </w:tcPr>
          <w:p>
            <w:pPr>
              <w:spacing w:after="0"/>
              <w:rPr>
                <w:sz w:val="1"/>
                <w:szCs w:val="1"/>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600 No. Brand Blvd.</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Disney</w:t>
            </w:r>
          </w:p>
        </w:tc>
        <w:tc>
          <w:tcPr>
            <w:tcW w:w="8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(87%)</w:t>
            </w:r>
          </w:p>
        </w:tc>
        <w:tc>
          <w:tcPr>
            <w:tcW w:w="142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February 2007</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0"/>
                <w:szCs w:val="20"/>
                <w:color w:val="auto"/>
              </w:rPr>
            </w:pPr>
            <w:r>
              <w:rPr>
                <w:rFonts w:ascii="Courier New" w:cs="Courier New" w:eastAsia="Courier New" w:hAnsi="Courier New"/>
                <w:sz w:val="14"/>
                <w:szCs w:val="14"/>
                <w:color w:val="auto"/>
              </w:rPr>
              <w:t>Glendale, CA</w:t>
            </w: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of rentable space leased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Arboleda, Phoenix</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4560"/>
        <w:spacing w:after="0" w:line="260" w:lineRule="auto"/>
        <w:rPr>
          <w:sz w:val="20"/>
          <w:szCs w:val="20"/>
          <w:color w:val="auto"/>
        </w:rPr>
      </w:pPr>
      <w:r>
        <w:rPr>
          <w:rFonts w:ascii="Courier New" w:cs="Courier New" w:eastAsia="Courier New" w:hAnsi="Courier New"/>
          <w:sz w:val="14"/>
          <w:szCs w:val="14"/>
          <w:color w:val="auto"/>
        </w:rPr>
        <w:t>This property was acquired by the Company for $6.4 million in August 1994 and is substantially leased to American Express Company, which occupies 56% (100,252 sq. ft.) of the property. On March 4, 1999, the Company entered into a Purchase and Sale Agreement to sell the Phoenix, Arizona property included in Property held for sale. The Buyer agreed to purchase the property for approximately $20 million, of which $500,000 has been deposited in escrow. As of December 31, 1998, this property was encumbered by a mortgage in the amount of approximately $4,234,000. The $20 million sales price does not include expected closing adjustments including property costs settled in escrow, commissions and mortgage termination fees. Pursuant to the terms of the Purchase and Sale Agreement, the outside closing date, subject to certain conditions precedent, is scheduled to occur on or before May 5, 1999. However, as the contract provides for uusual and customary closing conditions, no assurance can be given that the property will be sold at that price.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Brand, Glendale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4560" w:firstLine="431"/>
        <w:spacing w:after="0" w:line="313" w:lineRule="auto"/>
        <w:rPr>
          <w:sz w:val="20"/>
          <w:szCs w:val="20"/>
          <w:color w:val="auto"/>
        </w:rPr>
      </w:pPr>
      <w:r>
        <w:rPr>
          <w:rFonts w:ascii="Courier New" w:cs="Courier New" w:eastAsia="Courier New" w:hAnsi="Courier New"/>
          <w:sz w:val="14"/>
          <w:szCs w:val="14"/>
          <w:color w:val="auto"/>
        </w:rPr>
        <w:t>This property was acquired by the Company for $7.12 million in May 1995 and is leased 87% to Disney Enterprises, Inc. ("Disney") and 13% to Fidelity, with Fidelity occupying the ground floor.</w:t>
      </w:r>
    </w:p>
    <w:p>
      <w:pPr>
        <w:spacing w:after="0" w:line="42" w:lineRule="exact"/>
        <w:rPr>
          <w:sz w:val="20"/>
          <w:szCs w:val="20"/>
          <w:color w:val="auto"/>
        </w:rPr>
      </w:pPr>
    </w:p>
    <w:p>
      <w:pPr>
        <w:ind w:right="4560" w:firstLine="431"/>
        <w:spacing w:after="0" w:line="264" w:lineRule="auto"/>
        <w:rPr>
          <w:sz w:val="20"/>
          <w:szCs w:val="20"/>
          <w:color w:val="auto"/>
        </w:rPr>
      </w:pPr>
      <w:r>
        <w:rPr>
          <w:rFonts w:ascii="Courier New" w:cs="Courier New" w:eastAsia="Courier New" w:hAnsi="Courier New"/>
          <w:sz w:val="14"/>
          <w:szCs w:val="14"/>
          <w:color w:val="auto"/>
        </w:rPr>
        <w:t>The base rental rate for the first five years of the Fidelity lease term is $26,000 per month (including parking). With the lease providing for annual rental increases at a rate equal to the lower of the increase in the Consumer Price Index or 3%, the rental rate of the Fidelity lease at December 31, 1997 is $27,350 per month. After the first five years of the lease term, the rental rate will be adjusted to the higher of the then current market rate or $1.50 per square foot increased by the annual rental rate increase applied during the first five years of the lease as described in the preceding sentence. Fidelity has the option to extend the lease of the ground floor for two consecutive five year terms at a market rental rate.</w:t>
      </w:r>
    </w:p>
    <w:p>
      <w:pPr>
        <w:spacing w:after="0" w:line="77" w:lineRule="exact"/>
        <w:rPr>
          <w:sz w:val="20"/>
          <w:szCs w:val="20"/>
          <w:color w:val="auto"/>
        </w:rPr>
      </w:pPr>
    </w:p>
    <w:p>
      <w:pPr>
        <w:jc w:val="both"/>
        <w:ind w:right="4640" w:firstLine="431"/>
        <w:spacing w:after="0" w:line="313" w:lineRule="auto"/>
        <w:rPr>
          <w:sz w:val="20"/>
          <w:szCs w:val="20"/>
          <w:color w:val="auto"/>
        </w:rPr>
      </w:pPr>
      <w:r>
        <w:rPr>
          <w:rFonts w:ascii="Courier New" w:cs="Courier New" w:eastAsia="Courier New" w:hAnsi="Courier New"/>
          <w:sz w:val="14"/>
          <w:szCs w:val="14"/>
          <w:color w:val="auto"/>
        </w:rPr>
        <w:t>On October 1, 1996, the Company entered into a ten year full service lease for all of the floors, excluding the ground floor (approximately 80,000 square feet), with Disney. The rental rate for the first five</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460"/>
          </w:cols>
          <w:pgMar w:left="220" w:top="590" w:right="219" w:bottom="1440" w:gutter="0" w:footer="0" w:header="0"/>
          <w:type w:val="continuous"/>
        </w:sectPr>
      </w:pPr>
    </w:p>
    <w:bookmarkStart w:id="12" w:name="page13"/>
    <w:bookmarkEnd w:id="12"/>
    <w:p>
      <w:pPr>
        <w:ind w:right="3339"/>
        <w:spacing w:after="0" w:line="258" w:lineRule="auto"/>
        <w:rPr>
          <w:sz w:val="20"/>
          <w:szCs w:val="20"/>
          <w:color w:val="auto"/>
        </w:rPr>
      </w:pPr>
      <w:r>
        <w:rPr>
          <w:rFonts w:ascii="Courier New" w:cs="Courier New" w:eastAsia="Courier New" w:hAnsi="Courier New"/>
          <w:sz w:val="14"/>
          <w:szCs w:val="14"/>
          <w:color w:val="auto"/>
        </w:rPr>
        <w:t>years of the lease term beginning February 1, 1997 is approximately $148,000 per month (excluding parking) and approximately $164,000 (excluding parking) for the remaining five-year term. Disney has the option to renew the lease for two consecutive five year terms. To date, while fulfilling their lease obligations to the Company, Disney has not moved into the building. Accordingly, tenant improvements required by the lease approximating $1,985,000 have not yet been incurred. In addition, the Company incurred costs for other building upgrades, governmental compliance, commissions and legal fees amounting to approximately $1.2 million. Concurrently with the execution of the Disney lease, the Company amended its then existing lease with Fidelity resulting in 1) termination of the Fidelity lease with respect to floors four through six, resulting in a reduction of rent payments amounting to approximately $75,000 per month after January 31, 1997, 2) termination of Fidelity's option to purchase the Glendale Building, 3) a modification of the mortgage with Fidelity on the building to eliminate the prepayment penalty and 4) reimbursement on February 1, 1997 by the Company to Fidelity of rental payments in the amount of approximately $450,000 (See Note 3 to the Consolidated Financial Statements).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of Real Estate Interests</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Company's 1994 acquisition of the Arboleda was 100% leveraged: Financing was obtained through the combination of a conventional mortgage loan from Fidelity on the Arboleda Property with the balance of the Arboleda purchase price financed through drawdowns on an $8,200,000 line of credit from Craig, which has been paid in full. The mortgage loan secured by the Arboleda Property has a seven-year term, amortizing over 25 years, with an adjustable interest rate of interest tied to a 30-day LIBOR rate plus 4.5% per annum. The interest rate on this loan is currently 9.738%. At December 31, 1998, the loan had a balance of approximately $4,233,000.</w:t>
      </w:r>
    </w:p>
    <w:p>
      <w:pPr>
        <w:spacing w:after="0" w:line="250"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With regard to the purchase of the Glendale Building, Fidelity extended a five year loan, amortizing over twenty years, at an adjustable rate of interest tied to the 30-day LIBOR rate plus 4.5% per annum, adjustable monthly. The interest rate on this loan is currently 9.738%. At December 31, 1998, the loan had a balance of approximately $4,992,000. The Company is currently working to refinance this property.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currently shares executive office space with Craig, under 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arrangement whereby the Company and Craig allocate the costs of such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space and certain support facilities. During fiscal 1998 1997 and 1996,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share of such office space and support facilities approximated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$24,000. The Company believes that this arrangement is beneficial to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that it permits the Company to maintain quality executive office facilities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lesser cost if the Company were to maintain comparable facilities separate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apart from Craig.</w:t>
      </w:r>
    </w:p>
    <w:p>
      <w:pPr>
        <w:spacing w:after="0" w:line="14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Roven Litigation</w:t>
      </w:r>
    </w:p>
    <w:p>
      <w:pPr>
        <w:spacing w:after="0" w:line="173"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Citadel, Hecco Ventures I and James J. Cotter were defendants in a civil action filed in 1990 by Alfred Roven in the United Sates District Court for the Central District of California. The complaint alleged fraud by Citadel in a proxy solicitation relating to Citadel's 1987 Annual Meeting of Stockholders and breach of fiduciary duty. The complaint sought compensatory and punitive damages in an amount alleged to exceed $40 million. The complaint grew out of and was originally asserted as a counter claim in an action brought by Citadel against Roven to recover alleged short swing profits (the "Section 16 Action"). In October 1995, Citadel, Hecco Ventures I and James J. Cotter were granted summary judgment on all causes of action asserted</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13" w:name="page14"/>
    <w:bookmarkEnd w:id="13"/>
    <w:p>
      <w:pPr>
        <w:ind w:right="3419"/>
        <w:spacing w:after="0" w:line="375" w:lineRule="auto"/>
        <w:rPr>
          <w:sz w:val="20"/>
          <w:szCs w:val="20"/>
          <w:color w:val="auto"/>
        </w:rPr>
      </w:pPr>
      <w:r>
        <w:rPr>
          <w:rFonts w:ascii="Courier New" w:cs="Courier New" w:eastAsia="Courier New" w:hAnsi="Courier New"/>
          <w:sz w:val="14"/>
          <w:szCs w:val="14"/>
          <w:color w:val="auto"/>
        </w:rPr>
        <w:t>in the 1990 complaint in federal court. Roven has appealed that judgment, which was upheld on appeal in August 1, 1997.</w:t>
      </w:r>
    </w:p>
    <w:p>
      <w:pPr>
        <w:spacing w:after="0" w:line="1"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In 1995, Roven filed a complaint in the California Superior Court against Citadel, Hecco Ventures I and James J. Cotter and, in addition, S. Craig Tompkins and certain other persons, including Citadel's outside counsel and certain former directors of Citadel (which directors are currently directors of Craig and/or Reading), alleging malicious prosecution in connection with the Section 16 Action. Defense of the action has been accepted by Citadel's insurers. In August 1996, the Los Angeles County Superior Court ordered summary judgment in favor of Citadel and all other defendants. Roven appealed that judgment, which appeal was upheld in favor of Citadel in January 1998. Roven petitioned the California Supreme Court for review of that appellate court decision and such petition was denied in March 1998.</w:t>
      </w:r>
    </w:p>
    <w:p>
      <w:pPr>
        <w:spacing w:after="0" w:line="7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At the Company's 1998 Annual Meeting of Shareholders held on December 15, 1998, shareholders elected four directors. The results of the votes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Election of Directors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Withheld</w:t>
            </w:r>
          </w:p>
        </w:tc>
        <w:tc>
          <w:tcPr>
            <w:tcW w:w="0" w:type="dxa"/>
            <w:vAlign w:val="bottom"/>
          </w:tcPr>
          <w:p>
            <w:pPr>
              <w:spacing w:after="0"/>
              <w:rPr>
                <w:sz w:val="1"/>
                <w:szCs w:val="1"/>
                <w:color w:val="auto"/>
              </w:rPr>
            </w:pPr>
          </w:p>
        </w:tc>
      </w:tr>
      <w:tr>
        <w:trPr>
          <w:trHeight w:val="166"/>
        </w:trPr>
        <w:tc>
          <w:tcPr>
            <w:tcW w:w="2200" w:type="dxa"/>
            <w:vAlign w:val="bottom"/>
            <w:vMerge w:val="restart"/>
          </w:tcPr>
          <w:p>
            <w:pPr>
              <w:spacing w:after="0"/>
              <w:rPr>
                <w:sz w:val="20"/>
                <w:szCs w:val="20"/>
                <w:color w:val="auto"/>
              </w:rPr>
            </w:pPr>
            <w:r>
              <w:rPr>
                <w:rFonts w:ascii="Courier New" w:cs="Courier New" w:eastAsia="Courier New" w:hAnsi="Courier New"/>
                <w:sz w:val="25"/>
                <w:szCs w:val="25"/>
                <w:color w:val="auto"/>
                <w:w w:val="72"/>
                <w:vertAlign w:val="subscript"/>
              </w:rPr>
              <w:t>James</w:t>
            </w: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J.Cotter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0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6,086,860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96,147</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 Craig Tompkins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6,078,860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104,147</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Ronald Simon</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6,078,840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104,147</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0"/>
                <w:szCs w:val="20"/>
                <w:color w:val="auto"/>
              </w:rPr>
            </w:pPr>
            <w:r>
              <w:rPr>
                <w:rFonts w:ascii="Courier New" w:cs="Courier New" w:eastAsia="Courier New" w:hAnsi="Courier New"/>
                <w:sz w:val="14"/>
                <w:szCs w:val="14"/>
                <w:color w:val="auto"/>
              </w:rPr>
              <w:t>Alfred Villasenor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6,078,840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104,147</w:t>
            </w:r>
          </w:p>
        </w:tc>
        <w:tc>
          <w:tcPr>
            <w:tcW w:w="0" w:type="dxa"/>
            <w:vAlign w:val="bottom"/>
          </w:tcPr>
          <w:p>
            <w:pPr>
              <w:spacing w:after="0"/>
              <w:rPr>
                <w:sz w:val="1"/>
                <w:szCs w:val="1"/>
                <w:color w:val="auto"/>
              </w:rPr>
            </w:pPr>
          </w:p>
        </w:tc>
      </w:tr>
      <w:tr>
        <w:trPr>
          <w:trHeight w:val="331"/>
        </w:trPr>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14" w:name="page15"/>
    <w:bookmarkEnd w:id="14"/>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5:</w:t>
        <w:tab/>
        <w:t>MARKET FOR REGISTRANT'S COMMON EQUITY AND RELATED</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STOCKHOLDER MATTERS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3"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The Company's common stock is listed and quoted on the American Stock Exchange ("AMEX"). The following table sets forth the high and low closing bid prices of the common stock of the Company as reported by AMEX for each of the following quarters:</w:t>
      </w:r>
    </w:p>
    <w:p>
      <w:pPr>
        <w:spacing w:after="0" w:line="388"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2060" w:type="dxa"/>
            <w:vAlign w:val="bottom"/>
          </w:tcPr>
          <w:p>
            <w:pPr>
              <w:spacing w:after="0"/>
              <w:rPr>
                <w:sz w:val="14"/>
                <w:szCs w:val="14"/>
                <w:color w:val="auto"/>
              </w:rPr>
            </w:pPr>
          </w:p>
        </w:tc>
        <w:tc>
          <w:tcPr>
            <w:tcW w:w="1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High</w:t>
            </w:r>
          </w:p>
        </w:tc>
        <w:tc>
          <w:tcPr>
            <w:tcW w:w="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Low</w:t>
            </w:r>
          </w:p>
        </w:tc>
        <w:tc>
          <w:tcPr>
            <w:tcW w:w="0" w:type="dxa"/>
            <w:vAlign w:val="bottom"/>
          </w:tcPr>
          <w:p>
            <w:pPr>
              <w:spacing w:after="0"/>
              <w:rPr>
                <w:sz w:val="1"/>
                <w:szCs w:val="1"/>
                <w:color w:val="auto"/>
              </w:rPr>
            </w:pPr>
          </w:p>
        </w:tc>
      </w:tr>
      <w:tr>
        <w:trPr>
          <w:trHeight w:val="242"/>
        </w:trPr>
        <w:tc>
          <w:tcPr>
            <w:tcW w:w="2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Dollars)</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0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6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3</w:t>
            </w:r>
          </w:p>
        </w:tc>
        <w:tc>
          <w:tcPr>
            <w:tcW w:w="7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9"/>
              </w:rPr>
              <w:t>15/16</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6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0" w:type="dxa"/>
            <w:vAlign w:val="bottom"/>
          </w:tcPr>
          <w:p>
            <w:pPr>
              <w:spacing w:after="0"/>
              <w:rPr>
                <w:sz w:val="1"/>
                <w:szCs w:val="1"/>
                <w:color w:val="auto"/>
              </w:rPr>
            </w:pPr>
          </w:p>
        </w:tc>
      </w:tr>
      <w:tr>
        <w:trPr>
          <w:trHeight w:val="166"/>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7/16</w:t>
            </w:r>
          </w:p>
        </w:tc>
        <w:tc>
          <w:tcPr>
            <w:tcW w:w="0" w:type="dxa"/>
            <w:vAlign w:val="bottom"/>
          </w:tcPr>
          <w:p>
            <w:pPr>
              <w:spacing w:after="0"/>
              <w:rPr>
                <w:sz w:val="1"/>
                <w:szCs w:val="1"/>
                <w:color w:val="auto"/>
              </w:rPr>
            </w:pPr>
          </w:p>
        </w:tc>
      </w:tr>
      <w:tr>
        <w:trPr>
          <w:trHeight w:val="242"/>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13/16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4</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11/16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11/16</w:t>
            </w:r>
          </w:p>
        </w:tc>
        <w:tc>
          <w:tcPr>
            <w:tcW w:w="0" w:type="dxa"/>
            <w:vAlign w:val="bottom"/>
          </w:tcPr>
          <w:p>
            <w:pPr>
              <w:spacing w:after="0"/>
              <w:rPr>
                <w:sz w:val="1"/>
                <w:szCs w:val="1"/>
                <w:color w:val="auto"/>
              </w:rPr>
            </w:pPr>
          </w:p>
        </w:tc>
      </w:tr>
      <w:tr>
        <w:trPr>
          <w:trHeight w:val="166"/>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4</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166"/>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3</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15/16</w:t>
            </w:r>
          </w:p>
        </w:tc>
        <w:tc>
          <w:tcPr>
            <w:tcW w:w="0" w:type="dxa"/>
            <w:vAlign w:val="bottom"/>
          </w:tcPr>
          <w:p>
            <w:pPr>
              <w:spacing w:after="0"/>
              <w:rPr>
                <w:sz w:val="1"/>
                <w:szCs w:val="1"/>
                <w:color w:val="auto"/>
              </w:rPr>
            </w:pPr>
          </w:p>
        </w:tc>
      </w:tr>
      <w:tr>
        <w:trPr>
          <w:trHeight w:val="242"/>
        </w:trPr>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3</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w:t>
      </w:r>
    </w:p>
    <w:p>
      <w:pPr>
        <w:spacing w:after="0" w:line="173" w:lineRule="exact"/>
        <w:rPr>
          <w:sz w:val="20"/>
          <w:szCs w:val="20"/>
          <w:color w:val="auto"/>
        </w:rPr>
      </w:pPr>
    </w:p>
    <w:p>
      <w:pPr>
        <w:jc w:val="both"/>
        <w:ind w:right="3419" w:firstLine="431"/>
        <w:spacing w:after="0" w:line="292" w:lineRule="auto"/>
        <w:rPr>
          <w:sz w:val="20"/>
          <w:szCs w:val="20"/>
          <w:color w:val="auto"/>
        </w:rPr>
      </w:pPr>
      <w:r>
        <w:rPr>
          <w:rFonts w:ascii="Courier New" w:cs="Courier New" w:eastAsia="Courier New" w:hAnsi="Courier New"/>
          <w:sz w:val="14"/>
          <w:szCs w:val="14"/>
          <w:color w:val="auto"/>
        </w:rPr>
        <w:t>The number of holders of record of the Company's common stock at March 29, 1999 was approximately 199. On March 29, 1999, the high, low and closing price per share of the Company's Common Stock were $3.6875, $3.50, and $3.625, respectively.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on Common Stock</w:t>
      </w:r>
    </w:p>
    <w:p>
      <w:pPr>
        <w:spacing w:after="0" w:line="173"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While the Company has never declared a cash dividend on its Common Stock and has no current plan to declare a dividend, it is Citadel's policy to review this matter on an ongoing basis.</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15" w:name="page16"/>
    <w:bookmarkEnd w:id="15"/>
    <w:p>
      <w:pPr>
        <w:spacing w:after="0"/>
        <w:tabs>
          <w:tab w:leader="none" w:pos="84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338" w:lineRule="exact"/>
        <w:rPr>
          <w:sz w:val="20"/>
          <w:szCs w:val="20"/>
          <w:color w:val="auto"/>
        </w:rPr>
      </w:pPr>
    </w:p>
    <w:p>
      <w:pPr>
        <w:ind w:right="4380" w:firstLine="431"/>
        <w:spacing w:after="0" w:line="292" w:lineRule="auto"/>
        <w:rPr>
          <w:sz w:val="20"/>
          <w:szCs w:val="20"/>
          <w:color w:val="auto"/>
        </w:rPr>
      </w:pPr>
      <w:r>
        <w:rPr>
          <w:rFonts w:ascii="Courier New" w:cs="Courier New" w:eastAsia="Courier New" w:hAnsi="Courier New"/>
          <w:sz w:val="14"/>
          <w:szCs w:val="14"/>
          <w:color w:val="auto"/>
        </w:rPr>
        <w:t>The table below sets forth certain historical financial data regarding the Company. This information is derived in part from, and should be read in conjunction with, the Consolidated Financial Statements of the Company included elsewhere herein and the relative notes thereto.</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80" w:type="dxa"/>
            <w:vAlign w:val="bottom"/>
          </w:tcPr>
          <w:p>
            <w:pPr>
              <w:spacing w:after="0"/>
              <w:rPr>
                <w:sz w:val="14"/>
                <w:szCs w:val="14"/>
                <w:color w:val="auto"/>
              </w:rPr>
            </w:pPr>
          </w:p>
        </w:tc>
        <w:tc>
          <w:tcPr>
            <w:tcW w:w="3280" w:type="dxa"/>
            <w:vAlign w:val="bottom"/>
            <w:gridSpan w:val="5"/>
          </w:tcPr>
          <w:p>
            <w:pPr>
              <w:jc w:val="center"/>
              <w:ind w:right="8"/>
              <w:spacing w:after="0"/>
              <w:rPr>
                <w:sz w:val="20"/>
                <w:szCs w:val="20"/>
                <w:color w:val="auto"/>
              </w:rPr>
            </w:pPr>
            <w:r>
              <w:rPr>
                <w:rFonts w:ascii="Courier New" w:cs="Courier New" w:eastAsia="Courier New" w:hAnsi="Courier New"/>
                <w:sz w:val="14"/>
                <w:szCs w:val="14"/>
                <w:color w:val="auto"/>
              </w:rPr>
              <w:t>At or for the Year Ended December 31,</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480" w:type="dxa"/>
            <w:vAlign w:val="bottom"/>
          </w:tcPr>
          <w:p>
            <w:pPr>
              <w:spacing w:after="0"/>
              <w:rPr>
                <w:sz w:val="14"/>
                <w:szCs w:val="14"/>
                <w:color w:val="auto"/>
              </w:rPr>
            </w:pP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38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1998</w:t>
            </w:r>
          </w:p>
        </w:tc>
        <w:tc>
          <w:tcPr>
            <w:tcW w:w="4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5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480" w:type="dxa"/>
            <w:vAlign w:val="bottom"/>
            <w:vMerge w:val="continue"/>
          </w:tcPr>
          <w:p>
            <w:pPr>
              <w:spacing w:after="0"/>
              <w:rPr>
                <w:sz w:val="21"/>
                <w:szCs w:val="21"/>
                <w:color w:val="auto"/>
              </w:rPr>
            </w:pPr>
          </w:p>
        </w:tc>
        <w:tc>
          <w:tcPr>
            <w:tcW w:w="67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5,985</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5,350</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5,101</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2,070</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earnings (loss) (1)(3)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5,687</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1,530</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(174,825)</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earnings (loss) available to common stockholders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5,687</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1,530</w:t>
            </w:r>
          </w:p>
        </w:tc>
        <w:tc>
          <w:tcPr>
            <w:tcW w:w="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6,268</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(174,842)</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0.85</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0.24</w:t>
            </w:r>
          </w:p>
        </w:tc>
        <w:tc>
          <w:tcPr>
            <w:tcW w:w="560" w:type="dxa"/>
            <w:vAlign w:val="bottom"/>
            <w:vMerge w:val="continue"/>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(26.45)</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0.85</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0.24</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(26.45)</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35,045</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28,860</w:t>
            </w:r>
          </w:p>
        </w:tc>
        <w:tc>
          <w:tcPr>
            <w:tcW w:w="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30,292</w:t>
            </w:r>
          </w:p>
        </w:tc>
        <w:tc>
          <w:tcPr>
            <w:tcW w:w="4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39,815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39,912</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9,224</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9,395</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10,303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16,186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14,846</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23,741</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18,054</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17,724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17,720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17,838</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Cash dividends declared on</w:t>
            </w:r>
          </w:p>
        </w:tc>
        <w:tc>
          <w:tcPr>
            <w:tcW w:w="520" w:type="dxa"/>
            <w:vAlign w:val="bottom"/>
          </w:tcPr>
          <w:p>
            <w:pPr>
              <w:spacing w:after="0"/>
              <w:rPr>
                <w:sz w:val="14"/>
                <w:szCs w:val="14"/>
                <w:color w:val="auto"/>
              </w:rPr>
            </w:pP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232</w:t>
            </w:r>
          </w:p>
        </w:tc>
        <w:tc>
          <w:tcPr>
            <w:tcW w:w="480" w:type="dxa"/>
            <w:vAlign w:val="bottom"/>
          </w:tcPr>
          <w:p>
            <w:pPr>
              <w:spacing w:after="0"/>
              <w:rPr>
                <w:sz w:val="14"/>
                <w:szCs w:val="14"/>
                <w:color w:val="auto"/>
              </w:rPr>
            </w:pP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38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5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Stock Dividend</w:t>
            </w:r>
          </w:p>
        </w:tc>
        <w:tc>
          <w:tcPr>
            <w:tcW w:w="520" w:type="dxa"/>
            <w:vAlign w:val="bottom"/>
          </w:tcPr>
          <w:p>
            <w:pPr>
              <w:spacing w:after="0"/>
              <w:rPr>
                <w:sz w:val="21"/>
                <w:szCs w:val="21"/>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w:t>
            </w:r>
          </w:p>
        </w:tc>
        <w:tc>
          <w:tcPr>
            <w:tcW w:w="560" w:type="dxa"/>
            <w:vAlign w:val="bottom"/>
          </w:tcPr>
          <w:p>
            <w:pPr>
              <w:spacing w:after="0"/>
              <w:rPr>
                <w:sz w:val="21"/>
                <w:szCs w:val="21"/>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deferred income tax benefit amounting to approximately</w:t>
      </w:r>
    </w:p>
    <w:p>
      <w:pPr>
        <w:spacing w:after="0" w:line="33" w:lineRule="exact"/>
        <w:rPr>
          <w:rFonts w:ascii="Courier New" w:cs="Courier New" w:eastAsia="Courier New" w:hAnsi="Courier New"/>
          <w:sz w:val="14"/>
          <w:szCs w:val="14"/>
          <w:color w:val="auto"/>
        </w:rPr>
      </w:pPr>
    </w:p>
    <w:p>
      <w:pPr>
        <w:ind w:left="440" w:right="46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$4,828,000 resulting principally from the reversal of federal and state income tax valuation allowances. See Note 13.</w:t>
      </w:r>
    </w:p>
    <w:p>
      <w:pPr>
        <w:ind w:left="440" w:right="438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and 1995 data includes the effect of shares assumed to be issued on the conversion of the then outstanding 3% Cumulative Voting Convertible Preferred Stock amounting to 2,046,784 and 2,430,323 common shares, respectively.</w:t>
      </w:r>
    </w:p>
    <w:p>
      <w:pPr>
        <w:spacing w:after="0" w:line="1" w:lineRule="exact"/>
        <w:rPr>
          <w:rFonts w:ascii="Courier New" w:cs="Courier New" w:eastAsia="Courier New" w:hAnsi="Courier New"/>
          <w:sz w:val="14"/>
          <w:szCs w:val="14"/>
          <w:color w:val="auto"/>
        </w:rPr>
      </w:pPr>
    </w:p>
    <w:p>
      <w:pPr>
        <w:ind w:left="440" w:right="4380" w:hanging="432"/>
        <w:spacing w:after="0" w:line="279"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net earnings included approximately $4,000,000 as a result of a non-recurring recognition of previously deferred proceeds from the bulk sale of loans and properties by the Company's previously owned subsidiary, Fidelity.</w:t>
      </w:r>
    </w:p>
    <w:p>
      <w:pPr>
        <w:spacing w:after="0" w:line="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200"/>
          </w:cols>
          <w:pgMar w:left="220" w:top="590" w:right="479" w:bottom="1440" w:gutter="0" w:footer="0" w:header="0"/>
        </w:sectPr>
      </w:pPr>
    </w:p>
    <w:bookmarkStart w:id="16" w:name="page17"/>
    <w:bookmarkEnd w:id="16"/>
    <w:p>
      <w:pPr>
        <w:ind w:left="780" w:right="3939" w:hanging="774"/>
        <w:spacing w:after="0" w:line="37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DISCUSSIONS AND ANALYSIS OF FINANCIAL CONDITION AND RESULTS OF OPERATIONS</w:t>
      </w:r>
    </w:p>
    <w:p>
      <w:pPr>
        <w:spacing w:after="0" w:line="1"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Citadel Holding Corporation, a Delaware corporation ("Citadel" and collectively with its wholly owned subsidiaries, the "Company") has been engaged in recent periods in the ownership and management of its real estate interests and in the offering of various real estate consulting services to its affiliates. At December 31, 1998, Reading Entertainment, Inc. ("REI" and collectively with its consolidated subsidiaries, "Reading"), holds 2,113,673 shares or approximately 32% of the Company's outstanding common stock and Craig Corporation ("Craig") also holds 1,096,106 shares or approximately 16% of the Company's Common Stock.</w:t>
      </w:r>
    </w:p>
    <w:p>
      <w:pPr>
        <w:spacing w:after="0" w:line="250"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As a consequence of the real estate advisory and consulting services provided on a fee basis to Reading, the Company has gained familiarity with the cinema exhibition industry and the operations and prospects of Reading and in October 1996 invested $7 million to acquire 70,000 shares of REI Series A Voting Cumulative Convertible Preferred Stock and the Asset Put Option. Reading is a publicly traded company whose shares are listed on the NASDAQ. Through its majority owned subsidiaries, REI is in the business of developing and operating multi-plex cinemas in the United States, Puerto Rico, Australia and New Zealand of developing, and eventually operating, entertainment centers in Australia and New Zealand. Craig and the Company hold in the aggregate approximately 83% of the voting power of Reading, with Craig's holdings representing approximately 78% of the voting power of Reading and the Company's holdings representing approximately 5% of such voting power.</w:t>
      </w:r>
    </w:p>
    <w:p>
      <w:pPr>
        <w:spacing w:after="0" w:line="77"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The Asset Put Option is exercisable any time after October 15, 1996 through a date thirty days after Reading's Form 10-K is filed with respect to its year ended December 31, 1999, and gives the Company the right to exchange, for shares of Reading Common Stock, all or substantially all of the Company's assets, as defined, together with any debt encumbering such assets (the "Asset Put"). In exchange for up to $20 million in aggregate appraised value of the Company's assets on the exercise of the Asset Put Option, Reading is obligated to deliver to the Company that number of shares of Reading Common Stock determined by dividing the value of the Company's assets by $12.25 per share. The closing price of Reading Common Stock at December 31, 1998 was $8.00 per share. If the appraised value of the Company's assets is in excess of $20 million, Reading is obligated to pay for the excess by issuing Common Stock at the then fair market value, up to a maximum of $30 million of assets. If the average trading price of Reading Common Stock exceeds 130% of the then applicable exchange price for more than 60 days, then the exchange price will thereafter be the fair market of the Reading Common Stock from time to time, unless the Company exercises the Asset Put within 120 days of receipt of notice from Reading of the occurrence of such average trading price over such 60 day period.</w:t>
      </w:r>
    </w:p>
    <w:p>
      <w:pPr>
        <w:spacing w:after="0" w:line="78"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Reading Investment Transaction provides the Company an opportunity to make an initial investment in the Beyond-the-Home segment of the entertainment industry, and the ability, thereafter, to review the implementation by Reading of its business plan and, if it approves of the progress made by Reading, to make a further investment in this industry through the exercise of its Asset Put Option to exchange all or substantially all of its assets for Reading Common Stock. The Company has the right to require Reading to redeem the securities issued to it in the Reading Investment Transaction after five years or sooner if Reading fails to pay dividends on such securities for four quarters.</w:t>
      </w:r>
    </w:p>
    <w:p>
      <w:pPr>
        <w:spacing w:after="0" w:line="74"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In December 1997, the Company acquired a 40% interest in three agricultural partnerships (the "Agricultural Partnerships"), and an 80% interest in a limited liability company formed to manage and farm the property owned by the Agricultural Partnerships. The Agricultural Partnerships currently own approximately 960 acres of mature citrus orchards, approximately 60 acres of newly planted citrus, and approximately 540 acres of open land, all located in Kern County, California. In December 1998, this area suffered a devastating freeze, as a consequence of which substantially all of the Agricultural Partnership's 1998-99 crop was lost.</w:t>
      </w:r>
    </w:p>
    <w:p>
      <w:pPr>
        <w:spacing w:after="0" w:line="250"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During 1998, the Company acquired an 11.6% interest in Gish Biomedical, Inc. ("Gish") at a purchase price of approximately $1 million. During the first quarter of 1999, the Company increased this interest to approximately 13.25%. Gish is primarily engaged in the business of developing, manufacturing and distributing cardio-vascular devices. During this same 1998-99 time period, another investor (Value Asset Fund Limited Partnership or "VAF"), acquired a similarly sized interest in Gish. Accordingly, the Company and VAF currently own shares aggregating to approximately a 26.5% interest in Gish.</w:t>
      </w:r>
    </w:p>
    <w:p>
      <w:pPr>
        <w:spacing w:after="0" w:line="74"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Company is currently reviewing its options with respect to Gish. The Company may, depending upon a variety of factors, including its assessment of Gish's prospects, the possibilities for a strategic combination of Gish with one or more other companies in the health sector, and the alternatives uses available for the Company's resources, determine to acquire additional Gish shares, to sell all or some portion of its Gish shares, or to participate in or sponsor one or more strategic transaction involving Gish. However, at the present time, the Company has no specific plans other than to continue to monitor its investment in Gish.</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Due to the nature of the Company's business activities the Company's historical revenues have and future revenues will vary significantly, reflecting the results of real estate sales, the October 1996 acquisition of the REI Preferred Stock and the December 1997 acquisition of the interest in the Agricultural Partnerships and Big 4 Farming LLC. In addition, rental income and earnings may vary significantly depending upon the properties owned by the Company during the periods being reported. Accordingly, year to year comparisons of operating results will not be indicative of future financial results.</w:t>
      </w:r>
    </w:p>
    <w:p>
      <w:pPr>
        <w:sectPr>
          <w:pgSz w:w="11900" w:h="16838" w:orient="portrait"/>
          <w:cols w:equalWidth="0" w:num="1">
            <w:col w:w="10239"/>
          </w:cols>
          <w:pgMar w:left="220" w:top="590" w:right="1440" w:bottom="0" w:gutter="0" w:footer="0" w:header="0"/>
        </w:sectPr>
      </w:pPr>
    </w:p>
    <w:bookmarkStart w:id="17" w:name="page18"/>
    <w:bookmarkEnd w:id="17"/>
    <w:p>
      <w:pPr>
        <w:ind w:left="20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019"/>
          </w:cols>
          <w:pgMar w:left="1440" w:top="28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Year Ended December 31, 1998 ("Fiscal 1998") and 1997 ("Fiscal 1997") versus</w:t>
      </w:r>
    </w:p>
    <w:p>
      <w:pPr>
        <w:spacing w:after="0" w:line="3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December 31, 1996 ("Fiscal 1996")</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The Company's net earnings amounted to approximately $5,687,000, $1,530,000 and $6,426,000 for Fiscal 1998, 1997 and 1996, respectively. Net earnings available to common stockholders reflects net earnings, less any preferred stock dividends earned prior to the preferred stock redemption in December 1996, and amounted to $5,687,000, $1,530,000 and $6,268,000 for Fiscal 1998, 1997 and 1996, respectively. Included in net earnings for Fiscal 1998 is an income tax benefit amounting to approximately $4,828,000 resulting principally from a reversal of previously reserved deferred tax assets offset, in part, by a $990,000 loss with respect to the Company's interest in the Agricultural Partnerships. Included in the net earnings for Fiscal 1998 is approximately $1,022,000 of income from shareholder affiliates including the receipt of interest income, dividends earned on the Investment in Reading and consulting fees as compared to $820,000 and $264,000 in Fiscal 1997 and 1996, respectively. Fiscal 1996 earnings includes approximately $1,493,000 from the sale of an apartment property and an undeveloped parcel of land and non-recurring income amounting to $4,000,000 resulting from the recognition for financial statement purposes of previously deferred proceeds from the bulk sale of loans and properties by Citadel's previously owned subsidiary, Fidelity Federal Bank ("Fidelity"). At the time of the bulk sale in 1994 by Fidelity, Citadel agreed to indemnify Fidelity, up to $4,000,000, with respect to certain losses that might be incurred by Fidelity in the event of a breach by Fidelity of certain representations made to the purchaser of such loans and properties. During 1996, Fidelity reached a settlement with the purchaser regarding such bulk sale claims and released Citadel from the indemnity.</w:t>
      </w:r>
    </w:p>
    <w:p>
      <w:pPr>
        <w:spacing w:after="0" w:line="25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income amounted to approximately $5,478,000 in Fiscal 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$5,110,000 in Fiscal 1997 and $4,932,000 in Fiscal 1996. The fluctuations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the years are principally due to increased revenues from changes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 leases of the two properties offset by a reduction in the number of</w:t>
      </w:r>
    </w:p>
    <w:p>
      <w:pPr>
        <w:spacing w:after="0" w:line="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rental properties owned by the Company between the periods.</w:t>
        <w:tab/>
        <w:t>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disposed of two multi-family residential properties (one in each of 1996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1997) and certain open land (1996) during the last three years.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 rental properties consisted of two office buildings located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Glendale, California (purchased in May 1995) and Phoenix, Arizona (purchased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August 1994).</w:t>
      </w:r>
    </w:p>
    <w:p>
      <w:pPr>
        <w:spacing w:after="0" w:line="147"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On March 4, 1999, the Company entered into a Purchase and Sale Agreement to sell the Phoenix, Arizona property included in Property held for sale. The Buyer agreed to purchase the property for approximately $20 million, of which $500,000 has been deposited in escrow. As of December 31, 1998, this property was encumbered by a mortgage in the amount of approximately $4,233,000. The $20 million sales price does not include expected closing adjustments including property costs settled in escrow, commissions and mortgage payoff fees. In addition, the Company has recognized for financial statement purposes a deferred income tax asset at December 31, 1998 amounting to approximately $4,398,000 which is comprised of tax carryforward assets which are expected to be realized at the time of sale. Accordingly, when such sale is recorded for financial statement purposes, an income tax provision will be recorded at an effective tax rate of approximately 40% on the anticipated gain from the sale of the Phoenix, Arizona property. Pursuant to the terms of the Purchase and Sale Agreement, the outside closing date, subject to certain conditions precedent, is scheduled to occur on or before May 5, 1999. However, the contract includes the usual and customary closing conditions and, accordingly, no assurance can be given that the property will be sold at this price.</w:t>
      </w:r>
    </w:p>
    <w:p>
      <w:pPr>
        <w:spacing w:after="0" w:line="78"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increase in revenue between Fiscal 1996 and 1997 is generally attributable to an increase in rental income amounting to approximately $270,000 resulting, in part, from the two-year lease renewal of approximately 56% of the Arboleda property at increased rates and an increase in rental income amounting to approximately $300,000 resulting from an entire years ownership of the Glendale property, offset by a decrease from rental revenues due to the sale of an apartment building which was sold in May 1996.</w:t>
      </w:r>
    </w:p>
    <w:p>
      <w:pPr>
        <w:spacing w:after="0" w:line="72"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In Fiscal 1996, the Company entered into a ten year lease with Disney for all six floors of the Glendale Building, excluding the ground floor, which is leased to Fidelity. The rental rate for the first five years of the Disney lease term beginning February 1, 1997 is approximately $148,000 per month and approximately $164,000 per month for the remaining five year term (in each case excluding parking). Disney has the option to renew the lease for two consecutive five year periods. The lease provides that the Company will contribute towards tenant improvements and common area upgrades.</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19" w:name="page20"/>
    <w:bookmarkEnd w:id="19"/>
    <w:p>
      <w:pPr>
        <w:jc w:val="both"/>
        <w:ind w:right="3339"/>
        <w:spacing w:after="0" w:line="313" w:lineRule="auto"/>
        <w:rPr>
          <w:sz w:val="20"/>
          <w:szCs w:val="20"/>
          <w:color w:val="auto"/>
        </w:rPr>
      </w:pPr>
      <w:r>
        <w:rPr>
          <w:rFonts w:ascii="Courier New" w:cs="Courier New" w:eastAsia="Courier New" w:hAnsi="Courier New"/>
          <w:sz w:val="14"/>
          <w:szCs w:val="14"/>
          <w:color w:val="auto"/>
        </w:rPr>
        <w:t>To date, while fulfilling their lease obligations to the Company, Disney has not moved into the building. Accordingly, additional tenant improvements required by the lease approximating $1,985,000 have not yet been incurred.</w:t>
      </w:r>
    </w:p>
    <w:p>
      <w:pPr>
        <w:spacing w:after="0" w:line="42"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Real estate operating costs increased to $2,279,000 in Fiscal 1998 as compared to $2,090,000 in Fiscal 1997 and $2,481,000 in Fiscal 1996. The Fiscal 1998 increase if primarily attributable to increased maintenance costs at the Phoenix, Arizona building. The Fiscal 1997 decrease is principally a result of the sale of two apartment buildings which the Company owned during most of Fiscal 1996, offset by an increase in costs with respect to the two remaining commercial properties of approximately $190,000.</w:t>
      </w:r>
    </w:p>
    <w:p>
      <w:pPr>
        <w:spacing w:after="0" w:line="7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On December 31, 1997, the Company acquired, through its interest in three general partnerships (the "Agricultural Partnerships"), a 40% interest in approximately 1,580 acres of agricultural land and related improvements, located in Kern County, California, commonly known as the Big 4 Ranch (the "Property"). The other two partners in the Partnerships are Visalia LLC (a limited liability company controlled by Mr. James J. Cotter, the Chairman of the Board of the Company, and owned by Mr. Cotter and certain members of his family) which has a 20% interest and Big 4 Ranch, Inc., a publicly held corporation, which has the remaining 40% interest. Prior to the acquisition, Big 4 Ranch, Inc., was a wholly owned subsidiary of the Company. Immediately prior to the acquisition, the Company capitalized Big 4 Ranch, Inc., with a cash capital contribution of $1.2 million and then distributed 100% of the share of Big 4 Ranch, Inc., to the shareholders of record of the Company's common stock as of the close of business on December 23, 1997, as a spin-off dividend. The Company accounts for its 40% investment in the Agricultural Partnerships utilizing the equity method of accounting. As the acquisition did not occur until December 31, 1997, there was no impact on the results of operations for the year ended December 31, 1997.</w:t>
      </w:r>
    </w:p>
    <w:p>
      <w:pPr>
        <w:spacing w:after="0" w:line="8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Ranch Acquisition was financed by prorata capital contributions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(Citadel's 40% portion amounting to approximately $1,080,000), by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$4,050,000 purchase money loan from Prudential, and by an initial crop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by Citadel to the Agricultural Partnerships. Drawdowns under the Line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accrue interest at prime plus 100 basis points, payable quarterly,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due and payable on August 1, 1998 at which time the Company amended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increasing the line of credit to $1,850,000 under the same terms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for an additional twelve month period. The increase in the line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of $650,000 was to principally fund certain capital expenditures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the planting of additional citrus. At December 31, 1998 and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and its subsidiaries had advanced approximately $1,502,000 and $831,000,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under the Line of Credit. During Fiscal 1998, the Agricultural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Partnerships have invested approximately $624,000 in capital improvements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Big 4 properties including $335,000 for the planting of additional orange trees.</w:t>
      </w:r>
    </w:p>
    <w:p>
      <w:pPr>
        <w:spacing w:after="0" w:line="147"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In December 1998, the Agricultural Partnerships suffered from a devastating freeze which resulted in a loss of substantially all of its 1998-1999 crop. As a consequence of the freeze, the Agricultural Partnerships have no funds with which to repay the drawdowns on the Line of Credit. Big 4 Ranch, Inc. currently has no funds with which to make further capital contributions. Furthermore, the Agricultural Partnerships generally have no source of funding, other than the Company, for the cultural expenses needed for production of the 1999-2000 crop, as well as, funding of a crop planting program on the undeveloped acreage. In addition, to the $1,850,000 line of credit, it is estimated that the Agricultural Partnerships will need additional cash in the amount of $2,140,000 in order to cover cultural, administative and interest costs and approximately $500,000 in order to complete the planting program through the end of the year. Subsequent to year end, the Company has continued to fund the Agricultural Partnerships operating and</w:t>
      </w:r>
    </w:p>
    <w:p>
      <w:pPr>
        <w:spacing w:after="0" w:line="7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20" w:name="page21"/>
    <w:bookmarkEnd w:id="20"/>
    <w:p>
      <w:pPr>
        <w:ind w:right="3599"/>
        <w:spacing w:after="0" w:line="282" w:lineRule="auto"/>
        <w:rPr>
          <w:sz w:val="20"/>
          <w:szCs w:val="20"/>
          <w:color w:val="auto"/>
        </w:rPr>
      </w:pPr>
      <w:r>
        <w:rPr>
          <w:rFonts w:ascii="Courier New" w:cs="Courier New" w:eastAsia="Courier New" w:hAnsi="Courier New"/>
          <w:sz w:val="14"/>
          <w:szCs w:val="14"/>
          <w:color w:val="auto"/>
        </w:rPr>
        <w:t>crop costs. No revenue is expected to be realized by the Agricultural Partnerships until the 1999 - 2000 crop is harvested and sold. In addition to the current funding the Company is considering making available long-term financing to the Agricultural Partnerships to fund its future operating needs and future crop development activities.</w:t>
      </w:r>
    </w:p>
    <w:p>
      <w:pPr>
        <w:spacing w:after="0" w:line="6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Included in the Statement of Operations as "Earnings (loss) from investment in and advances to Agriculture Partnerships" is a loss of $990,000 representing the Company's 40% equity share of the Agriculture Partnerships operating results for the year ended December 31, 1998, net of $71,000 of interest income received pursuant to loans made to the Agriculture Partnerships.</w:t>
      </w:r>
    </w:p>
    <w:p>
      <w:pPr>
        <w:spacing w:after="0" w:line="6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Interest income amounted to $222,000 in Fiscal 1998, $326,000 in Fiscal 1997 and $844,000 in Fiscal 1996. The decrease in Fiscal 1998 as compared to Fiscal 1997 as compared to Fiscal 1996 was due to higher investable fund balances during most of 1996 and 1997. Cash balances decreased in October 1996 as a result of the Company's $7 million investment in Reading and again in December 1996 as a result of the Company's $6.19 million redemption of its Series B Preferred Stock. In addition, cash balances decreased in December 1997 as a result of the Big 4 Ranch, Inc. dividend and the investment in the Agricultural Partnerships.</w:t>
      </w:r>
    </w:p>
    <w:p>
      <w:pPr>
        <w:spacing w:after="0" w:line="250"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Dividends from the Company's investment in Reading in Fiscal 1998 and 1997 amounted to $455,000 as compared to $95,000 in Fiscal 1996, reflecting a full year's dividend earned pursuant to the terms of the REI Preferred Stock. The REI Preferred Stock was issued in October 1996 and bears a cumulative dividend of</w:t>
      </w:r>
    </w:p>
    <w:p>
      <w:pPr>
        <w:spacing w:after="0" w:line="1"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6.5%, payable quarterly. The REI Preferred Stock is convertible any time after April 15, 1998 into common shares of REI at a conversion price of $11.50 per share. The closing price of REI common stock at December 31, 1998 was $8.00 per share. REI reported a net loss applicable to common shareholders of approximately $6,728,000 for the 1998 Fiscal Year as compared to net loss applicable to common shareholders of approximately $1,354,000 in the 1997 Fiscal Year.</w:t>
      </w:r>
    </w:p>
    <w:p>
      <w:pPr>
        <w:spacing w:after="0" w:line="24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April 11, 1997, Craig exercised its warrant to purchase 666,000 shares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common stock at an exercise price of $3.00 per share or</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$1,998,000.</w:t>
        <w:tab/>
        <w:t>Such exercise was consummated pursuant to delivery by Craig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promissory note (the "Craig Secured Note") in the amount of $1,998,000,</w:t>
      </w:r>
    </w:p>
    <w:p>
      <w:pPr>
        <w:spacing w:after="0" w:line="7"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4"/>
          <w:szCs w:val="14"/>
          <w:color w:val="auto"/>
        </w:rPr>
        <w:t>secured by 500,000 shares of REI Common Stock owned by Craig.</w:t>
        <w:tab/>
        <w:t>The Craig Secured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in the amount of $1,998,000, is included in the Balance Sheet as a contra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account under the caption "Note receivable from shareholder". Interest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quarterly in arrears at the prime rate (amounting to 7.75% at December</w:t>
      </w:r>
    </w:p>
    <w:p>
      <w:pPr>
        <w:spacing w:after="0" w:line="7"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31, 1998) computed on a 360 day-year.</w:t>
        <w:tab/>
        <w:t>Principal and accrued but unpaid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due upon the earlier of April 11, 2002 or 120 days following the Company's</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written demand for payment.</w:t>
        <w:tab/>
        <w:t>The Craig Secured Note may be prepaid, in whole or</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in part, at any time by Craig without penalty or premium.</w:t>
        <w:tab/>
        <w:t>Included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Operations for the year ended December 31, 1998 and 1997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 from Shareholder" was approximately $169,000 and $125,000,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earned pursuant to the Craig secured note.</w:t>
      </w:r>
    </w:p>
    <w:p>
      <w:pPr>
        <w:spacing w:after="0" w:line="147"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Interest expense amounted to $977,000 in Fiscal 1998, $1,009,000 in Fiscal 1997 and $1,317,000 in Fiscal 1996. The decrease in Fiscal 1998 reflects a decrease in the interest rates between the periods. The $308,000 decrease in Fiscal 1997 as compared to Fiscal 1996 was principally a result of the payoff of a mortgage amounting to approximately $755,000 upon the sale of a property in January 1997. The interest rate on the outstanding loans approximated 9.738% at December 31, 1998 as compared to 10.22% at December 31, 1997.</w:t>
      </w:r>
    </w:p>
    <w:p>
      <w:pPr>
        <w:spacing w:after="0" w:line="72" w:lineRule="exact"/>
        <w:rPr>
          <w:sz w:val="20"/>
          <w:szCs w:val="20"/>
          <w:color w:val="auto"/>
        </w:rPr>
      </w:pPr>
    </w:p>
    <w:p>
      <w:pPr>
        <w:ind w:right="3519" w:firstLine="344"/>
        <w:spacing w:after="0" w:line="264" w:lineRule="auto"/>
        <w:rPr>
          <w:sz w:val="20"/>
          <w:szCs w:val="20"/>
          <w:color w:val="auto"/>
        </w:rPr>
      </w:pPr>
      <w:r>
        <w:rPr>
          <w:rFonts w:ascii="Courier New" w:cs="Courier New" w:eastAsia="Courier New" w:hAnsi="Courier New"/>
          <w:sz w:val="14"/>
          <w:szCs w:val="14"/>
          <w:color w:val="auto"/>
        </w:rPr>
        <w:t>General and administrative expenses amounted to $1,297,000 in Fiscal 1998, $1,175,000 in Fiscal 1997 and $914,000 in Fiscal 1996. The increase in Fiscal 1998 as compared to Fiscal 1997 primarily a result of second quarter bonuses paid to the Chairman amounting to $250,000 and an increase in overhead costs associated with providing farm management services to the Agricultural Partnerships, offset by a reduction in legal and professional costs. The increase in Fiscal 1997 as compared to Fiscal 1996 is a result of accounting, printing and consulting expenses relating to the stock distribution of Big 4 Ranch, Inc. and the acquisition of the Agricultural Partnerships and increased salaries and bonuses.</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1440" w:gutter="0" w:footer="0" w:header="0"/>
        </w:sectPr>
      </w:pPr>
    </w:p>
    <w:bookmarkStart w:id="21" w:name="page22"/>
    <w:bookmarkEnd w:id="21"/>
    <w:p>
      <w:pPr>
        <w:ind w:right="3419" w:firstLine="344"/>
        <w:spacing w:after="0" w:line="282" w:lineRule="auto"/>
        <w:rPr>
          <w:sz w:val="20"/>
          <w:szCs w:val="20"/>
          <w:color w:val="auto"/>
        </w:rPr>
      </w:pPr>
      <w:r>
        <w:rPr>
          <w:rFonts w:ascii="Courier New" w:cs="Courier New" w:eastAsia="Courier New" w:hAnsi="Courier New"/>
          <w:sz w:val="14"/>
          <w:szCs w:val="14"/>
          <w:color w:val="auto"/>
        </w:rPr>
        <w:t>In the fourth quarter of 1998 the Company recorded an income tax benefit of $4,828,000 as compared to income tax expense of $45,000 in Fiscal 1997. The 1998 income tax benefit is a result of (i) recognition of an IRS receivable of $440,000 and (ii) reversal of a deferred tax asset valuation allowance amounting to $4,398,000.</w:t>
      </w:r>
    </w:p>
    <w:p>
      <w:pPr>
        <w:spacing w:after="0" w:line="62" w:lineRule="exact"/>
        <w:rPr>
          <w:sz w:val="20"/>
          <w:szCs w:val="20"/>
          <w:color w:val="auto"/>
        </w:rPr>
      </w:pPr>
    </w:p>
    <w:p>
      <w:pPr>
        <w:ind w:right="3339" w:firstLine="431"/>
        <w:spacing w:after="0" w:line="256" w:lineRule="auto"/>
        <w:rPr>
          <w:sz w:val="20"/>
          <w:szCs w:val="20"/>
          <w:color w:val="auto"/>
        </w:rPr>
      </w:pPr>
      <w:r>
        <w:rPr>
          <w:rFonts w:ascii="Courier New" w:cs="Courier New" w:eastAsia="Courier New" w:hAnsi="Courier New"/>
          <w:sz w:val="14"/>
          <w:szCs w:val="14"/>
          <w:color w:val="auto"/>
        </w:rPr>
        <w:t>Generally, two factors contributed to the reversal of the valuation allowance. First, as described above, the Company has executed a settlement agreement with the IRS with respect to tax years through December 31, 1994. Such settlement provides the Company with a more likely than not expectation of the realization of the tax basis of certain real property transferred to the Company at the time of the Fidelity recapitalization in August 1994, as well as quantification of net operating loss carryforwards. Second, the Company has entered into a Purchase and Sales agreement to sell the Phoenix, Arizona property which is expected to result in a taxable gain that should provide the Company the ability to utilize previously reserved net capital loss and net operating loss carryforwards. The Company believes that, with the resolution of the tax audit and the successful sale of the Phoenix, Arizona property, the Company will generate sufficient 1999 taxable income to realize the federal capital loss carryforward, a portion of the federal net operating loss carryforward, and the Phoenix, Arizona property tax versus book basis difference prior to their expiration. Accordingly, the Company has recorded a deferred tax asset in the 1998 fourth quarter of approximately $4,398,000. While the Company has determined that realization of such deferred tax assets meets the criteria of more like than not as December 31, 1998, the Company can make no assurance, that the building will be sold and, if sold, such carryforwards will be fully utilized.</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Plan, Capital Resources and Liquidity of the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Cash and cash equivalents to total approximately $4,367,000 at December 31, 1998 as compared to $4,364,000 at December 31, 1998. Net cash used in investing activities amounted to $2,258,000 in the 1998 Fiscal Year and includes leasehold improvements made to rental properties amounting to $588,000, the purchase of farm equipment of $201,000 by Big 4 Farming, LLC, which was purchased in order to provide services to the Agricultural Partnerships pursuant to the Farming Contract described in Footnote 5 to the financial statements included elsewhere herein and a $1,002,000 purchase of Gish securities. Net cash used in financing activities amounted to $836,000 in the 1998 Fiscal Year and resulted from (i) additional borrowings by the Agricultural Partnerships of approximately $1,277,000, offset by $615,000 of agricultural loan repayments, (ii) the amortization of long-term loans of $171,000 and (iii) commissions amounting to approximately $467,000 paid at the time of the extension of the American Express lease described above.</w:t>
      </w:r>
    </w:p>
    <w:p>
      <w:pPr>
        <w:spacing w:after="0" w:line="25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expects that its sources of funds in the near term will include</w:t>
      </w:r>
    </w:p>
    <w:p>
      <w:pPr>
        <w:spacing w:after="0" w:line="33" w:lineRule="exact"/>
        <w:rPr>
          <w:sz w:val="20"/>
          <w:szCs w:val="20"/>
          <w:color w:val="auto"/>
        </w:rPr>
      </w:pPr>
    </w:p>
    <w:p>
      <w:pPr>
        <w:ind w:right="3339" w:firstLine="8"/>
        <w:spacing w:after="0" w:line="267"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on hand and related interest income, (ii) cash proceeds form the sale of the Arboleda building net of the mortgage repayment and estimated federal and state taxes, (iii) cash flow from the operations of its remaining real estate properties (iv) consulting fee income from REI, and (v) a preferred stock dividend, payable quarterly, from REI amounting to approximately $455,000, annually, and (vi) possible refinancing proceeds.</w:t>
      </w:r>
    </w:p>
    <w:p>
      <w:pPr>
        <w:spacing w:after="0" w:line="75" w:lineRule="exact"/>
        <w:rPr>
          <w:sz w:val="20"/>
          <w:szCs w:val="20"/>
          <w:color w:val="auto"/>
        </w:rPr>
      </w:pPr>
    </w:p>
    <w:p>
      <w:pPr>
        <w:jc w:val="both"/>
        <w:ind w:right="3419" w:firstLine="344"/>
        <w:spacing w:after="0" w:line="263" w:lineRule="auto"/>
        <w:rPr>
          <w:sz w:val="20"/>
          <w:szCs w:val="20"/>
          <w:color w:val="auto"/>
        </w:rPr>
      </w:pPr>
      <w:r>
        <w:rPr>
          <w:rFonts w:ascii="Courier New" w:cs="Courier New" w:eastAsia="Courier New" w:hAnsi="Courier New"/>
          <w:sz w:val="14"/>
          <w:szCs w:val="14"/>
          <w:color w:val="auto"/>
        </w:rPr>
        <w:t>In the short term, uses of funds are expected to include (i) funding of the Agricultural Partnerships, (ii) funding of the Glendale Building leasehold and tenant improvements of approximately $1,985,000, (iii) operating expenses, and</w:t>
      </w:r>
    </w:p>
    <w:p>
      <w:pPr>
        <w:spacing w:after="0" w:line="2" w:lineRule="exact"/>
        <w:rPr>
          <w:sz w:val="20"/>
          <w:szCs w:val="20"/>
          <w:color w:val="auto"/>
        </w:rPr>
      </w:pPr>
    </w:p>
    <w:p>
      <w:pPr>
        <w:ind w:right="3419" w:firstLine="8"/>
        <w:spacing w:after="0" w:line="267"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service or possible repayment of the property mortgages. The Company does not expect to have cash flow from its investment in the Agricultural Partnerships in the next several periods due to the results of the freeze described above. As part of the Big 4 Ranch, Inc., spin off, the Company agreed to provide a $200,000 line of credit to that company. To date, no loans have been requested with respect to this commitment.</w:t>
      </w:r>
    </w:p>
    <w:p>
      <w:pPr>
        <w:spacing w:after="0" w:line="75"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Management believes that the Company's sources of funds will be sufficient to meet its cash flow requirements for the foreseeable future. The October 1996 acquisition of the REI Series A Preferred Stock</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22" w:name="page23"/>
    <w:bookmarkEnd w:id="22"/>
    <w:p>
      <w:pPr>
        <w:ind w:right="3339"/>
        <w:spacing w:after="0" w:line="266" w:lineRule="auto"/>
        <w:rPr>
          <w:sz w:val="20"/>
          <w:szCs w:val="20"/>
          <w:color w:val="auto"/>
        </w:rPr>
      </w:pPr>
      <w:r>
        <w:rPr>
          <w:rFonts w:ascii="Courier New" w:cs="Courier New" w:eastAsia="Courier New" w:hAnsi="Courier New"/>
          <w:sz w:val="14"/>
          <w:szCs w:val="14"/>
          <w:color w:val="auto"/>
        </w:rPr>
        <w:t>and the Asset Put Option, provided the Company with the opportunity to make an initial investment in the Beyond-the-Home segment of the entertainment industry, and the ability thereafter, to review the implementation by REI of its business plan and, if it approves of the progress made by REI, to make a further investment in this industry through the exercise of its Asset Put Option to exchange all or substantially all of its assets for REI Series A Common Stock. The Company has the right to require REI to redeem the REI Preferred Stock after October 15, 2001 or sooner if REI fails to pay dividends on such securities for four quarters.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Fiscal 1997 cash and cash equivalent decreased by approximately $1,992,000 from $6,356,000 at December 31, 1996 to $4,364,000 at December 31, 1997. Net cash provided by operating activities amounted to $1,688,000, net cash used in investing activities amount to $741,000 and net cash used in financing activities amounted to $2,939,000. The principal uses of funds included (i) the Company's 40% equity investment in the Big 4 Agricultural Properties (ii) the Company loan of $831,000 to the Agricultural Partnerships (iii) the $1,200,000 capitalization of Big 4 Ranch, Inc., prior to the Company's dividend of Big 4 Ranch, Inc. to its common shareholders, (iv) leasehold improvements amounting to $708,000 and (v) repayments of mortgage loans amounting to $908,000. Principal sources of funds included approximately $1,128,000 received upon the sale of a rental property.</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Fiscal 1996 cash and cash equivalents decreased by approximately $9,935,000 from $16,291,000 at December 31, 1995 to $6,356,000 at December 31, 1996. Net cash provided by investing activities for the year ended December 31, 1996 amounted to $1,460,000 and net cash used in financing activities amounted to approximately $12,305,000. The principal sources of liquid funds in Fiscal 1996 was from the sale of properties amounting to $9,361,000. The principal uses of liquid funds in 1996 included (i) a $7 million investment in its shareholder, Reading, (ii) a $5,883,000 repayment of mortgage loans including $5,690,000 repaid as a result of a rental property sale in May 1996, (iii) the Company's redemption of its Preferred Stock in the amount of $6,190,000, (iv) improvements to rental properties amounting to $504,000 and (v) the payment of preferred stock dividends amounting to $232,000.</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7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As reasonably necessary and appropriate, the Company is conducting an audit of the software and hardware components that it uses to assess whether such components will properly recognize the dates beyond December 31, 1999 ("Year 2000 Compliance"). The Company is also continuing to conduct a review of its major suppliers of goods and services ("service providers") to understand their level of compliance with Year 2000 issues. Both of these reviews are expected to be completed by June 30, 1999.</w:t>
      </w:r>
    </w:p>
    <w:p>
      <w:pPr>
        <w:spacing w:after="0" w:line="72" w:lineRule="exact"/>
        <w:rPr>
          <w:sz w:val="20"/>
          <w:szCs w:val="20"/>
          <w:color w:val="auto"/>
        </w:rPr>
      </w:pPr>
    </w:p>
    <w:p>
      <w:pPr>
        <w:ind w:right="3519" w:firstLine="344"/>
        <w:spacing w:after="0" w:line="268" w:lineRule="auto"/>
        <w:rPr>
          <w:sz w:val="20"/>
          <w:szCs w:val="20"/>
          <w:color w:val="auto"/>
        </w:rPr>
      </w:pPr>
      <w:r>
        <w:rPr>
          <w:rFonts w:ascii="Courier New" w:cs="Courier New" w:eastAsia="Courier New" w:hAnsi="Courier New"/>
          <w:sz w:val="14"/>
          <w:szCs w:val="14"/>
          <w:color w:val="auto"/>
        </w:rPr>
        <w:t>Based on its review to date, the Company does not believe that material problems exist relative to the internal hardware and software utilized, as the Company uses current versions of software provided by major software vendors, and hardware that is less than a year old, for the most part. The Company has adequate financial resources to replace any hardware and/or software that is determined not to be Year 2000 compliant. The costs of addressing Year 2000 compliance has not been, nor is expected to be, material to the Company's financial condition or results of operations.</w:t>
      </w:r>
    </w:p>
    <w:p>
      <w:pPr>
        <w:spacing w:after="0" w:line="74" w:lineRule="exact"/>
        <w:rPr>
          <w:sz w:val="20"/>
          <w:szCs w:val="20"/>
          <w:color w:val="auto"/>
        </w:rPr>
      </w:pPr>
    </w:p>
    <w:p>
      <w:pPr>
        <w:ind w:right="3519" w:firstLine="344"/>
        <w:spacing w:after="0" w:line="263" w:lineRule="auto"/>
        <w:rPr>
          <w:sz w:val="20"/>
          <w:szCs w:val="20"/>
          <w:color w:val="auto"/>
        </w:rPr>
      </w:pPr>
      <w:r>
        <w:rPr>
          <w:rFonts w:ascii="Courier New" w:cs="Courier New" w:eastAsia="Courier New" w:hAnsi="Courier New"/>
          <w:sz w:val="14"/>
          <w:szCs w:val="14"/>
          <w:color w:val="auto"/>
        </w:rPr>
        <w:t>Based on responses received to date, the Company believes that most of its service providers will represent that they are Year 2000 compliant or that formal programs are in place to ensure that they will be year 2000 compliant.</w:t>
      </w:r>
    </w:p>
    <w:p>
      <w:pPr>
        <w:spacing w:after="0" w:line="2"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If in its survey of significant service providers, the Company becomes concerned that one or more providers is not Year 2000 compliant or has what the Company believes to be inadequate programs to become Year 2000 compliant, the Company will take action to reduce or eliminate its reliance upon such service providers or suppliers.</w:t>
      </w:r>
    </w:p>
    <w:p>
      <w:pPr>
        <w:spacing w:after="0" w:line="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From time to time, the Company or its representatives have made or may make forward-looking statements, orally or in writing, including those contained herein. Such forward-looking statements may be included in, without limitation, reports to stockholders, press releases, oral statements made with the approval of an authorized executive officer of the Company and filings with the Securities and Exchange Commission. The words or phrases "anticipates," "expects," "will continue," "estimates," "projects," or similar expressions are intended to identify "forward-looking statements" within the meaning of the Private Securities Litigation Reform Act of 1995.</w:t>
      </w:r>
    </w:p>
    <w:p>
      <w:pPr>
        <w:spacing w:after="0" w:line="74"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The results contemplated by the Company's forward-looking statements are subject to certain risks, trends, and uncertainties that could cause actual results to vary materially from anticipated results, including without limitation, delays in obtaining leases and permits for new multiplex locations, construction risks and delays, the lack of strong film product, the impact of competition, market and other risks associated with the Company's investment activities and other factors described herein.</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The Company has limited exposure to financial market risks, including changes in interest rates. At December 31, 1998, the Company had two mortgage loans bearing interest at 30-day LIBOR plus 4.5% in the aggregate amount of approximately $9,224,000. It is currently anticipated that the mortgage loan secured by the Phoenix, Arizona property will be repaid upon the expected sale of such property in the second quarter of 1999. The remaining mortgage loan, in the amount of $4,991,000 is due and payable in June 2001. The Company is currently considering paying off the mortgage with available cash or refinancing such building at a fixed rate. The Company can make no assurance that such repayment or refinancing of the mortgage loans will occur, however, management believes that exposure to interest rate fluctuations on its variable rate mortgages is manageable as it is anticipated that the outstanding balances will be eventually reduced with long term fixed rate debt or proceeds from real estate sales.</w:t>
      </w:r>
    </w:p>
    <w:p>
      <w:pPr>
        <w:spacing w:after="0" w:line="25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2"/>
        </w:trPr>
        <w:tc>
          <w:tcPr>
            <w:tcW w:w="698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2"/>
        </w:trPr>
        <w:tc>
          <w:tcPr>
            <w:tcW w:w="6980" w:type="dxa"/>
            <w:vAlign w:val="bottom"/>
          </w:tcPr>
          <w:p>
            <w:pPr>
              <w:spacing w:after="0"/>
              <w:rPr>
                <w:sz w:val="20"/>
                <w:szCs w:val="20"/>
                <w:color w:val="auto"/>
              </w:rPr>
            </w:pPr>
            <w:r>
              <w:rPr>
                <w:rFonts w:ascii="Courier New" w:cs="Courier New" w:eastAsia="Courier New" w:hAnsi="Courier New"/>
                <w:sz w:val="14"/>
                <w:szCs w:val="14"/>
                <w:color w:val="auto"/>
              </w:rPr>
              <w:t>INDEX</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42"/>
        </w:trPr>
        <w:tc>
          <w:tcPr>
            <w:tcW w:w="6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Independent Auditors Report.....................................................</w:t>
            </w:r>
          </w:p>
        </w:tc>
        <w:tc>
          <w:tcPr>
            <w:tcW w:w="6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23</w:t>
            </w:r>
          </w:p>
        </w:tc>
        <w:tc>
          <w:tcPr>
            <w:tcW w:w="0" w:type="dxa"/>
            <w:vAlign w:val="bottom"/>
          </w:tcPr>
          <w:p>
            <w:pPr>
              <w:spacing w:after="0"/>
              <w:rPr>
                <w:sz w:val="1"/>
                <w:szCs w:val="1"/>
                <w:color w:val="auto"/>
              </w:rPr>
            </w:pPr>
          </w:p>
        </w:tc>
      </w:tr>
      <w:tr>
        <w:trPr>
          <w:trHeight w:val="255"/>
        </w:trPr>
        <w:tc>
          <w:tcPr>
            <w:tcW w:w="698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60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w w:val="94"/>
              </w:rPr>
              <w:t>24</w:t>
            </w:r>
          </w:p>
        </w:tc>
        <w:tc>
          <w:tcPr>
            <w:tcW w:w="0" w:type="dxa"/>
            <w:vAlign w:val="bottom"/>
          </w:tcPr>
          <w:p>
            <w:pPr>
              <w:spacing w:after="0"/>
              <w:rPr>
                <w:sz w:val="1"/>
                <w:szCs w:val="1"/>
                <w:color w:val="auto"/>
              </w:rPr>
            </w:pPr>
          </w:p>
        </w:tc>
      </w:tr>
      <w:tr>
        <w:trPr>
          <w:trHeight w:val="242"/>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Years Ended December 31, 1998 and 1997........................................</w:t>
            </w: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98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w:t>
            </w:r>
          </w:p>
        </w:tc>
        <w:tc>
          <w:tcPr>
            <w:tcW w:w="60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w w:val="94"/>
              </w:rPr>
              <w:t>25</w:t>
            </w:r>
          </w:p>
        </w:tc>
        <w:tc>
          <w:tcPr>
            <w:tcW w:w="0" w:type="dxa"/>
            <w:vAlign w:val="bottom"/>
          </w:tcPr>
          <w:p>
            <w:pPr>
              <w:spacing w:after="0"/>
              <w:rPr>
                <w:sz w:val="1"/>
                <w:szCs w:val="1"/>
                <w:color w:val="auto"/>
              </w:rPr>
            </w:pPr>
          </w:p>
        </w:tc>
      </w:tr>
      <w:tr>
        <w:trPr>
          <w:trHeight w:val="242"/>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Three Years Ended December 31, 1998...........................................</w:t>
            </w: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98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w:t>
            </w:r>
          </w:p>
        </w:tc>
        <w:tc>
          <w:tcPr>
            <w:tcW w:w="60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w w:val="94"/>
              </w:rPr>
              <w:t>26</w:t>
            </w:r>
          </w:p>
        </w:tc>
        <w:tc>
          <w:tcPr>
            <w:tcW w:w="0" w:type="dxa"/>
            <w:vAlign w:val="bottom"/>
          </w:tcPr>
          <w:p>
            <w:pPr>
              <w:spacing w:after="0"/>
              <w:rPr>
                <w:sz w:val="1"/>
                <w:szCs w:val="1"/>
                <w:color w:val="auto"/>
              </w:rPr>
            </w:pPr>
          </w:p>
        </w:tc>
      </w:tr>
      <w:tr>
        <w:trPr>
          <w:trHeight w:val="242"/>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Three Years Ended December 31, 1998...........................................</w:t>
            </w: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9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60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w w:val="94"/>
              </w:rPr>
              <w:t>27</w:t>
            </w:r>
          </w:p>
        </w:tc>
        <w:tc>
          <w:tcPr>
            <w:tcW w:w="0" w:type="dxa"/>
            <w:vAlign w:val="bottom"/>
          </w:tcPr>
          <w:p>
            <w:pPr>
              <w:spacing w:after="0"/>
              <w:rPr>
                <w:sz w:val="1"/>
                <w:szCs w:val="1"/>
                <w:color w:val="auto"/>
              </w:rPr>
            </w:pPr>
          </w:p>
        </w:tc>
      </w:tr>
      <w:tr>
        <w:trPr>
          <w:trHeight w:val="242"/>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Three Years Ended December 31, 1998...........................................</w:t>
            </w: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28</w:t>
            </w:r>
          </w:p>
        </w:tc>
        <w:tc>
          <w:tcPr>
            <w:tcW w:w="0" w:type="dxa"/>
            <w:vAlign w:val="bottom"/>
          </w:tcPr>
          <w:p>
            <w:pPr>
              <w:spacing w:after="0"/>
              <w:rPr>
                <w:sz w:val="1"/>
                <w:szCs w:val="1"/>
                <w:color w:val="auto"/>
              </w:rPr>
            </w:pP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Financial Statement Schedule - III - Real Estate and Accumulated Depreciation</w:t>
            </w:r>
          </w:p>
        </w:tc>
        <w:tc>
          <w:tcPr>
            <w:tcW w:w="6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43</w:t>
            </w:r>
          </w:p>
        </w:tc>
        <w:tc>
          <w:tcPr>
            <w:tcW w:w="0" w:type="dxa"/>
            <w:vAlign w:val="bottom"/>
          </w:tcPr>
          <w:p>
            <w:pPr>
              <w:spacing w:after="0"/>
              <w:rPr>
                <w:sz w:val="1"/>
                <w:szCs w:val="1"/>
                <w:color w:val="auto"/>
              </w:rPr>
            </w:pPr>
          </w:p>
        </w:tc>
      </w:tr>
      <w:tr>
        <w:trPr>
          <w:trHeight w:val="497"/>
        </w:trPr>
        <w:tc>
          <w:tcPr>
            <w:tcW w:w="6980" w:type="dxa"/>
            <w:vAlign w:val="bottom"/>
          </w:tcPr>
          <w:p>
            <w:pPr>
              <w:ind w:left="3280"/>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5" w:name="page26"/>
    <w:bookmarkEnd w:id="25"/>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Holding Corporation</w:t>
      </w:r>
    </w:p>
    <w:p>
      <w:pPr>
        <w:spacing w:after="0" w:line="312"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We have audited the accompanying consolidated balance sheets of Citadel Holding Corporation and subsidiaries (the "Corporation") as of December 31, 1998 and 1997 and the related consolidated statements of operations, stockholders' equity, and cash flows for each of the three years in the period ended December 31, 1998. Our audits also included the financial statement schedule listed in the Index at Item 8. These financial statements and the financial statement schedule are the responsibility of the Corporation's management. Our responsibility is to express an opinion on these financial statements and the financial statement schedule based on our audits.</w:t>
      </w:r>
    </w:p>
    <w:p>
      <w:pPr>
        <w:spacing w:after="0" w:line="74"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Citadel Holding Corporation and subsidiaries as of December 31, 1998 and 1997, and the consolidated results of their operations and their cash flows for each of the three years in the period ended December 31, 1998,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19, 1999</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0" w:right="1440" w:bottom="1440" w:gutter="0" w:footer="0" w:header="0"/>
        </w:sectPr>
      </w:pPr>
    </w:p>
    <w:bookmarkStart w:id="26" w:name="page27"/>
    <w:bookmarkEnd w:id="26"/>
    <w:p>
      <w:pPr>
        <w:jc w:val="center"/>
        <w:ind w:right="3339"/>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December 31,</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600" w:type="dxa"/>
            <w:vAlign w:val="bottom"/>
            <w:vMerge w:val="restart"/>
          </w:tcPr>
          <w:p>
            <w:pPr>
              <w:spacing w:after="0"/>
              <w:rPr>
                <w:sz w:val="20"/>
                <w:szCs w:val="20"/>
                <w:color w:val="auto"/>
              </w:rPr>
            </w:pPr>
            <w:r>
              <w:rPr>
                <w:rFonts w:ascii="Courier New" w:cs="Courier New" w:eastAsia="Courier New" w:hAnsi="Courier New"/>
                <w:sz w:val="14"/>
                <w:szCs w:val="14"/>
                <w:color w:val="auto"/>
              </w:rPr>
              <w:t>ASSETS</w:t>
            </w:r>
          </w:p>
        </w:tc>
        <w:tc>
          <w:tcPr>
            <w:tcW w:w="52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5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5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4,364</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Property held for sale</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5,908</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Rental properties, less accumulated depreciation</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7,969</w:t>
            </w: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13,652</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Investment in shareholder affiliate</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7,000</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7,000</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Equity investment in and advances to Agriculture Partnerships</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1,561</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1,960</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Investment in Gish Biomedical, Inc.</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Capitalized leasing costs</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1,592</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1,384</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Other receivables</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tax asset, net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4,398</w:t>
            </w:r>
          </w:p>
        </w:tc>
        <w:tc>
          <w:tcPr>
            <w:tcW w:w="1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vMerge w:val="restart"/>
          </w:tcPr>
          <w:p>
            <w:pPr>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vMerge w:val="continue"/>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$35,045</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$28,860</w:t>
            </w:r>
          </w:p>
        </w:tc>
        <w:tc>
          <w:tcPr>
            <w:tcW w:w="0" w:type="dxa"/>
            <w:vAlign w:val="bottom"/>
          </w:tcPr>
          <w:p>
            <w:pPr>
              <w:spacing w:after="0"/>
              <w:rPr>
                <w:sz w:val="1"/>
                <w:szCs w:val="1"/>
                <w:color w:val="auto"/>
              </w:rPr>
            </w:pPr>
          </w:p>
        </w:tc>
      </w:tr>
      <w:tr>
        <w:trPr>
          <w:trHeight w:val="242"/>
        </w:trPr>
        <w:tc>
          <w:tcPr>
            <w:tcW w:w="56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90</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Security deposits payable</w:t>
            </w: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1,362</w:t>
            </w:r>
          </w:p>
        </w:tc>
        <w:tc>
          <w:tcPr>
            <w:tcW w:w="14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1,009</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affiliate</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14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rental revenue</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c>
          <w:tcPr>
            <w:tcW w:w="14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Mortgage notes payable</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w:t>
            </w:r>
          </w:p>
        </w:tc>
        <w:tc>
          <w:tcPr>
            <w:tcW w:w="14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9,395</w:t>
            </w:r>
          </w:p>
        </w:tc>
        <w:tc>
          <w:tcPr>
            <w:tcW w:w="0" w:type="dxa"/>
            <w:vAlign w:val="bottom"/>
          </w:tcPr>
          <w:p>
            <w:pPr>
              <w:spacing w:after="0"/>
              <w:rPr>
                <w:sz w:val="1"/>
                <w:szCs w:val="1"/>
                <w:color w:val="auto"/>
              </w:rPr>
            </w:pPr>
          </w:p>
        </w:tc>
      </w:tr>
      <w:tr>
        <w:trPr>
          <w:trHeight w:val="166"/>
        </w:trPr>
        <w:tc>
          <w:tcPr>
            <w:tcW w:w="56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6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11,304</w:t>
            </w:r>
          </w:p>
        </w:tc>
        <w:tc>
          <w:tcPr>
            <w:tcW w:w="14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10,806</w:t>
            </w:r>
          </w:p>
        </w:tc>
        <w:tc>
          <w:tcPr>
            <w:tcW w:w="0" w:type="dxa"/>
            <w:vAlign w:val="bottom"/>
          </w:tcPr>
          <w:p>
            <w:pPr>
              <w:spacing w:after="0"/>
              <w:rPr>
                <w:sz w:val="1"/>
                <w:szCs w:val="1"/>
                <w:color w:val="auto"/>
              </w:rPr>
            </w:pP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spacing w:after="0"/>
              <w:rPr>
                <w:sz w:val="22"/>
                <w:szCs w:val="22"/>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22"/>
                <w:szCs w:val="22"/>
                <w:color w:val="auto"/>
              </w:rPr>
            </w:pPr>
          </w:p>
        </w:tc>
        <w:tc>
          <w:tcPr>
            <w:tcW w:w="6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Serial preferred stock, par value $.01, 5,000,000 shares</w:t>
            </w: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0" w:type="dxa"/>
            <w:vAlign w:val="bottom"/>
          </w:tcPr>
          <w:p>
            <w:pPr>
              <w:ind w:left="100"/>
              <w:spacing w:after="0"/>
              <w:rPr>
                <w:sz w:val="20"/>
                <w:szCs w:val="20"/>
                <w:color w:val="auto"/>
              </w:rPr>
            </w:pPr>
            <w:r>
              <w:rPr>
                <w:rFonts w:ascii="Courier New" w:cs="Courier New" w:eastAsia="Courier New" w:hAnsi="Courier New"/>
                <w:sz w:val="14"/>
                <w:szCs w:val="14"/>
                <w:color w:val="auto"/>
              </w:rPr>
              <w:t>authorized, 3% Cumulative Voting Convertible, none</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60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Courier New" w:cs="Courier New" w:eastAsia="Courier New" w:hAnsi="Courier New"/>
                <w:sz w:val="14"/>
                <w:szCs w:val="14"/>
                <w:color w:val="auto"/>
              </w:rPr>
              <w:t>Serial preferred stock, par value $.01, 5,000,000 shares</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authorized, 3% Cumulative Voting Convertible, none</w:t>
            </w:r>
          </w:p>
        </w:tc>
        <w:tc>
          <w:tcPr>
            <w:tcW w:w="52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6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6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4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Common stock, par value $.01, 20,000,000 shares authorized,</w:t>
            </w:r>
          </w:p>
        </w:tc>
        <w:tc>
          <w:tcPr>
            <w:tcW w:w="520" w:type="dxa"/>
            <w:vAlign w:val="bottom"/>
          </w:tcPr>
          <w:p>
            <w:pPr>
              <w:spacing w:after="0"/>
              <w:rPr>
                <w:sz w:val="22"/>
                <w:szCs w:val="22"/>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67</w:t>
            </w:r>
          </w:p>
        </w:tc>
        <w:tc>
          <w:tcPr>
            <w:tcW w:w="1480" w:type="dxa"/>
            <w:vAlign w:val="bottom"/>
          </w:tcPr>
          <w:p>
            <w:pPr>
              <w:spacing w:after="0"/>
              <w:rPr>
                <w:sz w:val="22"/>
                <w:szCs w:val="22"/>
                <w:color w:val="auto"/>
              </w:rPr>
            </w:pPr>
          </w:p>
        </w:tc>
        <w:tc>
          <w:tcPr>
            <w:tcW w:w="6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67</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6,669,924 shares issued and outstanding</w:t>
            </w: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59,603</w:t>
            </w:r>
          </w:p>
        </w:tc>
        <w:tc>
          <w:tcPr>
            <w:tcW w:w="14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59,603</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Accumulated deficit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(33,931)</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(39,618)</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Note receivable from shareholder upon common stock</w:t>
            </w:r>
          </w:p>
        </w:tc>
        <w:tc>
          <w:tcPr>
            <w:tcW w:w="5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(1,998)</w:t>
            </w:r>
          </w:p>
        </w:tc>
        <w:tc>
          <w:tcPr>
            <w:tcW w:w="14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(1,998)</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0" w:type="dxa"/>
            <w:vAlign w:val="bottom"/>
            <w:vMerge w:val="restart"/>
          </w:tcPr>
          <w:p>
            <w:pPr>
              <w:spacing w:after="0"/>
              <w:rPr>
                <w:sz w:val="20"/>
                <w:szCs w:val="20"/>
                <w:color w:val="auto"/>
              </w:rPr>
            </w:pPr>
            <w:r>
              <w:rPr>
                <w:rFonts w:ascii="Courier New" w:cs="Courier New" w:eastAsia="Courier New" w:hAnsi="Courier New"/>
                <w:sz w:val="14"/>
                <w:szCs w:val="14"/>
                <w:color w:val="auto"/>
              </w:rPr>
              <w:t>Total stockholders' equity</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23,741</w:t>
            </w:r>
          </w:p>
        </w:tc>
        <w:tc>
          <w:tcPr>
            <w:tcW w:w="14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18,054</w:t>
            </w:r>
          </w:p>
        </w:tc>
        <w:tc>
          <w:tcPr>
            <w:tcW w:w="0" w:type="dxa"/>
            <w:vAlign w:val="bottom"/>
          </w:tcPr>
          <w:p>
            <w:pPr>
              <w:spacing w:after="0"/>
              <w:rPr>
                <w:sz w:val="1"/>
                <w:szCs w:val="1"/>
                <w:color w:val="auto"/>
              </w:rPr>
            </w:pPr>
          </w:p>
        </w:tc>
      </w:tr>
      <w:tr>
        <w:trPr>
          <w:trHeight w:val="166"/>
        </w:trPr>
        <w:tc>
          <w:tcPr>
            <w:tcW w:w="5600" w:type="dxa"/>
            <w:vAlign w:val="bottom"/>
            <w:vMerge w:val="restart"/>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0" w:type="dxa"/>
            <w:vAlign w:val="bottom"/>
            <w:vMerge w:val="continue"/>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$35,045</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$28,860</w:t>
            </w:r>
          </w:p>
        </w:tc>
        <w:tc>
          <w:tcPr>
            <w:tcW w:w="0" w:type="dxa"/>
            <w:vAlign w:val="bottom"/>
          </w:tcPr>
          <w:p>
            <w:pPr>
              <w:spacing w:after="0"/>
              <w:rPr>
                <w:sz w:val="1"/>
                <w:szCs w:val="1"/>
                <w:color w:val="auto"/>
              </w:rPr>
            </w:pPr>
          </w:p>
        </w:tc>
      </w:tr>
      <w:tr>
        <w:trPr>
          <w:trHeight w:val="242"/>
        </w:trPr>
        <w:tc>
          <w:tcPr>
            <w:tcW w:w="56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590" w:right="1440" w:bottom="1440" w:gutter="0" w:footer="0" w:header="0"/>
        </w:sectPr>
      </w:pPr>
    </w:p>
    <w:bookmarkStart w:id="27" w:name="page28"/>
    <w:bookmarkEnd w:id="27"/>
    <w:p>
      <w:pPr>
        <w:ind w:left="15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tbl>
      <w:tblPr>
        <w:tblLayout w:type="fixed"/>
        <w:tblInd w:w="1740" w:type="dxa"/>
        <w:tblCellMar>
          <w:top w:w="0" w:type="dxa"/>
          <w:left w:w="0" w:type="dxa"/>
          <w:bottom w:w="0" w:type="dxa"/>
          <w:right w:w="0" w:type="dxa"/>
        </w:tblCellMar>
      </w:tblPr>
      <w:tr>
        <w:trPr>
          <w:trHeight w:val="242"/>
        </w:trPr>
        <w:tc>
          <w:tcPr>
            <w:tcW w:w="3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 thousands, except per share amounts)</w:t>
            </w:r>
          </w:p>
        </w:tc>
        <w:tc>
          <w:tcPr>
            <w:tcW w:w="2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2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 December 31,</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6"/>
        </w:trPr>
        <w:tc>
          <w:tcPr>
            <w:tcW w:w="3560" w:type="dxa"/>
            <w:vAlign w:val="bottom"/>
            <w:vMerge w:val="continue"/>
          </w:tcPr>
          <w:p>
            <w:pPr>
              <w:spacing w:after="0"/>
              <w:rPr>
                <w:sz w:val="14"/>
                <w:szCs w:val="14"/>
                <w:color w:val="auto"/>
              </w:rPr>
            </w:pP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1997</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00" w:type="dxa"/>
            <w:vAlign w:val="bottom"/>
            <w:gridSpan w:val="2"/>
            <w:vMerge w:val="restart"/>
          </w:tcPr>
          <w:p>
            <w:pPr>
              <w:jc w:val="right"/>
              <w:ind w:right="408"/>
              <w:spacing w:after="0"/>
              <w:rPr>
                <w:sz w:val="20"/>
                <w:szCs w:val="20"/>
                <w:color w:val="auto"/>
              </w:rPr>
            </w:pPr>
            <w:r>
              <w:rPr>
                <w:rFonts w:ascii="Courier New" w:cs="Courier New" w:eastAsia="Courier New" w:hAnsi="Courier New"/>
                <w:sz w:val="14"/>
                <w:szCs w:val="14"/>
                <w:color w:val="auto"/>
              </w:rPr>
              <w:t>$ 5,478</w:t>
            </w:r>
          </w:p>
        </w:tc>
        <w:tc>
          <w:tcPr>
            <w:tcW w:w="1460" w:type="dxa"/>
            <w:vAlign w:val="bottom"/>
            <w:gridSpan w:val="2"/>
            <w:vMerge w:val="restart"/>
          </w:tcPr>
          <w:p>
            <w:pPr>
              <w:jc w:val="right"/>
              <w:ind w:right="388"/>
              <w:spacing w:after="0"/>
              <w:rPr>
                <w:sz w:val="20"/>
                <w:szCs w:val="20"/>
                <w:color w:val="auto"/>
              </w:rPr>
            </w:pPr>
            <w:r>
              <w:rPr>
                <w:rFonts w:ascii="Courier New" w:cs="Courier New" w:eastAsia="Courier New" w:hAnsi="Courier New"/>
                <w:sz w:val="14"/>
                <w:szCs w:val="14"/>
                <w:color w:val="auto"/>
              </w:rPr>
              <w:t>$ 5,110</w:t>
            </w:r>
          </w:p>
        </w:tc>
        <w:tc>
          <w:tcPr>
            <w:tcW w:w="108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$ 4,932</w:t>
            </w:r>
          </w:p>
        </w:tc>
        <w:tc>
          <w:tcPr>
            <w:tcW w:w="0" w:type="dxa"/>
            <w:vAlign w:val="bottom"/>
          </w:tcPr>
          <w:p>
            <w:pPr>
              <w:spacing w:after="0"/>
              <w:rPr>
                <w:sz w:val="1"/>
                <w:szCs w:val="1"/>
                <w:color w:val="auto"/>
              </w:rPr>
            </w:pPr>
          </w:p>
        </w:tc>
      </w:tr>
      <w:tr>
        <w:trPr>
          <w:trHeight w:val="166"/>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Rental income</w:t>
            </w:r>
          </w:p>
        </w:tc>
        <w:tc>
          <w:tcPr>
            <w:tcW w:w="150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Farming management fee</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Consulting fees from shareholder</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398</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240</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5,985</w:t>
            </w:r>
          </w:p>
        </w:tc>
        <w:tc>
          <w:tcPr>
            <w:tcW w:w="520" w:type="dxa"/>
            <w:vAlign w:val="bottom"/>
          </w:tcPr>
          <w:p>
            <w:pPr>
              <w:spacing w:after="0"/>
              <w:rPr>
                <w:sz w:val="21"/>
                <w:szCs w:val="21"/>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5,350</w:t>
            </w:r>
          </w:p>
        </w:tc>
        <w:tc>
          <w:tcPr>
            <w:tcW w:w="52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5,101</w:t>
            </w:r>
          </w:p>
        </w:tc>
        <w:tc>
          <w:tcPr>
            <w:tcW w:w="0" w:type="dxa"/>
            <w:vAlign w:val="bottom"/>
          </w:tcPr>
          <w:p>
            <w:pPr>
              <w:spacing w:after="0"/>
              <w:rPr>
                <w:sz w:val="1"/>
                <w:szCs w:val="1"/>
                <w:color w:val="auto"/>
              </w:rPr>
            </w:pPr>
          </w:p>
        </w:tc>
      </w:tr>
      <w:tr>
        <w:trPr>
          <w:trHeight w:val="255"/>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Real estate operating expenses</w:t>
            </w:r>
          </w:p>
        </w:tc>
        <w:tc>
          <w:tcPr>
            <w:tcW w:w="560" w:type="dxa"/>
            <w:vAlign w:val="bottom"/>
          </w:tcPr>
          <w:p>
            <w:pPr>
              <w:spacing w:after="0"/>
              <w:rPr>
                <w:sz w:val="22"/>
                <w:szCs w:val="22"/>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2,279</w:t>
            </w:r>
          </w:p>
        </w:tc>
        <w:tc>
          <w:tcPr>
            <w:tcW w:w="520" w:type="dxa"/>
            <w:vAlign w:val="bottom"/>
          </w:tcPr>
          <w:p>
            <w:pPr>
              <w:spacing w:after="0"/>
              <w:rPr>
                <w:sz w:val="22"/>
                <w:szCs w:val="22"/>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2,090</w:t>
            </w:r>
          </w:p>
        </w:tc>
        <w:tc>
          <w:tcPr>
            <w:tcW w:w="52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2,481</w:t>
            </w:r>
          </w:p>
        </w:tc>
        <w:tc>
          <w:tcPr>
            <w:tcW w:w="0" w:type="dxa"/>
            <w:vAlign w:val="bottom"/>
          </w:tcPr>
          <w:p>
            <w:pPr>
              <w:spacing w:after="0"/>
              <w:rPr>
                <w:sz w:val="1"/>
                <w:szCs w:val="1"/>
                <w:color w:val="auto"/>
              </w:rPr>
            </w:pPr>
          </w:p>
        </w:tc>
      </w:tr>
      <w:tr>
        <w:trPr>
          <w:trHeight w:val="166"/>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414</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391</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c>
          <w:tcPr>
            <w:tcW w:w="0" w:type="dxa"/>
            <w:vAlign w:val="bottom"/>
          </w:tcPr>
          <w:p>
            <w:pPr>
              <w:spacing w:after="0"/>
              <w:rPr>
                <w:sz w:val="1"/>
                <w:szCs w:val="1"/>
                <w:color w:val="auto"/>
              </w:rPr>
            </w:pPr>
          </w:p>
        </w:tc>
      </w:tr>
      <w:tr>
        <w:trPr>
          <w:trHeight w:val="166"/>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Interest expense</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977</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1,009</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1,317</w:t>
            </w:r>
          </w:p>
        </w:tc>
        <w:tc>
          <w:tcPr>
            <w:tcW w:w="0" w:type="dxa"/>
            <w:vAlign w:val="bottom"/>
          </w:tcPr>
          <w:p>
            <w:pPr>
              <w:spacing w:after="0"/>
              <w:rPr>
                <w:sz w:val="1"/>
                <w:szCs w:val="1"/>
                <w:color w:val="auto"/>
              </w:rPr>
            </w:pPr>
          </w:p>
        </w:tc>
      </w:tr>
      <w:tr>
        <w:trPr>
          <w:trHeight w:val="166"/>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General and administrative expenses</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1,297</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1,175</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914</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4,967</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4,665</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5,107</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14"/>
                <w:szCs w:val="14"/>
                <w:color w:val="auto"/>
              </w:rPr>
              <w:t>Gain (loss) on sale of properties</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1,493</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222</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326</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Dividends from investment in Reading</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455</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455</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Loss from investment in and advances to</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(990)</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Agriculture Partnerships</w:t>
            </w:r>
          </w:p>
        </w:tc>
        <w:tc>
          <w:tcPr>
            <w:tcW w:w="560" w:type="dxa"/>
            <w:vAlign w:val="bottom"/>
          </w:tcPr>
          <w:p>
            <w:pPr>
              <w:spacing w:after="0"/>
              <w:rPr>
                <w:sz w:val="14"/>
                <w:szCs w:val="14"/>
                <w:color w:val="auto"/>
              </w:rPr>
            </w:pPr>
          </w:p>
        </w:tc>
        <w:tc>
          <w:tcPr>
            <w:tcW w:w="9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169</w:t>
            </w:r>
          </w:p>
        </w:tc>
        <w:tc>
          <w:tcPr>
            <w:tcW w:w="52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125</w:t>
            </w:r>
          </w:p>
        </w:tc>
        <w:tc>
          <w:tcPr>
            <w:tcW w:w="52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income from shareholder</w:t>
            </w:r>
          </w:p>
        </w:tc>
        <w:tc>
          <w:tcPr>
            <w:tcW w:w="5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Gain (loss) of and write-down of</w:t>
            </w:r>
          </w:p>
        </w:tc>
        <w:tc>
          <w:tcPr>
            <w:tcW w:w="560" w:type="dxa"/>
            <w:vAlign w:val="bottom"/>
          </w:tcPr>
          <w:p>
            <w:pPr>
              <w:spacing w:after="0"/>
              <w:rPr>
                <w:sz w:val="14"/>
                <w:szCs w:val="14"/>
                <w:color w:val="auto"/>
              </w:rPr>
            </w:pPr>
          </w:p>
        </w:tc>
        <w:tc>
          <w:tcPr>
            <w:tcW w:w="9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4,000</w:t>
            </w:r>
          </w:p>
        </w:tc>
        <w:tc>
          <w:tcPr>
            <w:tcW w:w="0" w:type="dxa"/>
            <w:vAlign w:val="bottom"/>
          </w:tcPr>
          <w:p>
            <w:pPr>
              <w:spacing w:after="0"/>
              <w:rPr>
                <w:sz w:val="1"/>
                <w:szCs w:val="1"/>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investment in Fidelity</w:t>
            </w:r>
          </w:p>
        </w:tc>
        <w:tc>
          <w:tcPr>
            <w:tcW w:w="5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1"/>
                <w:szCs w:val="21"/>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Courier New" w:cs="Courier New" w:eastAsia="Courier New" w:hAnsi="Courier New"/>
                <w:sz w:val="14"/>
                <w:szCs w:val="14"/>
                <w:color w:val="auto"/>
              </w:rPr>
              <w:t>Earnings before minority interest and taxes</w:t>
            </w:r>
          </w:p>
        </w:tc>
        <w:tc>
          <w:tcPr>
            <w:tcW w:w="560" w:type="dxa"/>
            <w:vAlign w:val="bottom"/>
          </w:tcPr>
          <w:p>
            <w:pPr>
              <w:spacing w:after="0"/>
              <w:rPr>
                <w:sz w:val="22"/>
                <w:szCs w:val="22"/>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874</w:t>
            </w:r>
          </w:p>
        </w:tc>
        <w:tc>
          <w:tcPr>
            <w:tcW w:w="520" w:type="dxa"/>
            <w:vAlign w:val="bottom"/>
          </w:tcPr>
          <w:p>
            <w:pPr>
              <w:spacing w:after="0"/>
              <w:rPr>
                <w:sz w:val="22"/>
                <w:szCs w:val="22"/>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1,575</w:t>
            </w:r>
          </w:p>
        </w:tc>
        <w:tc>
          <w:tcPr>
            <w:tcW w:w="52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6,426</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14"/>
                <w:szCs w:val="14"/>
                <w:color w:val="auto"/>
              </w:rPr>
              <w:t>Earnings before taxes</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859</w:t>
            </w:r>
          </w:p>
        </w:tc>
        <w:tc>
          <w:tcPr>
            <w:tcW w:w="52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1,575</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6,426</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5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4,828</w:t>
            </w:r>
          </w:p>
        </w:tc>
        <w:tc>
          <w:tcPr>
            <w:tcW w:w="52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14"/>
                <w:szCs w:val="14"/>
                <w:color w:val="auto"/>
              </w:rPr>
              <w:t>Net earnings</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32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5,687</w:t>
            </w:r>
          </w:p>
        </w:tc>
        <w:tc>
          <w:tcPr>
            <w:tcW w:w="520" w:type="dxa"/>
            <w:vAlign w:val="bottom"/>
          </w:tcPr>
          <w:p>
            <w:pPr>
              <w:spacing w:after="0"/>
              <w:rPr>
                <w:sz w:val="21"/>
                <w:szCs w:val="21"/>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1,530</w:t>
            </w:r>
          </w:p>
        </w:tc>
        <w:tc>
          <w:tcPr>
            <w:tcW w:w="52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6,426</w:t>
            </w: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Courier New" w:cs="Courier New" w:eastAsia="Courier New" w:hAnsi="Courier New"/>
                <w:sz w:val="14"/>
                <w:szCs w:val="14"/>
                <w:color w:val="auto"/>
              </w:rPr>
              <w:t>Less:  Preferred stock dividends</w:t>
            </w:r>
          </w:p>
        </w:tc>
        <w:tc>
          <w:tcPr>
            <w:tcW w:w="560" w:type="dxa"/>
            <w:vAlign w:val="bottom"/>
          </w:tcPr>
          <w:p>
            <w:pPr>
              <w:spacing w:after="0"/>
              <w:rPr>
                <w:sz w:val="22"/>
                <w:szCs w:val="22"/>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2"/>
                <w:szCs w:val="22"/>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14"/>
                <w:szCs w:val="14"/>
                <w:color w:val="auto"/>
              </w:rPr>
              <w:t>Net earnings available to common stockholders</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$ 5,687</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$ 1,530</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$ 6,268</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14"/>
                <w:szCs w:val="14"/>
                <w:color w:val="auto"/>
              </w:rPr>
              <w:t>Basic earnings per share</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14"/>
                <w:szCs w:val="14"/>
                <w:color w:val="auto"/>
              </w:rPr>
              <w:t>Diluted earnings per share</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0.78</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1"/>
                <w:szCs w:val="21"/>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90" w:right="1440" w:bottom="1440" w:gutter="0" w:footer="0" w:header="0"/>
        </w:sectPr>
      </w:pPr>
    </w:p>
    <w:bookmarkStart w:id="28" w:name="page29"/>
    <w:bookmarkEnd w:id="28"/>
    <w:p>
      <w:pPr>
        <w:ind w:left="148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THREE YEARS ENDED DECEMBER 31,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80" w:type="dxa"/>
            <w:vAlign w:val="bottom"/>
          </w:tcPr>
          <w:p>
            <w:pPr>
              <w:spacing w:after="0"/>
              <w:rPr>
                <w:sz w:val="21"/>
                <w:szCs w:val="21"/>
                <w:color w:val="auto"/>
              </w:rPr>
            </w:pPr>
          </w:p>
        </w:tc>
        <w:tc>
          <w:tcPr>
            <w:tcW w:w="4220" w:type="dxa"/>
            <w:vAlign w:val="bottom"/>
            <w:gridSpan w:val="6"/>
          </w:tcPr>
          <w:p>
            <w:pPr>
              <w:jc w:val="right"/>
              <w:ind w:right="368"/>
              <w:spacing w:after="0"/>
              <w:rPr>
                <w:sz w:val="20"/>
                <w:szCs w:val="20"/>
                <w:color w:val="auto"/>
              </w:rPr>
            </w:pPr>
            <w:r>
              <w:rPr>
                <w:rFonts w:ascii="Courier New" w:cs="Courier New" w:eastAsia="Courier New" w:hAnsi="Courier New"/>
                <w:sz w:val="14"/>
                <w:szCs w:val="14"/>
                <w:color w:val="auto"/>
              </w:rPr>
              <w:t>(In thousands of dollars, except share data)</w:t>
            </w: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Note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2280" w:type="dxa"/>
            <w:vAlign w:val="bottom"/>
            <w:gridSpan w:val="3"/>
            <w:vMerge w:val="restart"/>
          </w:tcPr>
          <w:p>
            <w:pPr>
              <w:jc w:val="right"/>
              <w:ind w:right="328"/>
              <w:spacing w:after="0"/>
              <w:rPr>
                <w:sz w:val="20"/>
                <w:szCs w:val="20"/>
                <w:color w:val="auto"/>
              </w:rPr>
            </w:pPr>
            <w:r>
              <w:rPr>
                <w:rFonts w:ascii="Courier New" w:cs="Courier New" w:eastAsia="Courier New" w:hAnsi="Courier New"/>
                <w:sz w:val="14"/>
                <w:szCs w:val="14"/>
                <w:color w:val="auto"/>
              </w:rPr>
              <w:t>Preferred Stock</w:t>
            </w:r>
          </w:p>
        </w:tc>
        <w:tc>
          <w:tcPr>
            <w:tcW w:w="1420" w:type="dxa"/>
            <w:vAlign w:val="bottom"/>
            <w:gridSpan w:val="2"/>
            <w:vMerge w:val="restart"/>
          </w:tcPr>
          <w:p>
            <w:pPr>
              <w:ind w:left="380"/>
              <w:spacing w:after="0"/>
              <w:rPr>
                <w:sz w:val="20"/>
                <w:szCs w:val="20"/>
                <w:color w:val="auto"/>
              </w:rPr>
            </w:pPr>
            <w:r>
              <w:rPr>
                <w:rFonts w:ascii="Courier New" w:cs="Courier New" w:eastAsia="Courier New" w:hAnsi="Courier New"/>
                <w:sz w:val="14"/>
                <w:szCs w:val="14"/>
                <w:color w:val="auto"/>
              </w:rPr>
              <w:t>Common Stock</w:t>
            </w:r>
          </w:p>
        </w:tc>
        <w:tc>
          <w:tcPr>
            <w:tcW w:w="520" w:type="dxa"/>
            <w:vAlign w:val="bottom"/>
          </w:tcPr>
          <w:p>
            <w:pPr>
              <w:spacing w:after="0"/>
              <w:rPr>
                <w:sz w:val="14"/>
                <w:szCs w:val="14"/>
                <w:color w:val="auto"/>
              </w:rPr>
            </w:pPr>
          </w:p>
        </w:tc>
        <w:tc>
          <w:tcPr>
            <w:tcW w:w="11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2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Receivable</w:t>
            </w:r>
          </w:p>
        </w:tc>
        <w:tc>
          <w:tcPr>
            <w:tcW w:w="940" w:type="dxa"/>
            <w:vAlign w:val="bottom"/>
            <w:gridSpan w:val="2"/>
            <w:vMerge w:val="restart"/>
          </w:tcPr>
          <w:p>
            <w:pPr>
              <w:ind w:left="80"/>
              <w:spacing w:after="0"/>
              <w:rPr>
                <w:sz w:val="20"/>
                <w:szCs w:val="20"/>
                <w:color w:val="auto"/>
              </w:rPr>
            </w:pPr>
            <w:r>
              <w:rPr>
                <w:rFonts w:ascii="Courier New" w:cs="Courier New" w:eastAsia="Courier New" w:hAnsi="Courier New"/>
                <w:sz w:val="14"/>
                <w:szCs w:val="14"/>
                <w:color w:val="auto"/>
              </w:rPr>
              <w:t>Treasury</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22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from</w:t>
            </w:r>
          </w:p>
        </w:tc>
        <w:tc>
          <w:tcPr>
            <w:tcW w:w="940" w:type="dxa"/>
            <w:vAlign w:val="bottom"/>
            <w:gridSpan w:val="2"/>
            <w:vMerge w:val="continue"/>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Courier New" w:cs="Courier New" w:eastAsia="Courier New" w:hAnsi="Courier New"/>
                <w:sz w:val="11"/>
                <w:szCs w:val="11"/>
                <w:color w:val="auto"/>
                <w:w w:val="77"/>
                <w:vertAlign w:val="subscript"/>
              </w:rPr>
              <w:t>Shares</w:t>
            </w:r>
            <w:r>
              <w:rPr>
                <w:rFonts w:ascii="Courier New" w:cs="Courier New" w:eastAsia="Courier New" w:hAnsi="Courier New"/>
                <w:sz w:val="8"/>
                <w:szCs w:val="8"/>
                <w:color w:val="auto"/>
                <w:w w:val="77"/>
              </w:rPr>
              <w:t>---------------</w:t>
            </w: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Par Value</w:t>
            </w:r>
          </w:p>
        </w:tc>
        <w:tc>
          <w:tcPr>
            <w:tcW w:w="14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Stock-</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Stock, at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holders'</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Shares</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Par Value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8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holder</w:t>
            </w: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9560" w:type="dxa"/>
            <w:vAlign w:val="bottom"/>
            <w:gridSpan w:val="13"/>
          </w:tcPr>
          <w:p>
            <w:pPr>
              <w:ind w:left="5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January  1, 1996</w:t>
            </w:r>
          </w:p>
        </w:tc>
        <w:tc>
          <w:tcPr>
            <w:tcW w:w="128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1,329</w:t>
            </w:r>
          </w:p>
        </w:tc>
        <w:tc>
          <w:tcPr>
            <w:tcW w:w="22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6,670</w:t>
            </w:r>
          </w:p>
        </w:tc>
        <w:tc>
          <w:tcPr>
            <w:tcW w:w="5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83"/>
              </w:rPr>
              <w:t>67</w:t>
            </w: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$65,197</w:t>
            </w:r>
          </w:p>
        </w:tc>
        <w:tc>
          <w:tcPr>
            <w:tcW w:w="12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$(46,142)</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vMerge w:val="restart"/>
          </w:tcPr>
          <w:p>
            <w:pPr>
              <w:jc w:val="right"/>
              <w:ind w:right="88"/>
              <w:spacing w:after="0"/>
              <w:rPr>
                <w:sz w:val="20"/>
                <w:szCs w:val="20"/>
                <w:color w:val="auto"/>
              </w:rPr>
            </w:pPr>
            <w:r>
              <w:rPr>
                <w:rFonts w:ascii="Courier New" w:cs="Courier New" w:eastAsia="Courier New" w:hAnsi="Courier New"/>
                <w:sz w:val="14"/>
                <w:szCs w:val="14"/>
                <w:color w:val="auto"/>
              </w:rPr>
              <w:t>$(1,415)</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$17,720</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4"/>
                <w:szCs w:val="14"/>
                <w:color w:val="auto"/>
              </w:rPr>
              <w:t>Redemption of</w:t>
            </w:r>
          </w:p>
        </w:tc>
        <w:tc>
          <w:tcPr>
            <w:tcW w:w="128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(1,329)</w:t>
            </w:r>
          </w:p>
        </w:tc>
        <w:tc>
          <w:tcPr>
            <w:tcW w:w="220" w:type="dxa"/>
            <w:vAlign w:val="bottom"/>
          </w:tcPr>
          <w:p>
            <w:pPr>
              <w:spacing w:after="0"/>
              <w:rPr>
                <w:sz w:val="22"/>
                <w:szCs w:val="22"/>
                <w:color w:val="auto"/>
              </w:rPr>
            </w:pP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(6,177)</w:t>
            </w: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(6,190)</w:t>
            </w:r>
          </w:p>
        </w:tc>
        <w:tc>
          <w:tcPr>
            <w:tcW w:w="0" w:type="dxa"/>
            <w:vAlign w:val="bottom"/>
          </w:tcPr>
          <w:p>
            <w:pPr>
              <w:spacing w:after="0"/>
              <w:rPr>
                <w:sz w:val="1"/>
                <w:szCs w:val="1"/>
                <w:color w:val="auto"/>
              </w:rPr>
            </w:pPr>
          </w:p>
        </w:tc>
      </w:tr>
      <w:tr>
        <w:trPr>
          <w:trHeight w:val="242"/>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6,426</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6,426</w:t>
            </w: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(232)</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(232)</w:t>
            </w:r>
          </w:p>
        </w:tc>
        <w:tc>
          <w:tcPr>
            <w:tcW w:w="0" w:type="dxa"/>
            <w:vAlign w:val="bottom"/>
          </w:tcPr>
          <w:p>
            <w:pPr>
              <w:spacing w:after="0"/>
              <w:rPr>
                <w:sz w:val="1"/>
                <w:szCs w:val="1"/>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280" w:type="dxa"/>
            <w:vAlign w:val="bottom"/>
          </w:tcPr>
          <w:p>
            <w:pPr>
              <w:spacing w:after="0"/>
              <w:rPr>
                <w:sz w:val="14"/>
                <w:szCs w:val="14"/>
                <w:color w:val="auto"/>
              </w:rPr>
            </w:pPr>
          </w:p>
        </w:tc>
        <w:tc>
          <w:tcPr>
            <w:tcW w:w="1000" w:type="dxa"/>
            <w:vAlign w:val="bottom"/>
            <w:gridSpan w:val="2"/>
            <w:vMerge w:val="restart"/>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continue"/>
          </w:tcPr>
          <w:p>
            <w:pPr>
              <w:spacing w:after="0"/>
              <w:rPr>
                <w:sz w:val="14"/>
                <w:szCs w:val="14"/>
                <w:color w:val="auto"/>
              </w:rPr>
            </w:pPr>
          </w:p>
        </w:tc>
        <w:tc>
          <w:tcPr>
            <w:tcW w:w="1080" w:type="dxa"/>
            <w:vAlign w:val="bottom"/>
            <w:gridSpan w:val="2"/>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4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w:t>
            </w:r>
          </w:p>
        </w:tc>
        <w:tc>
          <w:tcPr>
            <w:tcW w:w="12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December 31,</w:t>
            </w:r>
          </w:p>
        </w:tc>
        <w:tc>
          <w:tcPr>
            <w:tcW w:w="128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6,670</w:t>
            </w:r>
          </w:p>
        </w:tc>
        <w:tc>
          <w:tcPr>
            <w:tcW w:w="560" w:type="dxa"/>
            <w:vAlign w:val="bottom"/>
          </w:tcPr>
          <w:p>
            <w:pPr>
              <w:spacing w:after="0"/>
              <w:rPr>
                <w:sz w:val="14"/>
                <w:szCs w:val="14"/>
                <w:color w:val="auto"/>
              </w:rPr>
            </w:pPr>
          </w:p>
        </w:tc>
        <w:tc>
          <w:tcPr>
            <w:tcW w:w="5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83"/>
              </w:rPr>
              <w:t>67</w:t>
            </w: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59,020</w:t>
            </w:r>
          </w:p>
        </w:tc>
        <w:tc>
          <w:tcPr>
            <w:tcW w:w="12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(39,948)</w:t>
            </w:r>
          </w:p>
        </w:tc>
        <w:tc>
          <w:tcPr>
            <w:tcW w:w="220" w:type="dxa"/>
            <w:vAlign w:val="bottom"/>
          </w:tcPr>
          <w:p>
            <w:pPr>
              <w:spacing w:after="0"/>
              <w:rPr>
                <w:sz w:val="14"/>
                <w:szCs w:val="14"/>
                <w:color w:val="auto"/>
              </w:rPr>
            </w:pPr>
          </w:p>
        </w:tc>
        <w:tc>
          <w:tcPr>
            <w:tcW w:w="8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w w:val="98"/>
              </w:rPr>
              <w:t>(1,415)</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17,724</w:t>
            </w:r>
          </w:p>
        </w:tc>
        <w:tc>
          <w:tcPr>
            <w:tcW w:w="0" w:type="dxa"/>
            <w:vAlign w:val="bottom"/>
          </w:tcPr>
          <w:p>
            <w:pPr>
              <w:spacing w:after="0"/>
              <w:rPr>
                <w:sz w:val="1"/>
                <w:szCs w:val="1"/>
                <w:color w:val="auto"/>
              </w:rPr>
            </w:pPr>
          </w:p>
        </w:tc>
      </w:tr>
      <w:tr>
        <w:trPr>
          <w:trHeight w:val="242"/>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1996</w:t>
            </w:r>
          </w:p>
        </w:tc>
        <w:tc>
          <w:tcPr>
            <w:tcW w:w="1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1,530</w:t>
            </w: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4"/>
                <w:szCs w:val="14"/>
                <w:color w:val="auto"/>
              </w:rPr>
              <w:t>Dividend of Big 4</w:t>
            </w: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(1,200)</w:t>
            </w:r>
          </w:p>
        </w:tc>
        <w:tc>
          <w:tcPr>
            <w:tcW w:w="0" w:type="dxa"/>
            <w:vAlign w:val="bottom"/>
          </w:tcPr>
          <w:p>
            <w:pPr>
              <w:spacing w:after="0"/>
              <w:rPr>
                <w:sz w:val="1"/>
                <w:szCs w:val="1"/>
                <w:color w:val="auto"/>
              </w:rPr>
            </w:pPr>
          </w:p>
        </w:tc>
      </w:tr>
      <w:tr>
        <w:trPr>
          <w:trHeight w:val="242"/>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Ranch, Inc.</w:t>
            </w: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Issuance of treasury</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8"/>
              </w:rPr>
              <w:t>(1,998)</w:t>
            </w:r>
          </w:p>
        </w:tc>
        <w:tc>
          <w:tcPr>
            <w:tcW w:w="180" w:type="dxa"/>
            <w:vAlign w:val="bottom"/>
          </w:tcPr>
          <w:p>
            <w:pPr>
              <w:spacing w:after="0"/>
              <w:rPr>
                <w:sz w:val="22"/>
                <w:szCs w:val="22"/>
                <w:color w:val="auto"/>
              </w:rPr>
            </w:pP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(1,415)</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stock for note</w:t>
            </w:r>
          </w:p>
        </w:tc>
        <w:tc>
          <w:tcPr>
            <w:tcW w:w="1280" w:type="dxa"/>
            <w:vAlign w:val="bottom"/>
          </w:tcPr>
          <w:p>
            <w:pPr>
              <w:spacing w:after="0"/>
              <w:rPr>
                <w:sz w:val="14"/>
                <w:szCs w:val="14"/>
                <w:color w:val="auto"/>
              </w:rPr>
            </w:pPr>
          </w:p>
        </w:tc>
        <w:tc>
          <w:tcPr>
            <w:tcW w:w="1000" w:type="dxa"/>
            <w:vAlign w:val="bottom"/>
            <w:gridSpan w:val="2"/>
            <w:vMerge w:val="restart"/>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continue"/>
          </w:tcPr>
          <w:p>
            <w:pPr>
              <w:spacing w:after="0"/>
              <w:rPr>
                <w:sz w:val="14"/>
                <w:szCs w:val="14"/>
                <w:color w:val="auto"/>
              </w:rPr>
            </w:pP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4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w:t>
            </w:r>
          </w:p>
        </w:tc>
        <w:tc>
          <w:tcPr>
            <w:tcW w:w="12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continue"/>
          </w:tcPr>
          <w:p>
            <w:pPr>
              <w:spacing w:after="0"/>
              <w:rPr>
                <w:sz w:val="21"/>
                <w:szCs w:val="21"/>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December 31,</w:t>
            </w:r>
          </w:p>
        </w:tc>
        <w:tc>
          <w:tcPr>
            <w:tcW w:w="128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6,670</w:t>
            </w:r>
          </w:p>
        </w:tc>
        <w:tc>
          <w:tcPr>
            <w:tcW w:w="560" w:type="dxa"/>
            <w:vAlign w:val="bottom"/>
          </w:tcPr>
          <w:p>
            <w:pPr>
              <w:spacing w:after="0"/>
              <w:rPr>
                <w:sz w:val="14"/>
                <w:szCs w:val="14"/>
                <w:color w:val="auto"/>
              </w:rPr>
            </w:pPr>
          </w:p>
        </w:tc>
        <w:tc>
          <w:tcPr>
            <w:tcW w:w="5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83"/>
              </w:rPr>
              <w:t>67</w:t>
            </w: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59,603</w:t>
            </w:r>
          </w:p>
        </w:tc>
        <w:tc>
          <w:tcPr>
            <w:tcW w:w="12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(39,618)</w:t>
            </w:r>
          </w:p>
        </w:tc>
        <w:tc>
          <w:tcPr>
            <w:tcW w:w="220" w:type="dxa"/>
            <w:vAlign w:val="bottom"/>
          </w:tcPr>
          <w:p>
            <w:pPr>
              <w:spacing w:after="0"/>
              <w:rPr>
                <w:sz w:val="14"/>
                <w:szCs w:val="14"/>
                <w:color w:val="auto"/>
              </w:rPr>
            </w:pP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8"/>
              </w:rPr>
              <w:t>(1,998)</w:t>
            </w:r>
          </w:p>
        </w:tc>
        <w:tc>
          <w:tcPr>
            <w:tcW w:w="180" w:type="dxa"/>
            <w:vAlign w:val="bottom"/>
          </w:tcPr>
          <w:p>
            <w:pPr>
              <w:spacing w:after="0"/>
              <w:rPr>
                <w:sz w:val="14"/>
                <w:szCs w:val="14"/>
                <w:color w:val="auto"/>
              </w:rPr>
            </w:pPr>
          </w:p>
        </w:tc>
        <w:tc>
          <w:tcPr>
            <w:tcW w:w="7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18,054</w:t>
            </w:r>
          </w:p>
        </w:tc>
        <w:tc>
          <w:tcPr>
            <w:tcW w:w="0" w:type="dxa"/>
            <w:vAlign w:val="bottom"/>
          </w:tcPr>
          <w:p>
            <w:pPr>
              <w:spacing w:after="0"/>
              <w:rPr>
                <w:sz w:val="1"/>
                <w:szCs w:val="1"/>
                <w:color w:val="auto"/>
              </w:rPr>
            </w:pPr>
          </w:p>
        </w:tc>
      </w:tr>
      <w:tr>
        <w:trPr>
          <w:trHeight w:val="242"/>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1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80" w:type="dxa"/>
            <w:vAlign w:val="bottom"/>
          </w:tcPr>
          <w:p>
            <w:pPr>
              <w:spacing w:after="0"/>
              <w:rPr>
                <w:sz w:val="22"/>
                <w:szCs w:val="22"/>
                <w:color w:val="auto"/>
              </w:rPr>
            </w:pPr>
          </w:p>
        </w:tc>
        <w:tc>
          <w:tcPr>
            <w:tcW w:w="1000" w:type="dxa"/>
            <w:vAlign w:val="bottom"/>
            <w:gridSpan w:val="2"/>
            <w:vMerge w:val="restart"/>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5,687</w:t>
            </w:r>
          </w:p>
        </w:tc>
        <w:tc>
          <w:tcPr>
            <w:tcW w:w="1080" w:type="dxa"/>
            <w:vAlign w:val="bottom"/>
            <w:gridSpan w:val="2"/>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2"/>
                <w:szCs w:val="22"/>
                <w:color w:val="auto"/>
              </w:rPr>
            </w:pP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5,687</w:t>
            </w:r>
          </w:p>
        </w:tc>
        <w:tc>
          <w:tcPr>
            <w:tcW w:w="0" w:type="dxa"/>
            <w:vAlign w:val="bottom"/>
          </w:tcPr>
          <w:p>
            <w:pPr>
              <w:spacing w:after="0"/>
              <w:rPr>
                <w:sz w:val="1"/>
                <w:szCs w:val="1"/>
                <w:color w:val="auto"/>
              </w:rPr>
            </w:pPr>
          </w:p>
        </w:tc>
      </w:tr>
      <w:tr>
        <w:trPr>
          <w:trHeight w:val="242"/>
        </w:trPr>
        <w:tc>
          <w:tcPr>
            <w:tcW w:w="14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w:t>
            </w:r>
          </w:p>
        </w:tc>
        <w:tc>
          <w:tcPr>
            <w:tcW w:w="12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December 31,</w:t>
            </w:r>
          </w:p>
        </w:tc>
        <w:tc>
          <w:tcPr>
            <w:tcW w:w="128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22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6,670</w:t>
            </w:r>
          </w:p>
        </w:tc>
        <w:tc>
          <w:tcPr>
            <w:tcW w:w="5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83"/>
              </w:rPr>
              <w:t>67</w:t>
            </w: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$59,603</w:t>
            </w:r>
          </w:p>
        </w:tc>
        <w:tc>
          <w:tcPr>
            <w:tcW w:w="12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$(33,931)</w:t>
            </w:r>
          </w:p>
        </w:tc>
        <w:tc>
          <w:tcPr>
            <w:tcW w:w="108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$23,741</w:t>
            </w:r>
          </w:p>
        </w:tc>
        <w:tc>
          <w:tcPr>
            <w:tcW w:w="0" w:type="dxa"/>
            <w:vAlign w:val="bottom"/>
          </w:tcPr>
          <w:p>
            <w:pPr>
              <w:spacing w:after="0"/>
              <w:rPr>
                <w:sz w:val="1"/>
                <w:szCs w:val="1"/>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2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040"/>
          </w:cols>
          <w:pgMar w:left="220" w:top="590" w:right="639" w:bottom="1440" w:gutter="0" w:footer="0" w:header="0"/>
        </w:sectPr>
      </w:pPr>
    </w:p>
    <w:bookmarkStart w:id="29" w:name="page30"/>
    <w:bookmarkEnd w:id="29"/>
    <w:p>
      <w:pPr>
        <w:ind w:left="148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 thousands of dollars)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0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2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$ 5,687</w:t>
            </w:r>
          </w:p>
        </w:tc>
        <w:tc>
          <w:tcPr>
            <w:tcW w:w="480" w:type="dxa"/>
            <w:vAlign w:val="bottom"/>
          </w:tcPr>
          <w:p>
            <w:pPr>
              <w:spacing w:after="0"/>
              <w:rPr>
                <w:sz w:val="22"/>
                <w:szCs w:val="22"/>
                <w:color w:val="auto"/>
              </w:rPr>
            </w:pP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$ 1,530</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6,426</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9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Adjustments to reconcile net earnings (loss) to</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(4,398)</w:t>
            </w:r>
          </w:p>
        </w:tc>
        <w:tc>
          <w:tcPr>
            <w:tcW w:w="480" w:type="dxa"/>
            <w:vAlign w:val="bottom"/>
          </w:tcPr>
          <w:p>
            <w:pPr>
              <w:spacing w:after="0"/>
              <w:rPr>
                <w:sz w:val="14"/>
                <w:szCs w:val="14"/>
                <w:color w:val="auto"/>
              </w:rPr>
            </w:pP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Recognition of deferred tax asset</w:t>
            </w:r>
          </w:p>
        </w:tc>
        <w:tc>
          <w:tcPr>
            <w:tcW w:w="9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(Gain) loss from investment in Fidelity</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363</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345</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Loss (Gain) on sale of rental property</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(1,493)</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lease costs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224</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capitalized deferred loan costs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Equity in loss from unconsolidated affiliate</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1,061</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Minority interest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Decrease (increase) in other receivables</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(483)</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217</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Decrease (increase) in other assets</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security deposits payable</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Increase in deferred rent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0" w:type="dxa"/>
            <w:vAlign w:val="bottom"/>
          </w:tcPr>
          <w:p>
            <w:pPr>
              <w:spacing w:after="0"/>
              <w:rPr>
                <w:sz w:val="1"/>
                <w:szCs w:val="1"/>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accrued liabilities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(1,016)</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c>
          <w:tcPr>
            <w:tcW w:w="0" w:type="dxa"/>
            <w:vAlign w:val="bottom"/>
          </w:tcPr>
          <w:p>
            <w:pPr>
              <w:spacing w:after="0"/>
              <w:rPr>
                <w:sz w:val="1"/>
                <w:szCs w:val="1"/>
                <w:color w:val="auto"/>
              </w:rPr>
            </w:pPr>
          </w:p>
        </w:tc>
      </w:tr>
      <w:tr>
        <w:trPr>
          <w:trHeight w:val="166"/>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3,097</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1,688</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(1,002)</w:t>
            </w:r>
          </w:p>
        </w:tc>
        <w:tc>
          <w:tcPr>
            <w:tcW w:w="480" w:type="dxa"/>
            <w:vAlign w:val="bottom"/>
          </w:tcPr>
          <w:p>
            <w:pPr>
              <w:spacing w:after="0"/>
              <w:rPr>
                <w:sz w:val="14"/>
                <w:szCs w:val="14"/>
                <w:color w:val="auto"/>
              </w:rPr>
            </w:pPr>
          </w:p>
        </w:tc>
        <w:tc>
          <w:tcPr>
            <w:tcW w:w="10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Purchase of Gish Bioimedical securities</w:t>
            </w:r>
          </w:p>
        </w:tc>
        <w:tc>
          <w:tcPr>
            <w:tcW w:w="9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Purchase of Reading Entertainment, Inc. securities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(7,000)</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Purchase of Big 4 Partnerships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(1,129)</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Proceeds from sale of properties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1,128</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9,361</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Payment of capitalized leasing costs</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(467)</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Purchase of farming equipment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Purchase of and additions to real estate</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(588)</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(708)</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c>
          <w:tcPr>
            <w:tcW w:w="0" w:type="dxa"/>
            <w:vAlign w:val="bottom"/>
          </w:tcPr>
          <w:p>
            <w:pPr>
              <w:spacing w:after="0"/>
              <w:rPr>
                <w:sz w:val="1"/>
                <w:szCs w:val="1"/>
                <w:color w:val="auto"/>
              </w:rPr>
            </w:pPr>
          </w:p>
        </w:tc>
      </w:tr>
      <w:tr>
        <w:trPr>
          <w:trHeight w:val="166"/>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(used in) provided by investing activities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(2,258)</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(741)</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1,460</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9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(6,190)</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Redemption of Preferred Stock from shareholder affiliate</w:t>
            </w:r>
          </w:p>
        </w:tc>
        <w:tc>
          <w:tcPr>
            <w:tcW w:w="9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Repayments of mortgage notes payable</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(908)</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(5,883)</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Borrowing of Agricultural Partnerships</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(1,277)</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(831)</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Repayments of Agricultural Partnership borrowings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615</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Dividend of Big 4 Ranch, Inc.</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(1,200)</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Preferred stock dividends paid</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Contribution from minority interest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Capitalized financing costs</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00" w:type="dxa"/>
            <w:vAlign w:val="bottom"/>
          </w:tcPr>
          <w:p>
            <w:pPr>
              <w:spacing w:after="0"/>
              <w:rPr>
                <w:sz w:val="21"/>
                <w:szCs w:val="21"/>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(836)</w:t>
            </w:r>
          </w:p>
        </w:tc>
        <w:tc>
          <w:tcPr>
            <w:tcW w:w="48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(2,939)</w:t>
            </w:r>
          </w:p>
        </w:tc>
        <w:tc>
          <w:tcPr>
            <w:tcW w:w="5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(12,305)</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(1,992)</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(9,935)</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4,364</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6,356</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16,291</w:t>
            </w:r>
          </w:p>
        </w:tc>
        <w:tc>
          <w:tcPr>
            <w:tcW w:w="0" w:type="dxa"/>
            <w:vAlign w:val="bottom"/>
          </w:tcPr>
          <w:p>
            <w:pPr>
              <w:spacing w:after="0"/>
              <w:rPr>
                <w:sz w:val="1"/>
                <w:szCs w:val="1"/>
                <w:color w:val="auto"/>
              </w:rPr>
            </w:pPr>
          </w:p>
        </w:tc>
      </w:tr>
      <w:tr>
        <w:trPr>
          <w:trHeight w:val="166"/>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$ 4,367</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$ 4,364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6,356</w:t>
            </w:r>
          </w:p>
        </w:tc>
        <w:tc>
          <w:tcPr>
            <w:tcW w:w="0" w:type="dxa"/>
            <w:vAlign w:val="bottom"/>
          </w:tcPr>
          <w:p>
            <w:pPr>
              <w:spacing w:after="0"/>
              <w:rPr>
                <w:sz w:val="1"/>
                <w:szCs w:val="1"/>
                <w:color w:val="auto"/>
              </w:rPr>
            </w:pPr>
          </w:p>
        </w:tc>
      </w:tr>
      <w:tr>
        <w:trPr>
          <w:trHeight w:val="242"/>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SUPPLEMENTAL DISCLOSURES: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Cash paid during the period for:</w:t>
            </w:r>
          </w:p>
        </w:tc>
        <w:tc>
          <w:tcPr>
            <w:tcW w:w="9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947</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957</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1,269</w:t>
            </w:r>
          </w:p>
        </w:tc>
        <w:tc>
          <w:tcPr>
            <w:tcW w:w="0" w:type="dxa"/>
            <w:vAlign w:val="bottom"/>
          </w:tcPr>
          <w:p>
            <w:pPr>
              <w:spacing w:after="0"/>
              <w:rPr>
                <w:sz w:val="1"/>
                <w:szCs w:val="1"/>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Interest on mortgages and line of credit</w:t>
            </w:r>
          </w:p>
        </w:tc>
        <w:tc>
          <w:tcPr>
            <w:tcW w:w="9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100"/>
              <w:spacing w:after="0"/>
              <w:rPr>
                <w:sz w:val="20"/>
                <w:szCs w:val="20"/>
                <w:color w:val="auto"/>
              </w:rPr>
            </w:pPr>
            <w:r>
              <w:rPr>
                <w:rFonts w:ascii="Courier New" w:cs="Courier New" w:eastAsia="Courier New" w:hAnsi="Courier New"/>
                <w:sz w:val="14"/>
                <w:szCs w:val="14"/>
                <w:color w:val="auto"/>
              </w:rPr>
              <w:t>Noncash transactions:</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in exchange for secured note</w:t>
            </w:r>
          </w:p>
        </w:tc>
        <w:tc>
          <w:tcPr>
            <w:tcW w:w="9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00" w:type="dxa"/>
            <w:vAlign w:val="bottom"/>
          </w:tcPr>
          <w:p>
            <w:pPr>
              <w:ind w:left="360"/>
              <w:spacing w:after="0"/>
              <w:rPr>
                <w:sz w:val="20"/>
                <w:szCs w:val="20"/>
                <w:color w:val="auto"/>
              </w:rPr>
            </w:pPr>
            <w:r>
              <w:rPr>
                <w:rFonts w:ascii="Courier New" w:cs="Courier New" w:eastAsia="Courier New" w:hAnsi="Courier New"/>
                <w:sz w:val="14"/>
                <w:szCs w:val="14"/>
                <w:color w:val="auto"/>
              </w:rPr>
              <w:t>payable</w:t>
            </w:r>
          </w:p>
        </w:tc>
        <w:tc>
          <w:tcPr>
            <w:tcW w:w="9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90" w:right="1440" w:bottom="1440" w:gutter="0" w:footer="0" w:header="0"/>
        </w:sectPr>
      </w:pPr>
    </w:p>
    <w:bookmarkStart w:id="30" w:name="page31"/>
    <w:bookmarkEnd w:id="30"/>
    <w:p>
      <w:pPr>
        <w:jc w:val="center"/>
        <w:ind w:right="3519"/>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Basis of Presentation and Principles of Consolidation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The consolidated financial statements include the accounts of Citadel Holding Corporation ("Citadel") and its consolidated subsidiaries (collectively the "Company"). All significant intercompany balances and transactions have been eliminated in consolidation.</w:t>
      </w:r>
    </w:p>
    <w:p>
      <w:pPr>
        <w:spacing w:after="0" w:line="56"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During 1998, the Company acquired 398,850 shares or approximately a 11.6% interest in Gish Biomedical, Inc. ("Gish") for approximately $1,002,000. At December 31, 1998 the closing price of the Gish common stock was $2.625, which approximated cost. Subsequent to December 31, 1998, the Company increased its ownership in Gish to approximately 13.25% through the additional purchases of 60,800 shares of Gish common stock for approximately $163,000.</w:t>
      </w:r>
    </w:p>
    <w:p>
      <w:pPr>
        <w:spacing w:after="0" w:line="69"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On December 31, 1997, the Company acquired, through its interest in three general partnerships (the "Agricultural Partnerships"), a 40% interest in approximately 1,580 acres of agricultural land and related improvements, located in Kern County, California, commonly known as the Big 4 Ranch (the "Property"). The other two partners in the Partnerships are Visalia LLC (a limited liability company controlled by Mr. James J. Cotter, the Chairman of the Board of the Company, and owned by Mr. Cotter and certain members of his family) which has a 20% interest and Big 4 Ranch, Inc., a publicly held corporation, which has the remaining 40% interest. Prior to the acquisition, Big 4 Ranch, Inc., was a wholly owned subsidiary of the Company. Immediately prior to the acquisition, the Company capitalized Big 4 Ranch, Inc., with a cash capital contribution of $1.2 million and then distributed 100% of the shares of Big 4 Ranch, Inc., to the shareholders of record of the Company's common stock as of the close of business on December 23, 1997, as a spin-off dividend. The Company accounts for its 40% investment in the Partnerships utilizing the equity method of accounting. As the acquisition did not occur until December 31, 1997, there was no impact on the results of operations for the year ended December 31, 1997. See Note 5.</w:t>
      </w:r>
    </w:p>
    <w:p>
      <w:pPr>
        <w:spacing w:after="0" w:line="249"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On October 15, 1996, the Company consummated an exchange transaction with its shareholder affiliates, Craig Corporation ("Craig") and Reading Entertainment, Inc. ("REI" and collectively with its consolidated subsidiaries "Reading"). Pursuant to the terms of the exchange, the Company contributed cash in the amount of $7 million to Reading in exchange for 70,000 shares of Reading Series A Voting Cumulative Convertible Preferred Stock (the "Series A Preferred Stock") and an option to transfer all or substantially all (subject to certain limitations) of its assets to Reading for Reading Common Stock (the "Asset Put Option"). See Note 4. The Company accounts for its investment in Reading at cost.</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Summary of Significant Accounting Policies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considers all highly liquid investments with a maturity of three</w:t>
      </w:r>
    </w:p>
    <w:p>
      <w:pPr>
        <w:spacing w:after="0" w:line="3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months or less when purchased to be cash equivalents.</w:t>
        <w:tab/>
        <w:t>Included in cash and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 at December 31, 1998 and 1997 is approximately $3.7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 million, respectively, which is being held in institutional money market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funds.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Available-for-sale Securities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In accordance with Statement of Financial Accounting Standards No. 115 ("SFAS 115"), "Accounting for Certain Investments in Debt and Equity Securities" the Company's equity securities in Gish are included in the balance sheet as "Investments in Gish Biomedical, Inc." and are classified as available-for-sale securities and are stated at fair value.</w:t>
      </w:r>
    </w:p>
    <w:p>
      <w:pPr>
        <w:spacing w:after="0" w:line="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jc w:val="both"/>
        <w:ind w:right="3779"/>
        <w:spacing w:after="0" w:line="313" w:lineRule="auto"/>
        <w:rPr>
          <w:sz w:val="20"/>
          <w:szCs w:val="20"/>
          <w:color w:val="auto"/>
        </w:rPr>
      </w:pPr>
      <w:r>
        <w:rPr>
          <w:rFonts w:ascii="Courier New" w:cs="Courier New" w:eastAsia="Courier New" w:hAnsi="Courier New"/>
          <w:sz w:val="14"/>
          <w:szCs w:val="14"/>
          <w:color w:val="auto"/>
        </w:rPr>
        <w:t>Depreciation and amortization is generally provided using the straight-line method over the estimated useful lives of the assets. The estimated useful lives are generally as follows:</w:t>
      </w:r>
    </w:p>
    <w:p>
      <w:pPr>
        <w:sectPr>
          <w:pgSz w:w="11900" w:h="16838" w:orient="portrait"/>
          <w:cols w:equalWidth="0" w:num="1">
            <w:col w:w="10239"/>
          </w:cols>
          <w:pgMar w:left="220" w:top="590" w:right="1440" w:bottom="1440" w:gutter="0" w:footer="0" w:header="0"/>
        </w:sectPr>
      </w:pPr>
    </w:p>
    <w:p>
      <w:pPr>
        <w:spacing w:after="0" w:line="4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Building and building improvements</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Farming equipment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Furniture and fixtures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 years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3 - 10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years</w:t>
      </w:r>
    </w:p>
    <w:p>
      <w:pPr>
        <w:spacing w:after="0" w:line="147" w:lineRule="exact"/>
        <w:rPr>
          <w:sz w:val="20"/>
          <w:szCs w:val="20"/>
          <w:color w:val="auto"/>
        </w:rPr>
      </w:pPr>
    </w:p>
    <w:p>
      <w:pPr>
        <w:sectPr>
          <w:pgSz w:w="11900" w:h="16838" w:orient="portrait"/>
          <w:cols w:equalWidth="0" w:num="2">
            <w:col w:w="3620" w:space="520"/>
            <w:col w:w="6099"/>
          </w:cols>
          <w:pgMar w:left="220" w:top="590" w:right="1440" w:bottom="1440" w:gutter="0" w:footer="0" w:header="0"/>
          <w:type w:val="continuous"/>
        </w:sectPr>
      </w:pPr>
    </w:p>
    <w:p>
      <w:pPr>
        <w:ind w:right="3339"/>
        <w:spacing w:after="0" w:line="313" w:lineRule="auto"/>
        <w:rPr>
          <w:sz w:val="20"/>
          <w:szCs w:val="20"/>
          <w:color w:val="auto"/>
        </w:rPr>
      </w:pPr>
      <w:r>
        <w:rPr>
          <w:rFonts w:ascii="Courier New" w:cs="Courier New" w:eastAsia="Courier New" w:hAnsi="Courier New"/>
          <w:sz w:val="14"/>
          <w:szCs w:val="14"/>
          <w:color w:val="auto"/>
        </w:rPr>
        <w:t>Leasehold improvements made at the rental properties are amortized over the lives of respective leases or the useful lives of the improvements, whichever is shorter.</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Financing Costs</w:t>
      </w:r>
    </w:p>
    <w:p>
      <w:pPr>
        <w:sectPr>
          <w:pgSz w:w="11900" w:h="16838" w:orient="portrait"/>
          <w:cols w:equalWidth="0" w:num="1">
            <w:col w:w="10239"/>
          </w:cols>
          <w:pgMar w:left="220" w:top="590" w:right="1440"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7"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Costs incurred in connection with obtaining financing are amortized over the terms of the respective loans on a straight line basis. Accumulated amortization of deferred financing costs amounted to approximately $132,000 and $98,000 at December 31, 1998 and 1997, respectively.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Leasing Costs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Commissions and other costs incurred in connection with obtaining leases are amortized over the terms of the respective leases on a straight line basis.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The Company accounts for stock-based employee compensation arrangements in accordance with the provisions of Accounting Principles Board Opinion No. 25, "Accounting for Stock Issued to Employees" ("APB 25") and complies with the disclosure provisions of Statement of Financial Accounting Standards No. 123, "Accounting for Stock-Based Compensation" ("SFAS 123"). Under APB 25, compensation cost is recognized over the vesting period based on the difference, if any, on the date of grant between the fair value of the Company's stock and the amount an employee must pay to acquire the stock.</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jc w:val="both"/>
        <w:ind w:right="4019"/>
        <w:spacing w:after="0" w:line="313" w:lineRule="auto"/>
        <w:rPr>
          <w:sz w:val="20"/>
          <w:szCs w:val="20"/>
          <w:color w:val="auto"/>
        </w:rPr>
      </w:pPr>
      <w:r>
        <w:rPr>
          <w:rFonts w:ascii="Courier New" w:cs="Courier New" w:eastAsia="Courier New" w:hAnsi="Courier New"/>
          <w:sz w:val="14"/>
          <w:szCs w:val="14"/>
          <w:color w:val="auto"/>
        </w:rPr>
        <w:t>Net earnings available to common stockholders reflects the reduction for dividends declared on the Company's 3% Cumulative Convertible redeemable preferred stock, which was redeemed in December 1996.</w:t>
      </w:r>
    </w:p>
    <w:p>
      <w:pPr>
        <w:spacing w:after="0" w:line="42"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Basic earnings per share is based on 6,669,924, 6,487,458 and 6,003,924, the weighted average number of shares outstanding during 1998, 1997 and 1996, respectively. Diluted earnings per share is based on 6,687,754, 6,496,142 and 8,050,708, the weighted average number of shares of common stock and potential common shares outstanding during the years ended December 31, 1998, 1997 and 1996, respectively. Stock options to purchase 53,000 shares of common stock was outstanding during 1998 and 1997 at a weighted average exercise price of $2.81 per share and a warrant to purchase 666,000 shares of common stock at $3.00 per share was outstanding during the period January 1, 1996 through April 1997, at which time the warrant was exercised. The 1998 and 1997 Diluted weighted average number of shares outstanding includes the effect of such stock options amounting to 17,830 and 8,684 shares, respectively. For 1996, the calculation of the weighted average shares of common stock outstanding for diluted earnings per share included for the effect of shares assumed to be issued on conversion of the outstanding 3% Cumulative Voting Convertible Preferred Stock during the period of time such stock was outstanding. The Warrants and Stock Options were anti-dilutive in 1996. The number of shares assumed converted as of the beginning of 1996 being reported amounted to 2,046,784 and was calculated in accordance with the Preferred Stock conversion terms described in Note 9.</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the Impairment of Long Lived Assets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69" w:lineRule="auto"/>
        <w:rPr>
          <w:sz w:val="20"/>
          <w:szCs w:val="20"/>
          <w:color w:val="auto"/>
        </w:rPr>
      </w:pPr>
      <w:r>
        <w:rPr>
          <w:rFonts w:ascii="Courier New" w:cs="Courier New" w:eastAsia="Courier New" w:hAnsi="Courier New"/>
          <w:sz w:val="14"/>
          <w:szCs w:val="14"/>
          <w:color w:val="auto"/>
        </w:rPr>
        <w:t>The Company accounts for its long lived assets consistent with Statement of Accounting Standard No. 121 "Accounting for the Impairment of Long Lived Assets and for Long Lived Assets to be Disposed Of" which requires the evaluation of the impairment of long lived assets, certain intangible assets and costs in excess of net assets related to those assets to be held and used and for long-lived assets and certain identifiable intangibles to be disposed of. As of December 31, 1998 no losses have been recorded with respect to the Company's long lived assets.</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Certain amounts in previously issued financial statements have been reclassified to conform to the 1998 financial statement 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Rental Properties and Property Held for Sale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376" w:lineRule="auto"/>
        <w:rPr>
          <w:sz w:val="20"/>
          <w:szCs w:val="20"/>
          <w:color w:val="auto"/>
        </w:rPr>
      </w:pPr>
      <w:r>
        <w:rPr>
          <w:rFonts w:ascii="Courier New" w:cs="Courier New" w:eastAsia="Courier New" w:hAnsi="Courier New"/>
          <w:sz w:val="14"/>
          <w:szCs w:val="14"/>
          <w:color w:val="auto"/>
        </w:rPr>
        <w:t>The Company's rental properties and property held for sale at December 31, 1998 and 1997 consisted of the following: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tcPr>
          <w:p>
            <w:pPr>
              <w:spacing w:after="0"/>
              <w:rPr>
                <w:sz w:val="14"/>
                <w:szCs w:val="14"/>
                <w:color w:val="auto"/>
              </w:rPr>
            </w:pPr>
          </w:p>
        </w:tc>
        <w:tc>
          <w:tcPr>
            <w:tcW w:w="16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1998</w:t>
            </w:r>
          </w:p>
        </w:tc>
        <w:tc>
          <w:tcPr>
            <w:tcW w:w="1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6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Rental Properties:</w:t>
            </w:r>
          </w:p>
        </w:tc>
        <w:tc>
          <w:tcPr>
            <w:tcW w:w="72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2,951</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4,439</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Building and improvements</w:t>
            </w:r>
          </w:p>
        </w:tc>
        <w:tc>
          <w:tcPr>
            <w:tcW w:w="7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5,564</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10,096</w:t>
            </w:r>
          </w:p>
        </w:tc>
        <w:tc>
          <w:tcPr>
            <w:tcW w:w="0" w:type="dxa"/>
            <w:vAlign w:val="bottom"/>
          </w:tcPr>
          <w:p>
            <w:pPr>
              <w:spacing w:after="0"/>
              <w:rPr>
                <w:sz w:val="1"/>
                <w:szCs w:val="1"/>
                <w:color w:val="auto"/>
              </w:rPr>
            </w:pPr>
          </w:p>
        </w:tc>
      </w:tr>
      <w:tr>
        <w:trPr>
          <w:trHeight w:val="166"/>
        </w:trPr>
        <w:tc>
          <w:tcPr>
            <w:tcW w:w="29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w:t>
            </w:r>
          </w:p>
        </w:tc>
        <w:tc>
          <w:tcPr>
            <w:tcW w:w="7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8,515</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14,535</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w:t>
            </w:r>
          </w:p>
        </w:tc>
        <w:tc>
          <w:tcPr>
            <w:tcW w:w="72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(546)</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(883)</w:t>
            </w:r>
          </w:p>
        </w:tc>
        <w:tc>
          <w:tcPr>
            <w:tcW w:w="0" w:type="dxa"/>
            <w:vAlign w:val="bottom"/>
          </w:tcPr>
          <w:p>
            <w:pPr>
              <w:spacing w:after="0"/>
              <w:rPr>
                <w:sz w:val="1"/>
                <w:szCs w:val="1"/>
                <w:color w:val="auto"/>
              </w:rPr>
            </w:pPr>
          </w:p>
        </w:tc>
      </w:tr>
      <w:tr>
        <w:trPr>
          <w:trHeight w:val="166"/>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Rental properties, net</w:t>
            </w:r>
          </w:p>
        </w:tc>
        <w:tc>
          <w:tcPr>
            <w:tcW w:w="72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7,969</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$13,652</w:t>
            </w:r>
          </w:p>
        </w:tc>
        <w:tc>
          <w:tcPr>
            <w:tcW w:w="0" w:type="dxa"/>
            <w:vAlign w:val="bottom"/>
          </w:tcPr>
          <w:p>
            <w:pPr>
              <w:spacing w:after="0"/>
              <w:rPr>
                <w:sz w:val="1"/>
                <w:szCs w:val="1"/>
                <w:color w:val="auto"/>
              </w:rPr>
            </w:pPr>
          </w:p>
        </w:tc>
      </w:tr>
      <w:tr>
        <w:trPr>
          <w:trHeight w:val="242"/>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Property held for sale:</w:t>
            </w:r>
          </w:p>
        </w:tc>
        <w:tc>
          <w:tcPr>
            <w:tcW w:w="720" w:type="dxa"/>
            <w:vAlign w:val="bottom"/>
          </w:tcPr>
          <w:p>
            <w:pPr>
              <w:spacing w:after="0"/>
              <w:rPr>
                <w:sz w:val="21"/>
                <w:szCs w:val="21"/>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900" w:type="dxa"/>
            <w:vAlign w:val="bottom"/>
            <w:vMerge w:val="continue"/>
          </w:tcPr>
          <w:p>
            <w:pPr>
              <w:spacing w:after="0"/>
              <w:rPr>
                <w:sz w:val="7"/>
                <w:szCs w:val="7"/>
                <w:color w:val="auto"/>
              </w:rPr>
            </w:pPr>
          </w:p>
        </w:tc>
        <w:tc>
          <w:tcPr>
            <w:tcW w:w="72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6,608</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Commercial building</w:t>
            </w: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w:t>
            </w:r>
          </w:p>
        </w:tc>
        <w:tc>
          <w:tcPr>
            <w:tcW w:w="72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Net</w:t>
            </w:r>
          </w:p>
        </w:tc>
        <w:tc>
          <w:tcPr>
            <w:tcW w:w="72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5,908</w:t>
            </w:r>
          </w:p>
        </w:tc>
        <w:tc>
          <w:tcPr>
            <w:tcW w:w="38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At December 31, 1998 and 1997 rental properties consisted of two office buildings located in Glendale, California and Phoenix, Arizona. During the fourth quarter of 1998, the Company entered into negotiations for the sale of the Phoenix, Arizona building and, accordingly, has reclassified such property as "Property held for sale" at December 31, 1998. In addition, the Company has capitalized certain lease costs associated with the Phoenix, Arizona building which are included in the balance sheet as "Capitalized leasing costs" at December 31, 1998 in the amount of approximately $515,000. On March 4, 1999, the Company entered into a Purchase and Sale Agreement to sell the Phoenix, Arizona property included in Property held for sale. The Buyer agreed to purchase the property for approximately $20 million, of which $500,000 has been deposited in escrow. As of December 31, 1998, this property was encumbered by a mortgage in the amount of approximately $4,234,000. The $20 million sales price does not include expected closing adjustments including property costs settled in escrow, commissions and mortgage termination fees. In addition, the Company has recognized for financial statement purposes a deferred income tax asset at December 31, 1998 amounting to approximately $4,398,000 which is comprised of tax carryforward assets which are expected to be realized at the time of sale. Accordingly, when such sale is recorded for financial statement purposes, an income tax provision will be recorded at an effective tax rate of approximately 40% on the anticipated gain from the sale of the Phoenix, Arizona property. Pursuant to the terms of the Purchase and Sale Agreement, the outside closing date, subject to certain conditions precedent, is scheduled to occur on or before May 5, 1999.</w:t>
      </w:r>
    </w:p>
    <w:p>
      <w:pPr>
        <w:spacing w:after="0" w:line="250"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Company purchased the Glendale Building for $7.12 million in May 1995 from Fidelity. In connection with the Glendale Building the Company obtained a $5.34 million five year mortgage from Fidelity Federal Bank ("Fidelity"), which amortizes on a twenty year basis with interest payable monthly at the 30 day LIBOR rate plus 4.5%. The Company paid Fidelity a loan fee of 1% plus normal closing costs. At the time of the purchase of the Glendale Building the Company and Fidelity were parties to a ten year, full service gross lease for four of the six floors of an office building owned by the Company in Glendale, California (the "Glendale Building") for a rental</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590" w:right="1440" w:bottom="1114"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4"/>
          <w:szCs w:val="14"/>
          <w:color w:val="auto"/>
        </w:rPr>
        <w:t>rate for the first five years of the lease term of approximately $101,000 per month (including parking). On October 1, 1996, the Company and Fidelity amended the office lease for the Glendale Building resulting in (1) termination of the lease obligation for floors four through six resulting in a reduction of rent payments amounting to approximately $75,000 per month after January 31, 1997,</w:t>
      </w:r>
    </w:p>
    <w:p>
      <w:pPr>
        <w:spacing w:after="0" w:line="2" w:lineRule="exact"/>
        <w:rPr>
          <w:sz w:val="20"/>
          <w:szCs w:val="20"/>
          <w:color w:val="auto"/>
        </w:rPr>
      </w:pPr>
    </w:p>
    <w:p>
      <w:pPr>
        <w:ind w:right="3339" w:firstLine="8"/>
        <w:spacing w:after="0" w:line="255"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Fidelity's option to purchase the Glendale Building, (3) a modification of the mortgage with Fidelity on the Glendale Building eliminating the prepayment penalty and (4) an obligation by the Company to refund to Fidelity previous rents approximating $450,000 on February 1, 1997. Concurrent with the amendment of the Fidelity lease and mortgage, the Company entered into a ten year, full service lease for all of the floors, excluding the ground floor (approximately 80,000 square feet), of the Glendale Building with Disney Enterprises, Inc. ("Disney"). The rental rate for the first five years of the Disney lease term beginning February 1, 1997 is approximately $148,000 per month (excluding parking) and approximately $164,000 (excluding parking) for the remaining five year term. Disney has the option to renew the lease for two consecutive five year periods. The lease provided that the Company contribute towards tenant improvements and common area upgrades. To date, while fulfilling their lease obligations to the Company, Disney has not moved into the building. Accordingly, tenant improvements required by the lease approximating $1,985,000 have not yet been incurred. Costs to obtain the lease inclusive of commissions, legal fees and the $450,000 payment to Fidelity, approximating $1,326,000 are included in the Balance Sheet as "Capitalized leasing costs." At December 31, 1998 and 1997, accumulated amortization with respect to the Glendale Building capitalized leasing costs were $256,000 and $123,000 respectively.</w:t>
      </w:r>
    </w:p>
    <w:p>
      <w:pPr>
        <w:spacing w:after="0" w:line="82"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In May 1996, the Company sold an apartment rental property, for approximately $8.94 million, net of expenses resulting in a gain of approximately $1.473 million. Concurrent with the sale, the Company paid off the related mortgage note payable amounting to approximately $5.7 million. In addition, in August 1996, the Company sold an undeveloped parcel of land for a price, net of expenses, which resulted in a gain of approximately $20,000.</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 Investment in Shareholder Affiliate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jc w:val="both"/>
        <w:ind w:right="3339"/>
        <w:spacing w:after="0" w:line="313" w:lineRule="auto"/>
        <w:rPr>
          <w:sz w:val="20"/>
          <w:szCs w:val="20"/>
          <w:color w:val="auto"/>
        </w:rPr>
      </w:pPr>
      <w:r>
        <w:rPr>
          <w:rFonts w:ascii="Courier New" w:cs="Courier New" w:eastAsia="Courier New" w:hAnsi="Courier New"/>
          <w:sz w:val="14"/>
          <w:szCs w:val="14"/>
          <w:color w:val="auto"/>
        </w:rPr>
        <w:t>At December 31, 1998 and 1997, the Company owned 70,000 shares of Reading Series A Voting Cumulative Convertible Preferred Stock (the "Series A Preferred Stock") and the Asset Put Option described in greater detail below.</w:t>
      </w:r>
    </w:p>
    <w:p>
      <w:pPr>
        <w:spacing w:after="0" w:line="42"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As of December 31, 1998, Craig and the Company hold in the aggregate approximately 83% of the voting power of Reading, with Craig's holdings representing approximately 78% of the voting power of Reading and the Company's holdings representing approximately 5% of such voting power. At December 31, 1998, Reading holds 2,113,673 shares or approximately 32% of the Company's outstanding common stock and Craig also holds 1,096,106 shares or approximately 16% of the Company's Common Stock.</w:t>
      </w:r>
    </w:p>
    <w:p>
      <w:pPr>
        <w:spacing w:after="0" w:line="7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70,000 shares of Series A Preferred Stock acquired by the Company has (i) a liquidation preference of $100 per share or $7 million ("Stated Value"), (ii) bears a cumulative dividend of 6.5%, payable quarterly and (iii) is convertible into shares of Reading Common Stock at a conversion price of $11.50 per share. The closing price of REI common stock at December 31, 1998 was approximately $8.00 per share. Reading may, at its option, redeem the Series A Preferred Stock at any time after October 15, 2001, in whole or in part, at a redemption price equal to a percentage of the Stated Value (initially 108% and decreasing</w:t>
      </w:r>
    </w:p>
    <w:p>
      <w:pPr>
        <w:spacing w:after="0" w:line="3"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2% per annum until the percentage equals 100%). The Company has the right for a 90-day period beginning October 15, 2001 (provided the Company has not exercised the Asset Put Option described below), or in the event of a change of control of Reading to require Reading to repurchase the shares of the Series A Preferred Stock for their aggregate Stated Value plus accumulated dividends. In addition, if Reading fails to pay dividends for four quarters, the Company has the option to require Reading to repurchase such shares at their aggregate liquidation value plus accumulated dividends. Included in the Statements of Operations for the years ended December 31, 1998, 1997 and 1996 as "Dividends from Investment in Reading" is approximately $455,000, $455,000 and $95,000, respectively, representing dividends earned and paid to the Company with respect to the Company's ownership of the Reading Series A Preferred Stock.</w:t>
      </w:r>
    </w:p>
    <w:p>
      <w:pPr>
        <w:spacing w:after="0" w:line="8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Asset Put Option is exercisable any time prior to that date thirty days after Reading's Form 10-K is filed with respect to its year ended December 31, 1999, and gives the Company the right to exchange all or substantially all</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9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of its assets, as defined, together with any debt encumbering such assets, for shares of Reading Common Stock (the "Asset Put"). In exchange for up to $20 million in aggregate appraised value of the Company's assets on the exercise of the Asset Put Option, Reading is obligated to deliver to the Company a number of shares of Reading Common Stock determined by dividing the value of the Company's assets by $12.25 per share. If the appraised value of the Company's assets is in excess of $20 million, Reading is obligated to pay for the excess by issuing Common Stock at the then fair market value up to a maximum of $30 million of assets. If the average trading price of Reading Common Stock exceeds 130% of the then applicable exchange price for more than 60 days, then the exchange price will thereafter be the fair market of the Reading Common Stock from time to time, unless the Company exercises the Asset Put within 120 days of receipt of notice from Reading of the occurrence of such average trading price over such 60 day period. For financial reporting purposes the Company did not allocate any value to the Asset Put Option.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gridSpan w:val="3"/>
          </w:tcPr>
          <w:p>
            <w:pPr>
              <w:spacing w:after="0"/>
              <w:rPr>
                <w:sz w:val="20"/>
                <w:szCs w:val="20"/>
                <w:color w:val="auto"/>
              </w:rPr>
            </w:pPr>
            <w:r>
              <w:rPr>
                <w:rFonts w:ascii="Courier New" w:cs="Courier New" w:eastAsia="Courier New" w:hAnsi="Courier New"/>
                <w:sz w:val="14"/>
                <w:szCs w:val="14"/>
                <w:color w:val="auto"/>
              </w:rPr>
              <w:t>The Company</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has certain</w:t>
            </w:r>
          </w:p>
        </w:tc>
        <w:tc>
          <w:tcPr>
            <w:tcW w:w="2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demand and piggy-back</w:t>
            </w:r>
          </w:p>
        </w:tc>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registration rights with respect</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to Reading</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Common Stock</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issuable on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conversion</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the Series A Voting Cumulative</w:t>
            </w:r>
          </w:p>
        </w:tc>
      </w:tr>
      <w:tr>
        <w:trPr>
          <w:trHeight w:val="166"/>
        </w:trPr>
        <w:tc>
          <w:tcPr>
            <w:tcW w:w="1000" w:type="dxa"/>
            <w:vAlign w:val="bottom"/>
            <w:gridSpan w:val="3"/>
          </w:tcPr>
          <w:p>
            <w:pPr>
              <w:spacing w:after="0"/>
              <w:rPr>
                <w:sz w:val="20"/>
                <w:szCs w:val="20"/>
                <w:color w:val="auto"/>
              </w:rPr>
            </w:pPr>
            <w:r>
              <w:rPr>
                <w:rFonts w:ascii="Courier New" w:cs="Courier New" w:eastAsia="Courier New" w:hAnsi="Courier New"/>
                <w:sz w:val="14"/>
                <w:szCs w:val="14"/>
                <w:color w:val="auto"/>
              </w:rPr>
              <w:t>Convertible</w:t>
            </w:r>
          </w:p>
        </w:tc>
        <w:tc>
          <w:tcPr>
            <w:tcW w:w="29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Preferred Stock or on exercise of</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Asset Put Option.  With</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respect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Reading</w:t>
            </w: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Investment Transaction,</w:t>
            </w:r>
          </w:p>
        </w:tc>
        <w:tc>
          <w:tcPr>
            <w:tcW w:w="29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Reading agreed to reimburse the</w:t>
            </w:r>
          </w:p>
        </w:tc>
      </w:tr>
      <w:tr>
        <w:trPr>
          <w:trHeight w:val="242"/>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its out of</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pocket costs</w:t>
            </w:r>
          </w:p>
        </w:tc>
        <w:tc>
          <w:tcPr>
            <w:tcW w:w="3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approximately $265,000.</w:t>
            </w:r>
          </w:p>
        </w:tc>
      </w:tr>
    </w:tbl>
    <w:p>
      <w:pPr>
        <w:spacing w:after="0" w:line="90"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Reading is a publicly traded company whose shares are listed on the NASDAQ. Through its majority owned subsidiaries, REI is in the business of developing and operating multi-plex cinemas in the United States, Puerto Rico, Australia and New Zealand of developing, and eventually operating, entertainment centers in Australia and New Zealand. The Company operates its cinemas through various subsidiaries under the Angelika Film Centers and Reading Cinemas names in the mainland United States; through Reading Cinemas of Puerto Rico, Inc., a wholly owned subsidiary, under the CineVista name of Puerto Rico; and through Reading Entertainment Australia Pty, Limited.</w:t>
      </w:r>
    </w:p>
    <w:p>
      <w:pPr>
        <w:spacing w:after="0" w:line="74"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Summarized financial information of Reading as of December 31, 1998 and 1997 and the results of operations for each of the years ended December 31, 1998, 1997 and 1996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Condensed Balance Sheet:</w:t>
            </w:r>
          </w:p>
        </w:tc>
        <w:tc>
          <w:tcPr>
            <w:tcW w:w="2080" w:type="dxa"/>
            <w:vAlign w:val="bottom"/>
            <w:gridSpan w:val="2"/>
            <w:vMerge w:val="restart"/>
          </w:tcPr>
          <w:p>
            <w:pPr>
              <w:jc w:val="right"/>
              <w:ind w:right="28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20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5"/>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Cash and cash equivalents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$ 58,593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92,840</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Other current assets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7,463</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Equity investment in Citadel</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8,158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4,903</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Property held for development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32,949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14,714</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Property and equipment, net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32,534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25,598</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Other assets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14,398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7,537</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Intangible assets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23,408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24,957</w:t>
            </w:r>
          </w:p>
        </w:tc>
        <w:tc>
          <w:tcPr>
            <w:tcW w:w="0" w:type="dxa"/>
            <w:vAlign w:val="bottom"/>
          </w:tcPr>
          <w:p>
            <w:pPr>
              <w:spacing w:after="0"/>
              <w:rPr>
                <w:sz w:val="1"/>
                <w:szCs w:val="1"/>
                <w:color w:val="auto"/>
              </w:rPr>
            </w:pPr>
          </w:p>
        </w:tc>
      </w:tr>
      <w:tr>
        <w:trPr>
          <w:trHeight w:val="166"/>
        </w:trPr>
        <w:tc>
          <w:tcPr>
            <w:tcW w:w="30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$172,287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$178,012</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Current liabilities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$ 15,462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$ 13,177</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Other liabilities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5,526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5,344</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Minority interests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Preferred Stock held by Citadel</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7,000</w:t>
            </w:r>
          </w:p>
        </w:tc>
        <w:tc>
          <w:tcPr>
            <w:tcW w:w="0" w:type="dxa"/>
            <w:vAlign w:val="bottom"/>
          </w:tcPr>
          <w:p>
            <w:pPr>
              <w:spacing w:after="0"/>
              <w:rPr>
                <w:sz w:val="1"/>
                <w:szCs w:val="1"/>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142,372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150,485</w:t>
            </w:r>
          </w:p>
        </w:tc>
        <w:tc>
          <w:tcPr>
            <w:tcW w:w="0" w:type="dxa"/>
            <w:vAlign w:val="bottom"/>
          </w:tcPr>
          <w:p>
            <w:pPr>
              <w:spacing w:after="0"/>
              <w:rPr>
                <w:sz w:val="1"/>
                <w:szCs w:val="1"/>
                <w:color w:val="auto"/>
              </w:rPr>
            </w:pPr>
          </w:p>
        </w:tc>
      </w:tr>
      <w:tr>
        <w:trPr>
          <w:trHeight w:val="166"/>
        </w:trPr>
        <w:tc>
          <w:tcPr>
            <w:tcW w:w="30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Liabilities and Equity</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$172,287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$178,012</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3020" w:type="dxa"/>
            <w:vAlign w:val="bottom"/>
          </w:tcPr>
          <w:p>
            <w:pPr>
              <w:spacing w:after="0"/>
              <w:rPr>
                <w:sz w:val="24"/>
                <w:szCs w:val="2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Condensed Statements of Operations: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the Years Ended</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1"/>
                <w:szCs w:val="21"/>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$ 33,556</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$ 26,984</w:t>
            </w:r>
          </w:p>
        </w:tc>
        <w:tc>
          <w:tcPr>
            <w:tcW w:w="82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$ 18,236</w:t>
            </w:r>
          </w:p>
        </w:tc>
        <w:tc>
          <w:tcPr>
            <w:tcW w:w="0" w:type="dxa"/>
            <w:vAlign w:val="bottom"/>
          </w:tcPr>
          <w:p>
            <w:pPr>
              <w:spacing w:after="0"/>
              <w:rPr>
                <w:sz w:val="1"/>
                <w:szCs w:val="1"/>
                <w:color w:val="auto"/>
              </w:rPr>
            </w:pPr>
          </w:p>
        </w:tc>
      </w:tr>
      <w:tr>
        <w:trPr>
          <w:trHeight w:val="166"/>
        </w:trPr>
        <w:tc>
          <w:tcPr>
            <w:tcW w:w="3500" w:type="dxa"/>
            <w:vAlign w:val="bottom"/>
          </w:tcPr>
          <w:p>
            <w:pPr>
              <w:ind w:left="100"/>
              <w:spacing w:after="0"/>
              <w:rPr>
                <w:sz w:val="20"/>
                <w:szCs w:val="20"/>
                <w:color w:val="auto"/>
              </w:rPr>
            </w:pPr>
            <w:r>
              <w:rPr>
                <w:rFonts w:ascii="Courier New" w:cs="Courier New" w:eastAsia="Courier New" w:hAnsi="Courier New"/>
                <w:sz w:val="14"/>
                <w:szCs w:val="14"/>
                <w:color w:val="auto"/>
              </w:rPr>
              <w:t>Theater</w:t>
            </w:r>
          </w:p>
        </w:tc>
        <w:tc>
          <w:tcPr>
            <w:tcW w:w="94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100"/>
              <w:spacing w:after="0"/>
              <w:rPr>
                <w:sz w:val="20"/>
                <w:szCs w:val="20"/>
                <w:color w:val="auto"/>
              </w:rPr>
            </w:pPr>
            <w:r>
              <w:rPr>
                <w:rFonts w:ascii="Courier New" w:cs="Courier New" w:eastAsia="Courier New" w:hAnsi="Courier New"/>
                <w:sz w:val="14"/>
                <w:szCs w:val="14"/>
                <w:color w:val="auto"/>
              </w:rPr>
              <w:t>Real estate</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543</w:t>
            </w:r>
          </w:p>
        </w:tc>
        <w:tc>
          <w:tcPr>
            <w:tcW w:w="0" w:type="dxa"/>
            <w:vAlign w:val="bottom"/>
          </w:tcPr>
          <w:p>
            <w:pPr>
              <w:spacing w:after="0"/>
              <w:rPr>
                <w:sz w:val="1"/>
                <w:szCs w:val="1"/>
                <w:color w:val="auto"/>
              </w:rPr>
            </w:pPr>
          </w:p>
        </w:tc>
      </w:tr>
      <w:tr>
        <w:trPr>
          <w:trHeight w:val="166"/>
        </w:trPr>
        <w:tc>
          <w:tcPr>
            <w:tcW w:w="3500" w:type="dxa"/>
            <w:vAlign w:val="bottom"/>
            <w:vMerge w:val="restart"/>
          </w:tcPr>
          <w:p>
            <w:pPr>
              <w:spacing w:after="0"/>
              <w:rPr>
                <w:sz w:val="20"/>
                <w:szCs w:val="20"/>
                <w:color w:val="auto"/>
              </w:rPr>
            </w:pPr>
            <w:r>
              <w:rPr>
                <w:rFonts w:ascii="Courier New" w:cs="Courier New" w:eastAsia="Courier New" w:hAnsi="Courier New"/>
                <w:sz w:val="14"/>
                <w:szCs w:val="14"/>
                <w:color w:val="auto"/>
              </w:rPr>
              <w:t>Total revenue</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33,929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27,164</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18,779</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Theater costs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(26,023)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(21,377)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(14,452)</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(3,673)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(2,785)</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(1,793)</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(10,257)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(7,106)</w:t>
            </w:r>
          </w:p>
        </w:tc>
        <w:tc>
          <w:tcPr>
            <w:tcW w:w="0" w:type="dxa"/>
            <w:vAlign w:val="bottom"/>
          </w:tcPr>
          <w:p>
            <w:pPr>
              <w:spacing w:after="0"/>
              <w:rPr>
                <w:sz w:val="1"/>
                <w:szCs w:val="1"/>
                <w:color w:val="auto"/>
              </w:rPr>
            </w:pPr>
          </w:p>
        </w:tc>
      </w:tr>
      <w:tr>
        <w:trPr>
          <w:trHeight w:val="166"/>
        </w:trPr>
        <w:tc>
          <w:tcPr>
            <w:tcW w:w="3500" w:type="dxa"/>
            <w:vAlign w:val="bottom"/>
            <w:vMerge w:val="restart"/>
          </w:tcPr>
          <w:p>
            <w:pPr>
              <w:spacing w:after="0"/>
              <w:rPr>
                <w:sz w:val="20"/>
                <w:szCs w:val="20"/>
                <w:color w:val="auto"/>
              </w:rPr>
            </w:pPr>
            <w:r>
              <w:rPr>
                <w:rFonts w:ascii="Courier New" w:cs="Courier New" w:eastAsia="Courier New" w:hAnsi="Courier New"/>
                <w:sz w:val="14"/>
                <w:szCs w:val="14"/>
                <w:color w:val="auto"/>
              </w:rPr>
              <w:t>Loss from operations</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(6,024)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(6,735)</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(4,572)</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Equity in earnings of Citadel/Big 4</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1,526</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Interest and dividend income, net</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4,519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7,737</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4,165</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(642)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2,918</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4,327</w:t>
            </w:r>
          </w:p>
        </w:tc>
        <w:tc>
          <w:tcPr>
            <w:tcW w:w="0" w:type="dxa"/>
            <w:vAlign w:val="bottom"/>
          </w:tcPr>
          <w:p>
            <w:pPr>
              <w:spacing w:after="0"/>
              <w:rPr>
                <w:sz w:val="1"/>
                <w:szCs w:val="1"/>
                <w:color w:val="auto"/>
              </w:rPr>
            </w:pPr>
          </w:p>
        </w:tc>
      </w:tr>
      <w:tr>
        <w:trPr>
          <w:trHeight w:val="166"/>
        </w:trPr>
        <w:tc>
          <w:tcPr>
            <w:tcW w:w="3500" w:type="dxa"/>
            <w:vAlign w:val="bottom"/>
            <w:vMerge w:val="restart"/>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(1,077)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4,218</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5,446</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(1,067)</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1,236</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w:t>
            </w:r>
          </w:p>
        </w:tc>
        <w:tc>
          <w:tcPr>
            <w:tcW w:w="0" w:type="dxa"/>
            <w:vAlign w:val="bottom"/>
          </w:tcPr>
          <w:p>
            <w:pPr>
              <w:spacing w:after="0"/>
              <w:rPr>
                <w:sz w:val="1"/>
                <w:szCs w:val="1"/>
                <w:color w:val="auto"/>
              </w:rPr>
            </w:pPr>
          </w:p>
        </w:tc>
      </w:tr>
      <w:tr>
        <w:trPr>
          <w:trHeight w:val="166"/>
        </w:trPr>
        <w:tc>
          <w:tcPr>
            <w:tcW w:w="350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(2,406)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2,955</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7,003</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Less preferred stock dividends</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(4,322)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(4,309)</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(911)</w:t>
            </w:r>
          </w:p>
        </w:tc>
        <w:tc>
          <w:tcPr>
            <w:tcW w:w="0" w:type="dxa"/>
            <w:vAlign w:val="bottom"/>
          </w:tcPr>
          <w:p>
            <w:pPr>
              <w:spacing w:after="0"/>
              <w:rPr>
                <w:sz w:val="1"/>
                <w:szCs w:val="1"/>
                <w:color w:val="auto"/>
              </w:rPr>
            </w:pPr>
          </w:p>
        </w:tc>
      </w:tr>
      <w:tr>
        <w:trPr>
          <w:trHeight w:val="242"/>
        </w:trPr>
        <w:tc>
          <w:tcPr>
            <w:tcW w:w="3500" w:type="dxa"/>
            <w:vAlign w:val="bottom"/>
            <w:vMerge w:val="restart"/>
          </w:tcPr>
          <w:p>
            <w:pPr>
              <w:spacing w:after="0"/>
              <w:rPr>
                <w:sz w:val="20"/>
                <w:szCs w:val="20"/>
                <w:color w:val="auto"/>
              </w:rPr>
            </w:pPr>
            <w:r>
              <w:rPr>
                <w:rFonts w:ascii="Courier New" w:cs="Courier New" w:eastAsia="Courier New" w:hAnsi="Courier New"/>
                <w:sz w:val="14"/>
                <w:szCs w:val="14"/>
                <w:color w:val="auto"/>
              </w:rPr>
              <w:t>Net (loss) income applicable to common</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500" w:type="dxa"/>
            <w:vAlign w:val="bottom"/>
            <w:vMerge w:val="continue"/>
          </w:tcPr>
          <w:p>
            <w:pPr>
              <w:spacing w:after="0"/>
              <w:rPr>
                <w:sz w:val="7"/>
                <w:szCs w:val="7"/>
                <w:color w:val="auto"/>
              </w:rPr>
            </w:pP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 (6,728)</w:t>
            </w:r>
          </w:p>
        </w:tc>
        <w:tc>
          <w:tcPr>
            <w:tcW w:w="13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(1,354)</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6,092</w:t>
            </w:r>
          </w:p>
        </w:tc>
        <w:tc>
          <w:tcPr>
            <w:tcW w:w="0" w:type="dxa"/>
            <w:vAlign w:val="bottom"/>
          </w:tcPr>
          <w:p>
            <w:pPr>
              <w:spacing w:after="0"/>
              <w:rPr>
                <w:sz w:val="1"/>
                <w:szCs w:val="1"/>
                <w:color w:val="auto"/>
              </w:rPr>
            </w:pPr>
          </w:p>
        </w:tc>
      </w:tr>
      <w:tr>
        <w:trPr>
          <w:trHeight w:val="166"/>
        </w:trPr>
        <w:tc>
          <w:tcPr>
            <w:tcW w:w="3500" w:type="dxa"/>
            <w:vAlign w:val="bottom"/>
          </w:tcPr>
          <w:p>
            <w:pPr>
              <w:ind w:left="100"/>
              <w:spacing w:after="0"/>
              <w:rPr>
                <w:sz w:val="20"/>
                <w:szCs w:val="20"/>
                <w:color w:val="auto"/>
              </w:rPr>
            </w:pPr>
            <w:r>
              <w:rPr>
                <w:rFonts w:ascii="Courier New" w:cs="Courier New" w:eastAsia="Courier New" w:hAnsi="Courier New"/>
                <w:sz w:val="14"/>
                <w:szCs w:val="14"/>
                <w:color w:val="auto"/>
              </w:rPr>
              <w:t>stock shareholders</w:t>
            </w:r>
          </w:p>
        </w:tc>
        <w:tc>
          <w:tcPr>
            <w:tcW w:w="94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00" w:type="dxa"/>
            <w:vAlign w:val="bottom"/>
            <w:vMerge w:val="restart"/>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0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(0.90)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c>
          <w:tcPr>
            <w:tcW w:w="0" w:type="dxa"/>
            <w:vAlign w:val="bottom"/>
          </w:tcPr>
          <w:p>
            <w:pPr>
              <w:spacing w:after="0"/>
              <w:rPr>
                <w:sz w:val="1"/>
                <w:szCs w:val="1"/>
                <w:color w:val="auto"/>
              </w:rPr>
            </w:pPr>
          </w:p>
        </w:tc>
      </w:tr>
      <w:tr>
        <w:trPr>
          <w:trHeight w:val="166"/>
        </w:trPr>
        <w:tc>
          <w:tcPr>
            <w:tcW w:w="3500" w:type="dxa"/>
            <w:vAlign w:val="bottom"/>
            <w:vMerge w:val="restart"/>
          </w:tcPr>
          <w:p>
            <w:pPr>
              <w:spacing w:after="0"/>
              <w:rPr>
                <w:sz w:val="20"/>
                <w:szCs w:val="20"/>
                <w:color w:val="auto"/>
              </w:rPr>
            </w:pPr>
            <w:r>
              <w:rPr>
                <w:rFonts w:ascii="Courier New" w:cs="Courier New" w:eastAsia="Courier New" w:hAnsi="Courier New"/>
                <w:sz w:val="14"/>
                <w:szCs w:val="14"/>
                <w:color w:val="auto"/>
              </w:rPr>
              <w:t>Fully diluted earnings (loss) per share</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0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(0.90)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1"/>
                <w:szCs w:val="21"/>
                <w:color w:val="auto"/>
              </w:rPr>
            </w:pP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Included in preferred stock dividends is approximately $455,000, $455,000 and $95,000 paid to the Company for the years ended December 31, 1998, 1997 and 1996, respectively. Net income for the year ended December 31, 1997 includes a non-recurring gain from the Stater Stock redemption and dividend income received prior to such redemption of approximately $6.5 million.</w:t>
      </w:r>
    </w:p>
    <w:p>
      <w:pPr>
        <w:spacing w:after="0" w:line="6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Included in income tax benefit for the year ended December 31, 1996 is approximately $1.8 million resulting from the recognition of previously reserved income tax assets, net of AMT tax. In addition, other income for the year ended December 31, 1996, includes legal settlements and other non-recurring income of approximately $3.4 million and $4.6 million, respectively.</w:t>
      </w:r>
    </w:p>
    <w:p>
      <w:pPr>
        <w:spacing w:after="0" w:line="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5 -</w:t>
        <w:tab/>
        <w:t>Equity investment and Advances to Agricultural Partnerships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As described in Note 1, the Company owns a 40% equity interest in the Agricultural Partnerships. On December 31, 1997, the Agricultural Partnerships acquired the Big 4 Properties which consisted of approximately 1,580 acres of agricultural land and related improvements, located in Kern County, California. The assets acquired included (i) approximately 560 acres of Navel oranges, 205 acres of Valencia oranges, 145 acres of lemons, 32 acres of minneolas and 600 acres of open land currently leased on a short term basis to a third party for the cultivation of annual crops (the "Open Land"), (ii) irrigation systems,</w:t>
      </w:r>
    </w:p>
    <w:p>
      <w:pPr>
        <w:spacing w:after="0" w:line="3" w:lineRule="exact"/>
        <w:rPr>
          <w:sz w:val="20"/>
          <w:szCs w:val="20"/>
          <w:color w:val="auto"/>
        </w:rPr>
      </w:pPr>
    </w:p>
    <w:p>
      <w:pPr>
        <w:ind w:right="3339" w:firstLine="8"/>
        <w:spacing w:after="0" w:line="269" w:lineRule="auto"/>
        <w:tabs>
          <w:tab w:leader="none" w:pos="51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water rights, (iv) frost prevention systems and (v) the fruit on the trees slated for harvest in 1998. The Big 4 Properties were acquired by the Agricultural Partnerships (the "Ranch Acquisition") from Prudential Insurance Company of America ("Prudential") on an arms length basis for a purchase price of $6.75 million, plus reimbursement of certain cultural costs approximating $831,000.</w:t>
      </w:r>
    </w:p>
    <w:p>
      <w:pPr>
        <w:spacing w:after="0" w:line="24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590"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ind w:right="3779"/>
        <w:spacing w:after="0" w:line="376" w:lineRule="auto"/>
        <w:rPr>
          <w:sz w:val="20"/>
          <w:szCs w:val="20"/>
          <w:color w:val="auto"/>
        </w:rPr>
      </w:pPr>
      <w:r>
        <w:rPr>
          <w:rFonts w:ascii="Courier New" w:cs="Courier New" w:eastAsia="Courier New" w:hAnsi="Courier New"/>
          <w:sz w:val="14"/>
          <w:szCs w:val="14"/>
          <w:color w:val="auto"/>
        </w:rPr>
        <w:t>At December 31, 1998 and 1997, "Investments in and advances to Agricultural Partnerships" consist of the following: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40" w:type="dxa"/>
            <w:vAlign w:val="bottom"/>
          </w:tcPr>
          <w:p>
            <w:pPr>
              <w:spacing w:after="0"/>
              <w:rPr>
                <w:sz w:val="14"/>
                <w:szCs w:val="14"/>
                <w:color w:val="auto"/>
              </w:rPr>
            </w:pPr>
          </w:p>
        </w:tc>
        <w:tc>
          <w:tcPr>
            <w:tcW w:w="700" w:type="dxa"/>
            <w:vAlign w:val="bottom"/>
            <w:vMerge w:val="restart"/>
          </w:tcPr>
          <w:p>
            <w:pPr>
              <w:jc w:val="center"/>
              <w:ind w:left="8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540" w:type="dxa"/>
            <w:vAlign w:val="bottom"/>
          </w:tcPr>
          <w:p>
            <w:pPr>
              <w:jc w:val="center"/>
              <w:ind w:left="96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7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center"/>
              <w:ind w:lef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1"/>
                <w:szCs w:val="21"/>
                <w:color w:val="auto"/>
              </w:rPr>
            </w:pPr>
          </w:p>
        </w:tc>
        <w:tc>
          <w:tcPr>
            <w:tcW w:w="22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5"/>
        </w:trPr>
        <w:tc>
          <w:tcPr>
            <w:tcW w:w="4140" w:type="dxa"/>
            <w:vAlign w:val="bottom"/>
          </w:tcPr>
          <w:p>
            <w:pPr>
              <w:spacing w:after="0"/>
              <w:rPr>
                <w:sz w:val="20"/>
                <w:szCs w:val="20"/>
                <w:color w:val="auto"/>
              </w:rPr>
            </w:pPr>
            <w:r>
              <w:rPr>
                <w:rFonts w:ascii="Courier New" w:cs="Courier New" w:eastAsia="Courier New" w:hAnsi="Courier New"/>
                <w:sz w:val="14"/>
                <w:szCs w:val="14"/>
                <w:color w:val="auto"/>
              </w:rPr>
              <w:t>Equity investment in Agricultural Partnerships</w:t>
            </w: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59</w:t>
            </w:r>
          </w:p>
        </w:tc>
        <w:tc>
          <w:tcPr>
            <w:tcW w:w="1540" w:type="dxa"/>
            <w:vAlign w:val="bottom"/>
          </w:tcPr>
          <w:p>
            <w:pPr>
              <w:jc w:val="center"/>
              <w:ind w:left="948"/>
              <w:spacing w:after="0"/>
              <w:rPr>
                <w:sz w:val="20"/>
                <w:szCs w:val="20"/>
                <w:color w:val="auto"/>
              </w:rPr>
            </w:pPr>
            <w:r>
              <w:rPr>
                <w:rFonts w:ascii="Courier New" w:cs="Courier New" w:eastAsia="Courier New" w:hAnsi="Courier New"/>
                <w:sz w:val="14"/>
                <w:szCs w:val="14"/>
                <w:color w:val="auto"/>
              </w:rPr>
              <w:t>$1,129</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Note receivable from Agricultural Partnerships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1,502</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center"/>
              <w:ind w:left="9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$1,561</w:t>
            </w:r>
          </w:p>
        </w:tc>
        <w:tc>
          <w:tcPr>
            <w:tcW w:w="1540" w:type="dxa"/>
            <w:vAlign w:val="bottom"/>
          </w:tcPr>
          <w:p>
            <w:pPr>
              <w:jc w:val="center"/>
              <w:ind w:left="948"/>
              <w:spacing w:after="0"/>
              <w:rPr>
                <w:sz w:val="20"/>
                <w:szCs w:val="20"/>
                <w:color w:val="auto"/>
              </w:rPr>
            </w:pPr>
            <w:r>
              <w:rPr>
                <w:rFonts w:ascii="Courier New" w:cs="Courier New" w:eastAsia="Courier New" w:hAnsi="Courier New"/>
                <w:sz w:val="14"/>
                <w:szCs w:val="14"/>
                <w:color w:val="auto"/>
              </w:rPr>
              <w:t>$1,960</w:t>
            </w: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1"/>
                <w:szCs w:val="21"/>
                <w:color w:val="auto"/>
              </w:rPr>
            </w:pP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center"/>
              <w:ind w:left="9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Ranch Acquisition was financed by prorata capital contributions of the partners (Citadel's 40% portion amounting to approximately $1.08 million), by a $4.05 million purchase money loan from Prudential, and by a crop finance loan by Citadel to the Agricultural Partnerships of approximately $.831 million. The loan by Citadel was advanced pursuant to a $1.2 million Line of Credit Agreement (the "Crop Financing") extended by the Company to the Agricultural Partnerships. Drawdowns under the Crop Financing accrued interest at prime plus 100 basis points, payable quarterly, and was due and payable in August 1998, at which time $458,000 was outstanding. Upon its expiration, Citadel entered into an amended Line of Credit, increasing the available line of credit to $1,850,000 under the same terms and conditions for an additional twelve month period. As described below, in December 1998, the Agricultural Partnerships suffered a devastating freeze which resulted in a loss of substantially all of its 1998-1999 crop. As a consequence of the freeze, the Agricultural Partnerships have no funds with which to repay the drawdowns on the Line of Credit. Big 4 Ranch, Inc. likewise has no funds with which to make further capital contributions. Furthermore, the Agricultural Partnerships generally have no source of funding, other than the Company, for the cultural expenses needed for production of the 1999-2000 crop, as well as, funding of a crop planting program on the undeveloped acreage. In addition, to the $1,850,000 line of credit, it is estimated that the Agricultural Partnerships will need additional cash in the amount of $2,140,000 in order to cover cultural costs and approximately $500,000 in order to complete the planting program through the end of the year. Subsequent to year end, the Company has continued to fund the Agricultural Partnerships operating and crop costs. No revenue is expected to be realized by the Agricultural Partnerships until the 1999 - 2000 crop is harvested and sold. In addition to the current funding the Company is considering making available long-term financing to the Agricultural Partnerships to fund its future operating needs and future crop development activities.</w:t>
      </w:r>
    </w:p>
    <w:p>
      <w:pPr>
        <w:spacing w:after="0" w:line="82"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In December 1997 Big 4 Farming LLC ("Farming", owned 80% by the Company and 20% by Visalia) entered into a farming services agreement (the "Farming Contract") with each of the Agricultural Partnerships, pursuant to which it provides farm operation services for an initial term of two years. The Visalia minority interest ownership of Farming is included in the Consolidated Balance Sheet at December 31, 1998 as "Minority interest" in the amount of $44,000. Visalia's portion of Farming's net earnings for the year ended December 31, 1998 amounting to $15,000 is included in the Consolidated Statement of Operations as "Minority interest".</w:t>
      </w:r>
    </w:p>
    <w:p>
      <w:pPr>
        <w:spacing w:after="0" w:line="250"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In consideration of the services provided under the Farming Contract, Farming is paid an amount equal to 100% of its costs plus a profit factor equal to 5% of the gross agricultural receipts from the Big 4 Properties, calculated after the costs of picking, packing and hauling. In addition, Farming entered into a contract with Cecelia Packing Corporation ("Cecelia" owned by James J. Cotter) for certain management consulting, purchasing and bookkeeping services for an initial terms of two years at a fee of $6,000 per month plus reimbursement of certain out-of-pocket expenses. Cecelia also packs a portion of the fruit produced by the Agricultural Partnerships. During 1998, Cecilia received a fee of $72,000 and provided packing house services for the Agricultural Partnerships for approximately $1,193,000 of the crop revenue reported by the Agricultural Partnerships.</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0"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47"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Summarized financial information of the Agricultural Partnership as of December 31, 1998 and the results of operations for the year ended December 31, 1998 follows: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Balance Sheet: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8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(000's)</w:t>
            </w: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$ 5,645</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Deferred loan costs</w:t>
            </w:r>
          </w:p>
        </w:tc>
        <w:tc>
          <w:tcPr>
            <w:tcW w:w="104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w:t>
            </w:r>
          </w:p>
        </w:tc>
        <w:tc>
          <w:tcPr>
            <w:tcW w:w="0" w:type="dxa"/>
            <w:vAlign w:val="bottom"/>
          </w:tcPr>
          <w:p>
            <w:pPr>
              <w:spacing w:after="0"/>
              <w:rPr>
                <w:sz w:val="1"/>
                <w:szCs w:val="1"/>
                <w:color w:val="auto"/>
              </w:rPr>
            </w:pPr>
          </w:p>
        </w:tc>
      </w:tr>
      <w:tr>
        <w:trPr>
          <w:trHeight w:val="166"/>
        </w:trPr>
        <w:tc>
          <w:tcPr>
            <w:tcW w:w="35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continue"/>
          </w:tcPr>
          <w:p>
            <w:pPr>
              <w:spacing w:after="0"/>
              <w:rPr>
                <w:sz w:val="14"/>
                <w:szCs w:val="14"/>
                <w:color w:val="auto"/>
              </w:rPr>
            </w:pP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$ 5,729</w:t>
            </w:r>
          </w:p>
        </w:tc>
        <w:tc>
          <w:tcPr>
            <w:tcW w:w="0" w:type="dxa"/>
            <w:vAlign w:val="bottom"/>
          </w:tcPr>
          <w:p>
            <w:pPr>
              <w:spacing w:after="0"/>
              <w:rPr>
                <w:sz w:val="1"/>
                <w:szCs w:val="1"/>
                <w:color w:val="auto"/>
              </w:rPr>
            </w:pPr>
          </w:p>
        </w:tc>
      </w:tr>
      <w:tr>
        <w:trPr>
          <w:trHeight w:val="166"/>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rPr>
              <w:t>Accounts payable</w:t>
            </w: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Due to Big 4 Farming LLC (1)</w:t>
            </w:r>
          </w:p>
        </w:tc>
        <w:tc>
          <w:tcPr>
            <w:tcW w:w="104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297</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Line of credit with Citadel</w:t>
            </w:r>
          </w:p>
        </w:tc>
        <w:tc>
          <w:tcPr>
            <w:tcW w:w="104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1,206</w:t>
            </w:r>
          </w:p>
        </w:tc>
        <w:tc>
          <w:tcPr>
            <w:tcW w:w="0" w:type="dxa"/>
            <w:vAlign w:val="bottom"/>
          </w:tcPr>
          <w:p>
            <w:pPr>
              <w:spacing w:after="0"/>
              <w:rPr>
                <w:sz w:val="1"/>
                <w:szCs w:val="1"/>
                <w:color w:val="auto"/>
              </w:rPr>
            </w:pPr>
          </w:p>
        </w:tc>
      </w:tr>
      <w:tr>
        <w:trPr>
          <w:trHeight w:val="166"/>
        </w:trPr>
        <w:tc>
          <w:tcPr>
            <w:tcW w:w="35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1,533</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Mortgage note payable</w:t>
            </w:r>
          </w:p>
        </w:tc>
        <w:tc>
          <w:tcPr>
            <w:tcW w:w="104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4,050</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Partners capital</w:t>
            </w:r>
          </w:p>
        </w:tc>
        <w:tc>
          <w:tcPr>
            <w:tcW w:w="104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146</w:t>
            </w:r>
          </w:p>
        </w:tc>
        <w:tc>
          <w:tcPr>
            <w:tcW w:w="0" w:type="dxa"/>
            <w:vAlign w:val="bottom"/>
          </w:tcPr>
          <w:p>
            <w:pPr>
              <w:spacing w:after="0"/>
              <w:rPr>
                <w:sz w:val="1"/>
                <w:szCs w:val="1"/>
                <w:color w:val="auto"/>
              </w:rPr>
            </w:pPr>
          </w:p>
        </w:tc>
      </w:tr>
      <w:tr>
        <w:trPr>
          <w:trHeight w:val="166"/>
        </w:trPr>
        <w:tc>
          <w:tcPr>
            <w:tcW w:w="35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assets and liabilities</w:t>
            </w: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continue"/>
          </w:tcPr>
          <w:p>
            <w:pPr>
              <w:spacing w:after="0"/>
              <w:rPr>
                <w:sz w:val="14"/>
                <w:szCs w:val="14"/>
                <w:color w:val="auto"/>
              </w:rPr>
            </w:pP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$ 5,729</w:t>
            </w: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right="3519" w:hanging="352"/>
        <w:spacing w:after="0" w:line="275"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above, Farming provides all farming services to the Agricultural Partnerships pursuant to the Farming Contract. Such services include the contracting for the picking, packing and hauling of the crops. The $297,000 reflected as 'Due to Big 4 Farming LLC" at December 31, 1998 represents expenses paid by Farming on behalf of the Agricultural Partnerships not yet drawn down on the line of credit.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Purchase Money Loan in the amount of $4.05 million is secured 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among other things, a first priority mortgage lien on the property, has a ten-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maturity and accrues interest, payable quarterly, at a fixed rate of 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order to defer principal payments until January 1, 2002, the Agricultural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Partnerships must make capital improvements to the real property totaling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 by December 31, 2000 and an additional $200,000 by 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the required capital expenditures are not made, then the Agricultural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Partnerships will be required to make a mandatory prepayment of principal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 equal to difference between $500,000 and the amount of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improvements made through December 31, 2000. The purchase money mortgage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imposes a prepayment penalty equal to the greater of (a) one-half of one percent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each prepayment of principal and (b) a present value calculation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anticipated loss that the note holder will suffer as a result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prepayment. As of December 31, 1998 the Agricultural Partnerships had made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 of approximately $624,000 consisting primarily of new tree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plantings and improvements to irrigation systems.</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90"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Operations: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00" w:type="dxa"/>
            <w:vAlign w:val="bottom"/>
          </w:tcPr>
          <w:p>
            <w:pPr>
              <w:spacing w:after="0"/>
              <w:rPr>
                <w:sz w:val="13"/>
                <w:szCs w:val="13"/>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1998</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400" w:type="dxa"/>
            <w:vAlign w:val="bottom"/>
          </w:tcPr>
          <w:p>
            <w:pPr>
              <w:spacing w:after="0"/>
              <w:rPr>
                <w:sz w:val="21"/>
                <w:szCs w:val="21"/>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(000's)</w:t>
            </w:r>
          </w:p>
        </w:tc>
        <w:tc>
          <w:tcPr>
            <w:tcW w:w="0" w:type="dxa"/>
            <w:vAlign w:val="bottom"/>
          </w:tcPr>
          <w:p>
            <w:pPr>
              <w:spacing w:after="0"/>
              <w:rPr>
                <w:sz w:val="1"/>
                <w:szCs w:val="1"/>
                <w:color w:val="auto"/>
              </w:rPr>
            </w:pPr>
          </w:p>
        </w:tc>
      </w:tr>
      <w:tr>
        <w:trPr>
          <w:trHeight w:val="255"/>
        </w:trPr>
        <w:tc>
          <w:tcPr>
            <w:tcW w:w="4400" w:type="dxa"/>
            <w:vAlign w:val="bottom"/>
          </w:tcPr>
          <w:p>
            <w:pPr>
              <w:spacing w:after="0"/>
              <w:rPr>
                <w:sz w:val="20"/>
                <w:szCs w:val="20"/>
                <w:color w:val="auto"/>
              </w:rPr>
            </w:pPr>
            <w:r>
              <w:rPr>
                <w:rFonts w:ascii="Courier New" w:cs="Courier New" w:eastAsia="Courier New" w:hAnsi="Courier New"/>
                <w:sz w:val="14"/>
                <w:szCs w:val="14"/>
                <w:color w:val="auto"/>
              </w:rPr>
              <w:t>Sales of crops</w:t>
            </w: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$ 5,251</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Costs of sales</w:t>
            </w:r>
          </w:p>
        </w:tc>
        <w:tc>
          <w:tcPr>
            <w:tcW w:w="5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(5,047)</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Inventory loss from freeze</w:t>
            </w:r>
          </w:p>
        </w:tc>
        <w:tc>
          <w:tcPr>
            <w:tcW w:w="5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(1,577)</w:t>
            </w:r>
          </w:p>
        </w:tc>
        <w:tc>
          <w:tcPr>
            <w:tcW w:w="0" w:type="dxa"/>
            <w:vAlign w:val="bottom"/>
          </w:tcPr>
          <w:p>
            <w:pPr>
              <w:spacing w:after="0"/>
              <w:rPr>
                <w:sz w:val="1"/>
                <w:szCs w:val="1"/>
                <w:color w:val="auto"/>
              </w:rPr>
            </w:pPr>
          </w:p>
        </w:tc>
      </w:tr>
      <w:tr>
        <w:trPr>
          <w:trHeight w:val="166"/>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Gross loss</w:t>
            </w: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4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(1,373)</w:t>
            </w:r>
          </w:p>
        </w:tc>
        <w:tc>
          <w:tcPr>
            <w:tcW w:w="0" w:type="dxa"/>
            <w:vAlign w:val="bottom"/>
          </w:tcPr>
          <w:p>
            <w:pPr>
              <w:spacing w:after="0"/>
              <w:rPr>
                <w:sz w:val="1"/>
                <w:szCs w:val="1"/>
                <w:color w:val="auto"/>
              </w:rPr>
            </w:pPr>
          </w:p>
        </w:tc>
      </w:tr>
      <w:tr>
        <w:trPr>
          <w:trHeight w:val="255"/>
        </w:trPr>
        <w:tc>
          <w:tcPr>
            <w:tcW w:w="4400" w:type="dxa"/>
            <w:vAlign w:val="bottom"/>
          </w:tcPr>
          <w:p>
            <w:pPr>
              <w:spacing w:after="0"/>
              <w:rPr>
                <w:sz w:val="20"/>
                <w:szCs w:val="20"/>
                <w:color w:val="auto"/>
              </w:rPr>
            </w:pPr>
            <w:r>
              <w:rPr>
                <w:rFonts w:ascii="Courier New" w:cs="Courier New" w:eastAsia="Courier New" w:hAnsi="Courier New"/>
                <w:sz w:val="14"/>
                <w:szCs w:val="14"/>
                <w:color w:val="auto"/>
              </w:rPr>
              <w:t>General and administrative expense (1)</w:t>
            </w:r>
          </w:p>
        </w:tc>
        <w:tc>
          <w:tcPr>
            <w:tcW w:w="520" w:type="dxa"/>
            <w:vAlign w:val="bottom"/>
          </w:tcPr>
          <w:p>
            <w:pPr>
              <w:spacing w:after="0"/>
              <w:rPr>
                <w:sz w:val="22"/>
                <w:szCs w:val="22"/>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(414)</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5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expense, including $71,000 paid to Citadel</w:t>
            </w:r>
          </w:p>
        </w:tc>
        <w:tc>
          <w:tcPr>
            <w:tcW w:w="5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w:t>
            </w:r>
          </w:p>
        </w:tc>
        <w:tc>
          <w:tcPr>
            <w:tcW w:w="0" w:type="dxa"/>
            <w:vAlign w:val="bottom"/>
          </w:tcPr>
          <w:p>
            <w:pPr>
              <w:spacing w:after="0"/>
              <w:rPr>
                <w:sz w:val="1"/>
                <w:szCs w:val="1"/>
                <w:color w:val="auto"/>
              </w:rPr>
            </w:pPr>
          </w:p>
        </w:tc>
      </w:tr>
      <w:tr>
        <w:trPr>
          <w:trHeight w:val="166"/>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Net (loss)</w:t>
            </w: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00" w:type="dxa"/>
            <w:vAlign w:val="bottom"/>
            <w:vMerge w:val="continue"/>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$(2,651)</w:t>
            </w:r>
          </w:p>
        </w:tc>
        <w:tc>
          <w:tcPr>
            <w:tcW w:w="0" w:type="dxa"/>
            <w:vAlign w:val="bottom"/>
          </w:tcPr>
          <w:p>
            <w:pPr>
              <w:spacing w:after="0"/>
              <w:rPr>
                <w:sz w:val="1"/>
                <w:szCs w:val="1"/>
                <w:color w:val="auto"/>
              </w:rPr>
            </w:pPr>
          </w:p>
        </w:tc>
      </w:tr>
      <w:tr>
        <w:trPr>
          <w:trHeight w:val="166"/>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Equity loss - 40% Citadel</w:t>
            </w: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00" w:type="dxa"/>
            <w:vAlign w:val="bottom"/>
            <w:vMerge w:val="continue"/>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$(1,061)</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income from partnership loan</w:t>
            </w:r>
          </w:p>
        </w:tc>
        <w:tc>
          <w:tcPr>
            <w:tcW w:w="5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w:t>
            </w:r>
          </w:p>
        </w:tc>
        <w:tc>
          <w:tcPr>
            <w:tcW w:w="0" w:type="dxa"/>
            <w:vAlign w:val="bottom"/>
          </w:tcPr>
          <w:p>
            <w:pPr>
              <w:spacing w:after="0"/>
              <w:rPr>
                <w:sz w:val="1"/>
                <w:szCs w:val="1"/>
                <w:color w:val="auto"/>
              </w:rPr>
            </w:pPr>
          </w:p>
        </w:tc>
      </w:tr>
      <w:tr>
        <w:trPr>
          <w:trHeight w:val="242"/>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Net (loss) from investment in and advances to</w:t>
            </w: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40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(990)</w:t>
            </w:r>
          </w:p>
        </w:tc>
        <w:tc>
          <w:tcPr>
            <w:tcW w:w="0" w:type="dxa"/>
            <w:vAlign w:val="bottom"/>
          </w:tcPr>
          <w:p>
            <w:pPr>
              <w:spacing w:after="0"/>
              <w:rPr>
                <w:sz w:val="1"/>
                <w:szCs w:val="1"/>
                <w:color w:val="auto"/>
              </w:rPr>
            </w:pPr>
          </w:p>
        </w:tc>
      </w:tr>
      <w:tr>
        <w:trPr>
          <w:trHeight w:val="166"/>
        </w:trPr>
        <w:tc>
          <w:tcPr>
            <w:tcW w:w="4400" w:type="dxa"/>
            <w:vAlign w:val="bottom"/>
          </w:tcPr>
          <w:p>
            <w:pPr>
              <w:ind w:left="100"/>
              <w:spacing w:after="0"/>
              <w:rPr>
                <w:sz w:val="20"/>
                <w:szCs w:val="20"/>
                <w:color w:val="auto"/>
              </w:rPr>
            </w:pPr>
            <w:r>
              <w:rPr>
                <w:rFonts w:ascii="Courier New" w:cs="Courier New" w:eastAsia="Courier New" w:hAnsi="Courier New"/>
                <w:sz w:val="14"/>
                <w:szCs w:val="14"/>
                <w:color w:val="auto"/>
              </w:rPr>
              <w:t>Agriculture Partnerships</w:t>
            </w: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Farm management fee, net of costs</w:t>
            </w:r>
          </w:p>
        </w:tc>
        <w:tc>
          <w:tcPr>
            <w:tcW w:w="52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and minority interest</w:t>
            </w:r>
          </w:p>
        </w:tc>
        <w:tc>
          <w:tcPr>
            <w:tcW w:w="5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Net loss to Citadel</w:t>
            </w: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00" w:type="dxa"/>
            <w:vAlign w:val="bottom"/>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(928)</w:t>
            </w:r>
          </w:p>
        </w:tc>
        <w:tc>
          <w:tcPr>
            <w:tcW w:w="0" w:type="dxa"/>
            <w:vAlign w:val="bottom"/>
          </w:tcPr>
          <w:p>
            <w:pPr>
              <w:spacing w:after="0"/>
              <w:rPr>
                <w:sz w:val="1"/>
                <w:szCs w:val="1"/>
                <w:color w:val="auto"/>
              </w:rPr>
            </w:pPr>
          </w:p>
        </w:tc>
      </w:tr>
      <w:tr>
        <w:trPr>
          <w:trHeight w:val="242"/>
        </w:trPr>
        <w:tc>
          <w:tcPr>
            <w:tcW w:w="4400" w:type="dxa"/>
            <w:vAlign w:val="bottom"/>
          </w:tcPr>
          <w:p>
            <w:pPr>
              <w:spacing w:after="0"/>
              <w:rPr>
                <w:sz w:val="21"/>
                <w:szCs w:val="21"/>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859" w:firstLine="8"/>
        <w:spacing w:after="0" w:line="313"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reimbursement of Agricultural Partnership fees and expenses amounting to $108,000 to Big 4 Farming LLC, an 80% owned subsidiary of the Company.</w:t>
      </w:r>
    </w:p>
    <w:p>
      <w:pPr>
        <w:spacing w:after="0" w:line="4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In December 1998, the Big 4 properties suffered a devastating freeze which resulted in the loss of the 1998-1999 crop. The crop lost in the freeze was not insured. As a result of the freeze, it is anticipated that the Agricultural Partnerships will report operating losses for several years. The future operations of the Agricultural Partnerships are currently dependent on future funding from Citadel. The Agricultural Partnerships have obtained insurance in the event of any future catastrophic loss to the 1999-2000 crops in order to further satisfy repayment of future borrowings from the Company.</w:t>
      </w:r>
    </w:p>
    <w:p>
      <w:pPr>
        <w:spacing w:after="0" w:line="74"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The following table reflects unaudited pro forma combined results of operations of the Company on the basis that the acquisition had taken place on January 1, 1996.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80" w:type="dxa"/>
            <w:vAlign w:val="bottom"/>
          </w:tcPr>
          <w:p>
            <w:pPr>
              <w:ind w:left="700"/>
              <w:spacing w:after="0"/>
              <w:rPr>
                <w:sz w:val="20"/>
                <w:szCs w:val="20"/>
                <w:color w:val="auto"/>
              </w:rPr>
            </w:pPr>
            <w:r>
              <w:rPr>
                <w:rFonts w:ascii="Courier New" w:cs="Courier New" w:eastAsia="Courier New" w:hAnsi="Courier New"/>
                <w:sz w:val="14"/>
                <w:szCs w:val="14"/>
                <w:color w:val="auto"/>
              </w:rPr>
              <w:t>(Thousands except per share amount)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0"/>
                <w:szCs w:val="20"/>
                <w:color w:val="auto"/>
              </w:rPr>
            </w:pPr>
            <w:r>
              <w:rPr>
                <w:rFonts w:ascii="Courier New" w:cs="Courier New" w:eastAsia="Courier New" w:hAnsi="Courier New"/>
                <w:sz w:val="14"/>
                <w:szCs w:val="14"/>
                <w:color w:val="auto"/>
              </w:rPr>
              <w:t>Earnings (losses) from equity investment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 (200)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$1,320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6,276</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earnings available</w:t>
            </w:r>
          </w:p>
        </w:tc>
        <w:tc>
          <w:tcPr>
            <w:tcW w:w="9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$1,320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5"/>
              </w:rPr>
              <w:t>6,118</w:t>
            </w:r>
          </w:p>
        </w:tc>
        <w:tc>
          <w:tcPr>
            <w:tcW w:w="0" w:type="dxa"/>
            <w:vAlign w:val="bottom"/>
          </w:tcPr>
          <w:p>
            <w:pPr>
              <w:spacing w:after="0"/>
              <w:rPr>
                <w:sz w:val="1"/>
                <w:szCs w:val="1"/>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to common stockholders</w:t>
            </w:r>
          </w:p>
        </w:tc>
        <w:tc>
          <w:tcPr>
            <w:tcW w:w="9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$ 0.20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0"/>
                <w:szCs w:val="20"/>
                <w:color w:val="auto"/>
              </w:rPr>
            </w:pPr>
            <w:r>
              <w:rPr>
                <w:rFonts w:ascii="Courier New" w:cs="Courier New" w:eastAsia="Courier New" w:hAnsi="Courier New"/>
                <w:sz w:val="14"/>
                <w:szCs w:val="14"/>
                <w:color w:val="auto"/>
              </w:rPr>
              <w:t>Dilutive earnings per share</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$ 0.20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0.78</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These unaudited pro forma results have been prepared for comparative purposes only and include certain adjustments, such as additional depreciation and amortization expense based upon an allocation of the purchase price, interest income from partnership loans, offset by expenses of Citadel to manage the properties. They do not purport to be indicative of the results of operations which actually would have resulted had the combination been in effect on January 1.</w:t>
      </w:r>
    </w:p>
    <w:p>
      <w:pPr>
        <w:spacing w:after="0" w:line="2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9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 Investment in Fidelity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On August 4, 1994, Citadel completed a restructuring in which, among other things, Citadel's ownership interest in its previously wholly owned subsidiary, Fidelity Federal Bank ("Fidelity"), was reduced to approximately 16%. During Fiscal 1995, the Company sold principally all of its holdings in Fidelity.</w:t>
      </w:r>
    </w:p>
    <w:p>
      <w:pPr>
        <w:spacing w:after="0" w:line="56"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In addition to the reduction of Citadel's interest in Fidelity, several other significant events occurred in the August 1994 Restructuring, including the execution and delivery by Citadel and Fidelity of a Stockholders' Agreement, under which Citadel agreed to reimburse Fidelity for certain losses incurred by Fidelity in either curing breached representations or repurchasing assets sold under a bulk sales agreement, subject to a $4 million aggregate limit, in the event Fidelity were to be determined to have breached certain representations made in connection with certain bulk sales of loans and properties in 1994. As a significant number of material issues were unresolved with regard to the Company's ultimate exposure with respect to the indemnity clause negotiated with Fidelity, the Company included $4 million on its Balance Sheet at December 31, 1995 as "Deferred proceeds from bulk sales agreement". During 1996, Fidelity reached a settlement with the purchaser regarding the bulk sales claims which released the Company from the indemnity given to Fidelity. Accordingly, the Company has reflected in the Statements of Operations for the year ended December 31, 1996, a non-recurring gain related to its previous investment in Fidelity, which resulted from the reversal of the $4 million deferral.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 Other Assets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assets are summarized as follows:</w:t>
            </w:r>
          </w:p>
        </w:tc>
        <w:tc>
          <w:tcPr>
            <w:tcW w:w="14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Deferred financing costs, net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93</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Impounds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Unbilled rent receivable</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Farm equipment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Accumulated depreciation</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$ 671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$ 406</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Mortgage Notes Payable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Mortgage notes payable at December 31, 1998 and 1997 included two mortgage notes payable to Fidelity in the aggregate amount of $9,224,000 and $9,395,000, respectively. Principal and interest is paid monthly at rates equal to LIBOR plus 4.5%. As of December 31, 1998, the 30-day LIBOR interest rate was 5.238%. The loan encumbering the Phoenix, Arizona property held for sale amount to $4,233,000 matures in August 2000 and requires a prepayment fee equal to approximately 3% of the unpaid principal. The loan encumbering the Glendale, California property in the amount of $4,991,000 matures in June 2001.</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future principal payments as of December 31, 1998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Year Ending December 31,</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242"/>
        </w:trPr>
        <w:tc>
          <w:tcPr>
            <w:tcW w:w="26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26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1999</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216</w:t>
            </w:r>
          </w:p>
        </w:tc>
      </w:tr>
      <w:tr>
        <w:trPr>
          <w:trHeight w:val="166"/>
        </w:trPr>
        <w:tc>
          <w:tcPr>
            <w:tcW w:w="26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2000</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4,948</w:t>
            </w:r>
          </w:p>
        </w:tc>
      </w:tr>
      <w:tr>
        <w:trPr>
          <w:trHeight w:val="166"/>
        </w:trPr>
        <w:tc>
          <w:tcPr>
            <w:tcW w:w="26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2001</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4,060</w:t>
            </w:r>
          </w:p>
        </w:tc>
      </w:tr>
      <w:tr>
        <w:trPr>
          <w:trHeight w:val="166"/>
        </w:trPr>
        <w:tc>
          <w:tcPr>
            <w:tcW w:w="2680" w:type="dxa"/>
            <w:vAlign w:val="bottom"/>
          </w:tcPr>
          <w:p>
            <w:pPr>
              <w:spacing w:after="0"/>
              <w:rPr>
                <w:sz w:val="14"/>
                <w:szCs w:val="14"/>
                <w:color w:val="auto"/>
              </w:rPr>
            </w:pP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$9,224</w:t>
            </w:r>
          </w:p>
        </w:tc>
      </w:tr>
      <w:tr>
        <w:trPr>
          <w:trHeight w:val="242"/>
        </w:trPr>
        <w:tc>
          <w:tcPr>
            <w:tcW w:w="2680" w:type="dxa"/>
            <w:vAlign w:val="bottom"/>
          </w:tcPr>
          <w:p>
            <w:pPr>
              <w:spacing w:after="0"/>
              <w:rPr>
                <w:sz w:val="21"/>
                <w:szCs w:val="21"/>
                <w:color w:val="auto"/>
              </w:rPr>
            </w:pP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tcPr>
          <w:p>
            <w:pPr>
              <w:spacing w:after="0"/>
              <w:rPr>
                <w:sz w:val="24"/>
                <w:szCs w:val="24"/>
                <w:color w:val="auto"/>
              </w:rPr>
            </w:pPr>
          </w:p>
        </w:tc>
        <w:tc>
          <w:tcPr>
            <w:tcW w:w="26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-37-</w:t>
            </w:r>
          </w:p>
        </w:tc>
      </w:tr>
    </w:tbl>
    <w:p>
      <w:pPr>
        <w:sectPr>
          <w:pgSz w:w="11900" w:h="16838" w:orient="portrait"/>
          <w:cols w:equalWidth="0" w:num="1">
            <w:col w:w="10239"/>
          </w:cols>
          <w:pgMar w:left="220" w:top="59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9 - 3% Cumulative Voting Convertible Preferred 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November 10, 1994, the Company issued 1,329,114 shares of 3% Cumulative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Convertible Preferred Stock ("Preferred Stock") at a stated value of</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$3.95 per share to Craig.</w:t>
        <w:tab/>
        <w:t>The Preferred Stock was subsequently transferred from</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Craig to Reading.</w:t>
        <w:tab/>
        <w:t>The price of the 1,329,114 shares issued was $5,250,000 which</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was paid through the conversion of existing indebtedness to Craig.</w:t>
      </w:r>
      <w:r>
        <w:rPr>
          <w:sz w:val="20"/>
          <w:szCs w:val="20"/>
          <w:color w:val="auto"/>
        </w:rPr>
        <w:tab/>
      </w:r>
      <w:r>
        <w:rPr>
          <w:rFonts w:ascii="Courier New" w:cs="Courier New" w:eastAsia="Courier New" w:hAnsi="Courier New"/>
          <w:sz w:val="14"/>
          <w:szCs w:val="14"/>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was convertible at the option of the holder into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conversion ratio was one share of Preferred Stock for a fraction of a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common, the numerator which is $3.95 per share plus any unpaid dividends,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denominator which is the average of the closing prices per share of the</w:t>
      </w:r>
    </w:p>
    <w:p>
      <w:pPr>
        <w:spacing w:after="0" w:line="7"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Company's common stock, as defined ("Market Price").</w:t>
        <w:tab/>
        <w:t>If the Market Price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$3.00, the Company could redeem the Preferred Stock tendered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calculated as the sum of (1) $3.95 per share, (2) any unpaid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(3) a premium at the redemption date equal to an accrual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Value ranging from 9% per annum during the period from November 1994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1998 and thereafter reducing over time.</w:t>
      </w:r>
    </w:p>
    <w:p>
      <w:pPr>
        <w:spacing w:after="0" w:line="147"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As described in Note 4, on October 15, 1996, the Company issued 1,329,114 shares of Series B 3% Cumulative Convertible Preferred Stock ("Series B Preferred Stock") to Reading in exchange for the Series A Preferred Stock. The terms of the Series B Preferred Stock were substantially identical to the terms of the Series A Preferred Stock except that (i) the Redemption Accrual Percentage was reduced from 9% to 3% after October 15, 1996 and (ii) except upon a change of control of the Company, the holders of the Series B Preferred Stock would no longer have the right to convert the Series B Preferred Stock into Company Common Stock during the one year period commencing on the fifteenth day following the filing of the Company's Annual Report on Form 10-K for the year ended December 31, 1996. In December 1996, Reading notified the Company of its exercise of its conversion rights and Citadel redeemed the Series B Preferred from Reading for approximately $6.19 million.</w:t>
      </w:r>
    </w:p>
    <w:p>
      <w:pPr>
        <w:spacing w:after="0" w:line="77"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Included as a reduction of stockholders' equity for the year ended December 31, 1996 is $232,000, representing dividends declared and paid in the 1996 period prior to the redemption of the Series B Preferred Stock in December 1996.</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 Future Minimum Rent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Rental income amounted to $5,478,000, $5,110,000 and $4,932,000 for the years ended December 31, 1998, 1997 and 1996, respectively. Rental income for the years ended December 31, 1998 and 1997 was derived from leases on two commercial properties held by the Company. Rental income earned with respect to the Phoenix, Arizona building held for sale amounted to $3,272,000, $2,967,000 and $2,573,000 for the years ended December 31, 1998, 1997 and 1996, respectively. Rental income from the Glendale, California Building is derived from two lessors, Disney Enterprises, Inc. and Fidelity Federal Bank.</w:t>
      </w:r>
    </w:p>
    <w:p>
      <w:pPr>
        <w:spacing w:after="0" w:line="74"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The Company has operating leases with tenants at its commercial properties that expire at various dates through 2005 and are subject to scheduled fixed increases or adjustments based on the Consumer Price Index. Generally accepted accounting principles requires that rents due under operating leases with fixed increases be averaged over the life of the lease. This practice, known as "straight-line rents" creates an unbilled rent receivable in any period during which the amount of straight-line rent exceeds the actual rent billed (this occurs primarily at the inception of the lease period). Included in the balance sheet as "Other assets" is approximately $184,000 of unbilled rent receivables which have been recognized under the straight line method pursuant to the terms of the Disney lease.</w:t>
      </w:r>
    </w:p>
    <w:p>
      <w:pPr>
        <w:spacing w:after="0" w:line="7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59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minimum rents under operating leases are summarized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Year Ending December 31,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500" w:type="dxa"/>
            <w:vAlign w:val="bottom"/>
          </w:tcPr>
          <w:p>
            <w:pPr>
              <w:spacing w:after="0"/>
              <w:rPr>
                <w:sz w:val="14"/>
                <w:szCs w:val="14"/>
                <w:color w:val="auto"/>
              </w:rPr>
            </w:pPr>
          </w:p>
        </w:tc>
      </w:tr>
      <w:tr>
        <w:trPr>
          <w:trHeight w:val="242"/>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21"/>
                <w:szCs w:val="21"/>
                <w:color w:val="auto"/>
              </w:rPr>
            </w:pPr>
          </w:p>
        </w:tc>
      </w:tr>
      <w:tr>
        <w:trPr>
          <w:trHeight w:val="255"/>
        </w:trPr>
        <w:tc>
          <w:tcPr>
            <w:tcW w:w="414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$4,938</w:t>
            </w:r>
          </w:p>
        </w:tc>
        <w:tc>
          <w:tcPr>
            <w:tcW w:w="1500" w:type="dxa"/>
            <w:vAlign w:val="bottom"/>
          </w:tcPr>
          <w:p>
            <w:pPr>
              <w:spacing w:after="0"/>
              <w:rPr>
                <w:sz w:val="22"/>
                <w:szCs w:val="22"/>
                <w:color w:val="auto"/>
              </w:rPr>
            </w:pPr>
          </w:p>
        </w:tc>
      </w:tr>
      <w:tr>
        <w:trPr>
          <w:trHeight w:val="166"/>
        </w:trPr>
        <w:tc>
          <w:tcPr>
            <w:tcW w:w="414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4,791</w:t>
            </w:r>
          </w:p>
        </w:tc>
        <w:tc>
          <w:tcPr>
            <w:tcW w:w="1500" w:type="dxa"/>
            <w:vAlign w:val="bottom"/>
          </w:tcPr>
          <w:p>
            <w:pPr>
              <w:spacing w:after="0"/>
              <w:rPr>
                <w:sz w:val="14"/>
                <w:szCs w:val="14"/>
                <w:color w:val="auto"/>
              </w:rPr>
            </w:pPr>
          </w:p>
        </w:tc>
      </w:tr>
      <w:tr>
        <w:trPr>
          <w:trHeight w:val="166"/>
        </w:trPr>
        <w:tc>
          <w:tcPr>
            <w:tcW w:w="414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4,488</w:t>
            </w:r>
          </w:p>
        </w:tc>
        <w:tc>
          <w:tcPr>
            <w:tcW w:w="1500" w:type="dxa"/>
            <w:vAlign w:val="bottom"/>
          </w:tcPr>
          <w:p>
            <w:pPr>
              <w:spacing w:after="0"/>
              <w:rPr>
                <w:sz w:val="14"/>
                <w:szCs w:val="14"/>
                <w:color w:val="auto"/>
              </w:rPr>
            </w:pPr>
          </w:p>
        </w:tc>
      </w:tr>
      <w:tr>
        <w:trPr>
          <w:trHeight w:val="166"/>
        </w:trPr>
        <w:tc>
          <w:tcPr>
            <w:tcW w:w="414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4,511</w:t>
            </w:r>
          </w:p>
        </w:tc>
        <w:tc>
          <w:tcPr>
            <w:tcW w:w="1500" w:type="dxa"/>
            <w:vAlign w:val="bottom"/>
          </w:tcPr>
          <w:p>
            <w:pPr>
              <w:spacing w:after="0"/>
              <w:rPr>
                <w:sz w:val="14"/>
                <w:szCs w:val="14"/>
                <w:color w:val="auto"/>
              </w:rPr>
            </w:pPr>
          </w:p>
        </w:tc>
      </w:tr>
      <w:tr>
        <w:trPr>
          <w:trHeight w:val="166"/>
        </w:trPr>
        <w:tc>
          <w:tcPr>
            <w:tcW w:w="414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4,343</w:t>
            </w:r>
          </w:p>
        </w:tc>
        <w:tc>
          <w:tcPr>
            <w:tcW w:w="1500" w:type="dxa"/>
            <w:vAlign w:val="bottom"/>
          </w:tcPr>
          <w:p>
            <w:pPr>
              <w:spacing w:after="0"/>
              <w:rPr>
                <w:sz w:val="14"/>
                <w:szCs w:val="14"/>
                <w:color w:val="auto"/>
              </w:rPr>
            </w:pPr>
          </w:p>
        </w:tc>
      </w:tr>
      <w:tr>
        <w:trPr>
          <w:trHeight w:val="166"/>
        </w:trPr>
        <w:tc>
          <w:tcPr>
            <w:tcW w:w="414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Thereafter</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6,862</w:t>
            </w:r>
          </w:p>
        </w:tc>
        <w:tc>
          <w:tcPr>
            <w:tcW w:w="150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$29,933</w:t>
            </w:r>
          </w:p>
        </w:tc>
        <w:tc>
          <w:tcPr>
            <w:tcW w:w="1500" w:type="dxa"/>
            <w:vAlign w:val="bottom"/>
          </w:tcPr>
          <w:p>
            <w:pPr>
              <w:spacing w:after="0"/>
              <w:rPr>
                <w:sz w:val="14"/>
                <w:szCs w:val="14"/>
                <w:color w:val="auto"/>
              </w:rPr>
            </w:pPr>
          </w:p>
        </w:tc>
      </w:tr>
      <w:tr>
        <w:trPr>
          <w:trHeight w:val="242"/>
        </w:trPr>
        <w:tc>
          <w:tcPr>
            <w:tcW w:w="4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21"/>
                <w:szCs w:val="21"/>
                <w:color w:val="auto"/>
              </w:rPr>
            </w:pPr>
          </w:p>
        </w:tc>
      </w:tr>
      <w:tr>
        <w:trPr>
          <w:trHeight w:val="421"/>
        </w:trPr>
        <w:tc>
          <w:tcPr>
            <w:tcW w:w="5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Commencing in August 1995, the Company began renting corporate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office space from</w:t>
            </w:r>
          </w:p>
        </w:tc>
      </w:tr>
      <w:tr>
        <w:trPr>
          <w:trHeight w:val="192"/>
        </w:trPr>
        <w:tc>
          <w:tcPr>
            <w:tcW w:w="4140" w:type="dxa"/>
            <w:vAlign w:val="bottom"/>
          </w:tcPr>
          <w:p>
            <w:pPr>
              <w:jc w:val="right"/>
              <w:spacing w:after="0"/>
              <w:rPr>
                <w:sz w:val="20"/>
                <w:szCs w:val="20"/>
                <w:color w:val="auto"/>
              </w:rPr>
            </w:pPr>
            <w:r>
              <w:rPr>
                <w:rFonts w:ascii="Courier New" w:cs="Courier New" w:eastAsia="Courier New" w:hAnsi="Courier New"/>
                <w:sz w:val="14"/>
                <w:szCs w:val="14"/>
                <w:color w:val="auto"/>
              </w:rPr>
              <w:t>its affiliate, Craig, on a month to month basis.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 addition,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the Company</w:t>
            </w:r>
          </w:p>
        </w:tc>
      </w:tr>
    </w:tbl>
    <w:p>
      <w:pPr>
        <w:ind w:right="3419"/>
        <w:spacing w:after="0" w:line="265" w:lineRule="auto"/>
        <w:rPr>
          <w:sz w:val="20"/>
          <w:szCs w:val="20"/>
          <w:color w:val="auto"/>
        </w:rPr>
      </w:pPr>
      <w:r>
        <w:rPr>
          <w:rFonts w:ascii="Courier New" w:cs="Courier New" w:eastAsia="Courier New" w:hAnsi="Courier New"/>
          <w:sz w:val="14"/>
          <w:szCs w:val="14"/>
          <w:color w:val="auto"/>
        </w:rPr>
        <w:t>engaged Craig to provide certain administrative services. Included in general and administrative expenses in each of the years ended December 31, 1998, 1997 and 1996 is $96,000 paid to Craig for such rent and services. In addition, the Company provided real estate consulting services to Reading during the years ended December 31, 1998, 1997 and 1996 for which the Company was paid approximately $398,000, $240,000 and $169,000, respectively. Such amounts are included in the Statement of Operations as "Consulting fees from shareholder".</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 Commitments and Contingencies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Several legal actions and claims against the Company in the prior year were adjudicated in favor of the Company in 1998 and 1997 with no liability to the Company.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 Common 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On April 11, 1997, Craig exercised its warrant to purchase 666,000 shares of the Company's common stock at an exercise price of $3.00 per share or $1,998,000. Such exercise was consummated pursuant to delivery by Craig of its secured promissory note (the "Craig Secured Note") in the amount of $1,998,000, secured by 500,000 shares of REI Common Stock owned by Craig. The Craig Secured Note, in the amount of $1,998,000, is included in the Balance Sheet as a contra equity account under the caption "Note receivable from shareholder". Interest is payable quarterly in arrears at the prime rate (amounting to 7.75% at December 31, 1998) computed on a 360 day-year. Principal and accrued but unpaid interest is due upon the earlier of April 11, 2002 or 120 days following the Company's written demand for payment. The Craig Secured Note may be prepaid, in whole or in part, at any time by Craig without penalty or premium. Included in the Statement of Operations for the years ended December 31, 1998 and 1997 as "Interest income from Shareholder" is approximately $169,000 and $125,000, respectively earned pursuant to the Craig secured note.</w:t>
      </w:r>
    </w:p>
    <w:p>
      <w:pPr>
        <w:spacing w:after="0" w:line="83" w:lineRule="exact"/>
        <w:rPr>
          <w:sz w:val="20"/>
          <w:szCs w:val="20"/>
          <w:color w:val="auto"/>
        </w:rPr>
      </w:pPr>
    </w:p>
    <w:p>
      <w:pPr>
        <w:jc w:val="both"/>
        <w:ind w:right="3419"/>
        <w:spacing w:after="0" w:line="263" w:lineRule="auto"/>
        <w:rPr>
          <w:sz w:val="20"/>
          <w:szCs w:val="20"/>
          <w:color w:val="auto"/>
        </w:rPr>
      </w:pPr>
      <w:r>
        <w:rPr>
          <w:rFonts w:ascii="Courier New" w:cs="Courier New" w:eastAsia="Courier New" w:hAnsi="Courier New"/>
          <w:sz w:val="14"/>
          <w:szCs w:val="14"/>
          <w:color w:val="auto"/>
        </w:rPr>
        <w:t>Pursuant to an employment agreement, the Company granted to the President stock options to purchase 33,000 shares of common stock at a price of $2.69 per share in 1995. As of December 31, 1998, the 33,000 shares were exercisable.</w:t>
      </w:r>
    </w:p>
    <w:p>
      <w:pPr>
        <w:spacing w:after="0" w:line="2"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Effective October 1996, the Company adopted the Citadel 1996 Nonemployee Director Stock Option Plan (the "1996 Stock Option Plan") which provides that each director who is not an employee or officer of the Company will automatically be granted immediately vested options to purchase 10,000 shares of Common Stock at an exercise price that is greater or less than the fair market value, as defined, per share of Common Stock on the date of grant by an amount equal to the amount by which $3.00 per share is greater or less than the fair market value per share of Common Stock on the effective date of the 1996 Stock Option Plan. At December 31, 1998, 1997 and 1996, vested options under the plan to purchase 20,000 shares of Common Stock at an exercise price of $3.00 per share are outstanding.</w:t>
      </w:r>
    </w:p>
    <w:p>
      <w:pPr>
        <w:spacing w:after="0" w:line="25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59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Income Taxes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As of December 31, 1998, the Company has for income tax purposes net operating loss carryforwards and capital loss carryforwards of approximately $2.1 million and $7.4 million, respectively. The capital loss carryforward will expire in the year 2001 and the net operating loss carryforwards will expire in the years 2009 through 2014 and are subject to certain annual limitations.</w:t>
      </w:r>
    </w:p>
    <w:p>
      <w:pPr>
        <w:spacing w:after="0" w:line="62"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At the time of the Restructuring, Citadel and Fidelity entered into a tax disaffiliation agreement (the "Tax Disaffiliation Agreement"). In general under the tax disaffiliation Agreement, Fidelity is responsible for (a) all adjustments to the tax liability of Fidelity and its subsidiaries for the periods before the Restructuring relating to operations of Fidelity, (b) any tax liability of Fidelity and its subsidiaries for the taxable year that begins before and ends after the Restructuring in respect to that part of the taxable year through the date of the Restructuring, and (c) any tax liability of Fidelity and its subsidiaries for periods after the Restructuring. For this purpose any liability for taxes for periods on or before the Restructuring is measured by Fidelity's actual liability for taxes after applying tax benefits attributable to periods prior to the closing otherwise available to Fidelity. With certain exceptions Fidelity is entitled to any refunds relating to those liabilities.</w:t>
      </w:r>
    </w:p>
    <w:p>
      <w:pPr>
        <w:spacing w:after="0" w:line="251"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In December 1998 the Company and Fidelity executed a settlement agreement with the Internal Revenue Service with respect to the tax returns filed for open years through December 31, 1994. While such settlement is subject to final approval by the tax authorities, the Company estimates that it is more likely than not that such settlement will occur and, accordingly, has recorded a receivable of $440,000 at December 31, 1998 reflecting the Company's anticipated allocation of such refund. In addition, such settlement is expected to result in a decrease to tax net operating loss carryforwards amounting to approximately $458,000.</w:t>
      </w:r>
    </w:p>
    <w:p>
      <w:pPr>
        <w:spacing w:after="0" w:line="250"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Deferred income taxes reflect the net tax effect of "temporary differences" between the financial statement carrying amounts of assets and liabilities for financial reporting purposes and the amounts used for income tax purposes. The components of the deferred tax liabilities and assets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40" w:type="dxa"/>
            <w:vAlign w:val="bottom"/>
          </w:tcPr>
          <w:p>
            <w:pPr>
              <w:spacing w:after="0"/>
              <w:rPr>
                <w:sz w:val="14"/>
                <w:szCs w:val="14"/>
                <w:color w:val="auto"/>
              </w:rPr>
            </w:pPr>
          </w:p>
        </w:tc>
        <w:tc>
          <w:tcPr>
            <w:tcW w:w="19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Deferred assets:</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$ 1,979</w:t>
            </w:r>
          </w:p>
        </w:tc>
        <w:tc>
          <w:tcPr>
            <w:tcW w:w="82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$ 2,035</w:t>
            </w: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Acquired and option properties</w:t>
            </w:r>
          </w:p>
        </w:tc>
        <w:tc>
          <w:tcPr>
            <w:tcW w:w="10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Capital losses from sale of Fidelity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2,533</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2,533</w:t>
            </w: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 carryforward</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1,007</w:t>
            </w: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Gross deferred tax assets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5,136</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5,575</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(1,036)</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(5,575)</w:t>
            </w:r>
          </w:p>
        </w:tc>
        <w:tc>
          <w:tcPr>
            <w:tcW w:w="0" w:type="dxa"/>
            <w:vAlign w:val="bottom"/>
          </w:tcPr>
          <w:p>
            <w:pPr>
              <w:spacing w:after="0"/>
              <w:rPr>
                <w:sz w:val="1"/>
                <w:szCs w:val="1"/>
                <w:color w:val="auto"/>
              </w:rPr>
            </w:pPr>
          </w:p>
        </w:tc>
      </w:tr>
      <w:tr>
        <w:trPr>
          <w:trHeight w:val="166"/>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Net deferred federal tax asset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$ 4,100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510</w:t>
            </w:r>
          </w:p>
        </w:tc>
        <w:tc>
          <w:tcPr>
            <w:tcW w:w="220" w:type="dxa"/>
            <w:vAlign w:val="bottom"/>
          </w:tcPr>
          <w:p>
            <w:pPr>
              <w:spacing w:after="0"/>
              <w:rPr>
                <w:sz w:val="14"/>
                <w:szCs w:val="14"/>
                <w:color w:val="auto"/>
              </w:rPr>
            </w:pPr>
          </w:p>
        </w:tc>
        <w:tc>
          <w:tcPr>
            <w:tcW w:w="6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529</w:t>
            </w: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Acquired and option properties</w:t>
            </w: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Capital losses from sale of Fidelity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658</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w:t>
            </w: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 carryforward</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6"/>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Gross deferred federal tax assets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1,168</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1,282</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Valuation reserve</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(870)</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(1,282)</w:t>
            </w:r>
          </w:p>
        </w:tc>
        <w:tc>
          <w:tcPr>
            <w:tcW w:w="0" w:type="dxa"/>
            <w:vAlign w:val="bottom"/>
          </w:tcPr>
          <w:p>
            <w:pPr>
              <w:spacing w:after="0"/>
              <w:rPr>
                <w:sz w:val="1"/>
                <w:szCs w:val="1"/>
                <w:color w:val="auto"/>
              </w:rPr>
            </w:pPr>
          </w:p>
        </w:tc>
      </w:tr>
      <w:tr>
        <w:trPr>
          <w:trHeight w:val="166"/>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Net deferred tax asset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deferred tax assets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$ 4,398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In the fourth quarter of 1998, the Company reduced its valuation allowance resulting in a net deferred tax asset of approximately $4,398,000 at December 31, 1998. Generally, two factors contributed to the reduction in the</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590"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12"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valuation allowance. First, as described above, the Company has executed a settlement agreement with the IRS with respect to tax years through December 31, 1994. Such settlement provides the Company with a more likely than not expectation of the realization of the tax basis of certain real property transferred to the Company at the time of the Fidelity recapitalization in August 1994, as well as quantification of net operating loss carryforwards. Second, the Company has entered into a Purchase and Sales agreement to sell the Phoenix, Arizona property which is expected to result in a taxable gain that should provide the Company the ability to utilize previously reserved net capital loss and net operating loss carryforwards.</w:t>
      </w:r>
    </w:p>
    <w:p>
      <w:pPr>
        <w:spacing w:after="0" w:line="77"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The Company believes that, with the resolution of the tax audit and the successful sale of the Phoenix, Arizona property, the Company will generate sufficient 1999 taxable income to realize the federal capital loss carryforward, a portion of the federal net operating loss carryforward, and the Phoenix, Arizona property tax versus book basis difference prior to their expiration. Accordingly, the Company has recorded a deferred tax asset in the 1998 fourth quarter of approximately $4,398,000. While the Company has determined that realization of such deferred tax assets meets the criteria of more like than not as December 31, 1998, the Company can make no assurance, that the building will be sold and if sold such carryforwards will be utilized.</w:t>
      </w:r>
    </w:p>
    <w:p>
      <w:pPr>
        <w:spacing w:after="0" w:line="77"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The provision for income taxes is different from amounts computed by applying the U.S. statutory rate to earnings (losses) before taxes. The reason for these differences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7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31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0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 thousands)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880" w:type="dxa"/>
            <w:vAlign w:val="bottom"/>
          </w:tcPr>
          <w:p>
            <w:pPr>
              <w:spacing w:after="0"/>
              <w:rPr>
                <w:sz w:val="21"/>
                <w:szCs w:val="21"/>
                <w:color w:val="auto"/>
              </w:rPr>
            </w:pPr>
          </w:p>
        </w:tc>
        <w:tc>
          <w:tcPr>
            <w:tcW w:w="4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880" w:type="dxa"/>
            <w:vAlign w:val="bottom"/>
          </w:tcPr>
          <w:p>
            <w:pPr>
              <w:spacing w:after="0"/>
              <w:rPr>
                <w:sz w:val="20"/>
                <w:szCs w:val="20"/>
                <w:color w:val="auto"/>
              </w:rPr>
            </w:pPr>
            <w:r>
              <w:rPr>
                <w:rFonts w:ascii="Courier New" w:cs="Courier New" w:eastAsia="Courier New" w:hAnsi="Courier New"/>
                <w:sz w:val="14"/>
                <w:szCs w:val="14"/>
                <w:color w:val="auto"/>
              </w:rPr>
              <w:t>Expected tax provision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278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536</w:t>
            </w: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$ 2,185</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(Increase) reduction in taxes resulting</w:t>
            </w: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from:</w:t>
            </w:r>
          </w:p>
        </w:tc>
        <w:tc>
          <w:tcPr>
            <w:tcW w:w="17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(4,109)</w:t>
            </w:r>
          </w:p>
        </w:tc>
        <w:tc>
          <w:tcPr>
            <w:tcW w:w="620" w:type="dxa"/>
            <w:vAlign w:val="bottom"/>
          </w:tcPr>
          <w:p>
            <w:pPr>
              <w:spacing w:after="0"/>
              <w:rPr>
                <w:sz w:val="14"/>
                <w:szCs w:val="14"/>
                <w:color w:val="auto"/>
              </w:rPr>
            </w:pPr>
          </w:p>
        </w:tc>
        <w:tc>
          <w:tcPr>
            <w:tcW w:w="106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Decrease in Federal valuation allowance</w:t>
            </w:r>
          </w:p>
        </w:tc>
        <w:tc>
          <w:tcPr>
            <w:tcW w:w="17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Realization of deferred tax asset from</w:t>
            </w: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book and tax basis of acquired</w:t>
            </w:r>
          </w:p>
        </w:tc>
        <w:tc>
          <w:tcPr>
            <w:tcW w:w="17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06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(520)</w:t>
            </w:r>
          </w:p>
        </w:tc>
        <w:tc>
          <w:tcPr>
            <w:tcW w:w="0" w:type="dxa"/>
            <w:vAlign w:val="bottom"/>
          </w:tcPr>
          <w:p>
            <w:pPr>
              <w:spacing w:after="0"/>
              <w:rPr>
                <w:sz w:val="1"/>
                <w:szCs w:val="1"/>
                <w:color w:val="auto"/>
              </w:rPr>
            </w:pPr>
          </w:p>
        </w:tc>
      </w:tr>
      <w:tr>
        <w:trPr>
          <w:trHeight w:val="166"/>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properties sold</w:t>
            </w:r>
          </w:p>
        </w:tc>
        <w:tc>
          <w:tcPr>
            <w:tcW w:w="17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Dividend exclusion of preferred stock</w:t>
            </w:r>
          </w:p>
        </w:tc>
        <w:tc>
          <w:tcPr>
            <w:tcW w:w="17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620" w:type="dxa"/>
            <w:vAlign w:val="bottom"/>
          </w:tcPr>
          <w:p>
            <w:pPr>
              <w:spacing w:after="0"/>
              <w:rPr>
                <w:sz w:val="14"/>
                <w:szCs w:val="14"/>
                <w:color w:val="auto"/>
              </w:rPr>
            </w:pPr>
          </w:p>
        </w:tc>
        <w:tc>
          <w:tcPr>
            <w:tcW w:w="10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(109)</w:t>
            </w:r>
          </w:p>
        </w:tc>
        <w:tc>
          <w:tcPr>
            <w:tcW w:w="300" w:type="dxa"/>
            <w:vAlign w:val="bottom"/>
          </w:tcPr>
          <w:p>
            <w:pPr>
              <w:spacing w:after="0"/>
              <w:rPr>
                <w:sz w:val="14"/>
                <w:szCs w:val="14"/>
                <w:color w:val="auto"/>
              </w:rPr>
            </w:pPr>
          </w:p>
        </w:tc>
        <w:tc>
          <w:tcPr>
            <w:tcW w:w="11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6"/>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investment</w:t>
            </w:r>
          </w:p>
        </w:tc>
        <w:tc>
          <w:tcPr>
            <w:tcW w:w="17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Bulk sale indemnification not taxable</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(1,400)</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Utilization of net operating losses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w:t>
            </w:r>
          </w:p>
        </w:tc>
        <w:tc>
          <w:tcPr>
            <w:tcW w:w="62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(430)</w:t>
            </w:r>
          </w:p>
        </w:tc>
        <w:tc>
          <w:tcPr>
            <w:tcW w:w="300" w:type="dxa"/>
            <w:vAlign w:val="bottom"/>
          </w:tcPr>
          <w:p>
            <w:pPr>
              <w:spacing w:after="0"/>
              <w:rPr>
                <w:sz w:val="14"/>
                <w:szCs w:val="14"/>
                <w:color w:val="auto"/>
              </w:rPr>
            </w:pP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(310)</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Prior year tax adjustment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w:t>
            </w:r>
          </w:p>
        </w:tc>
        <w:tc>
          <w:tcPr>
            <w:tcW w:w="620" w:type="dxa"/>
            <w:vAlign w:val="bottom"/>
          </w:tcPr>
          <w:p>
            <w:pPr>
              <w:spacing w:after="0"/>
              <w:rPr>
                <w:sz w:val="14"/>
                <w:szCs w:val="14"/>
                <w:color w:val="auto"/>
              </w:rPr>
            </w:pPr>
          </w:p>
        </w:tc>
        <w:tc>
          <w:tcPr>
            <w:tcW w:w="1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w:t>
            </w:r>
          </w:p>
        </w:tc>
        <w:tc>
          <w:tcPr>
            <w:tcW w:w="620" w:type="dxa"/>
            <w:vAlign w:val="bottom"/>
          </w:tcPr>
          <w:p>
            <w:pPr>
              <w:spacing w:after="0"/>
              <w:rPr>
                <w:sz w:val="14"/>
                <w:szCs w:val="14"/>
                <w:color w:val="auto"/>
              </w:rPr>
            </w:pPr>
          </w:p>
        </w:tc>
        <w:tc>
          <w:tcPr>
            <w:tcW w:w="1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w:t>
            </w:r>
          </w:p>
        </w:tc>
        <w:tc>
          <w:tcPr>
            <w:tcW w:w="620" w:type="dxa"/>
            <w:vAlign w:val="bottom"/>
          </w:tcPr>
          <w:p>
            <w:pPr>
              <w:spacing w:after="0"/>
              <w:rPr>
                <w:sz w:val="14"/>
                <w:szCs w:val="14"/>
                <w:color w:val="auto"/>
              </w:rPr>
            </w:pPr>
          </w:p>
        </w:tc>
        <w:tc>
          <w:tcPr>
            <w:tcW w:w="1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w:t>
            </w:r>
          </w:p>
        </w:tc>
        <w:tc>
          <w:tcPr>
            <w:tcW w:w="0" w:type="dxa"/>
            <w:vAlign w:val="bottom"/>
          </w:tcPr>
          <w:p>
            <w:pPr>
              <w:spacing w:after="0"/>
              <w:rPr>
                <w:sz w:val="1"/>
                <w:szCs w:val="1"/>
                <w:color w:val="auto"/>
              </w:rPr>
            </w:pPr>
          </w:p>
        </w:tc>
      </w:tr>
      <w:tr>
        <w:trPr>
          <w:trHeight w:val="166"/>
        </w:trPr>
        <w:tc>
          <w:tcPr>
            <w:tcW w:w="3880" w:type="dxa"/>
            <w:vAlign w:val="bottom"/>
            <w:vMerge w:val="restart"/>
          </w:tcPr>
          <w:p>
            <w:pPr>
              <w:spacing w:after="0"/>
              <w:rPr>
                <w:sz w:val="20"/>
                <w:szCs w:val="20"/>
                <w:color w:val="auto"/>
              </w:rPr>
            </w:pPr>
            <w:r>
              <w:rPr>
                <w:rFonts w:ascii="Courier New" w:cs="Courier New" w:eastAsia="Courier New" w:hAnsi="Courier New"/>
                <w:sz w:val="14"/>
                <w:szCs w:val="14"/>
                <w:color w:val="auto"/>
              </w:rPr>
              <w:t>Actual tax provision (benefit)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vMerge w:val="continue"/>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$(4,828)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880" w:type="dxa"/>
            <w:vAlign w:val="bottom"/>
          </w:tcPr>
          <w:p>
            <w:pPr>
              <w:spacing w:after="0"/>
              <w:rPr>
                <w:sz w:val="21"/>
                <w:szCs w:val="21"/>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3880" w:type="dxa"/>
            <w:vAlign w:val="bottom"/>
          </w:tcPr>
          <w:p>
            <w:pPr>
              <w:ind w:left="3280"/>
              <w:spacing w:after="0"/>
              <w:rPr>
                <w:sz w:val="20"/>
                <w:szCs w:val="20"/>
                <w:color w:val="auto"/>
              </w:rPr>
            </w:pPr>
            <w:r>
              <w:rPr>
                <w:rFonts w:ascii="Courier New" w:cs="Courier New" w:eastAsia="Courier New" w:hAnsi="Courier New"/>
                <w:sz w:val="14"/>
                <w:szCs w:val="14"/>
                <w:color w:val="auto"/>
              </w:rPr>
              <w:t>-41-</w:t>
            </w: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 Business Segments</w:t>
      </w:r>
    </w:p>
    <w:p>
      <w:pPr>
        <w:spacing w:after="0" w:line="173"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The following sets forth certain information concerning the Company's rental real estate operations, agricultural operations and corporate activities in 1998. This is the only period in which the Company operated in more than one segment. Prior to 1998 the Company operating results were principally derived from its investment in real estate properties. Effective December 31, 1997 the Company acquired a 40% interest in certain agricultural properties and an 80% interest in a farming company, and accordingly, in 1998 has separately reported this investment as a segment.</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60" w:type="dxa"/>
            <w:vAlign w:val="bottom"/>
          </w:tcPr>
          <w:p>
            <w:pPr>
              <w:spacing w:after="0"/>
              <w:rPr>
                <w:sz w:val="14"/>
                <w:szCs w:val="14"/>
                <w:color w:val="auto"/>
              </w:rPr>
            </w:pP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Rental</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Agricultral</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Corporate</w:t>
            </w: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5"/>
              </w:rPr>
              <w:t>(1)</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Real Estate</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Operations</w:t>
            </w:r>
          </w:p>
        </w:tc>
        <w:tc>
          <w:tcPr>
            <w:tcW w:w="1160" w:type="dxa"/>
            <w:vAlign w:val="bottom"/>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1"/>
                <w:szCs w:val="21"/>
                <w:color w:val="auto"/>
              </w:rPr>
            </w:pP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5,478</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108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399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5,985</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Earnings (losses) before taxes</w:t>
            </w: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1,953</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859</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18,779</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1,735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35,045</w:t>
            </w: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588</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789</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left="360" w:right="3339" w:hanging="352"/>
        <w:spacing w:after="0" w:line="313"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consulting fee income from Reading and interest and dividend income earned with respect to the Company's cash balances and investment in Reading Preferred Stock.</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 Quarterly Financial Information (Unaudited)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First</w:t>
            </w: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Second</w:t>
            </w:r>
          </w:p>
        </w:tc>
        <w:tc>
          <w:tcPr>
            <w:tcW w:w="16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Third</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Fourth</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Quarter</w:t>
            </w: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Quarter</w:t>
            </w:r>
          </w:p>
        </w:tc>
        <w:tc>
          <w:tcPr>
            <w:tcW w:w="1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w w:val="98"/>
              </w:rPr>
              <w:t>Quarter</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thousands</w:t>
            </w:r>
          </w:p>
        </w:tc>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except per share amounts)</w:t>
            </w: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$ 1,470</w:t>
            </w:r>
          </w:p>
        </w:tc>
        <w:tc>
          <w:tcPr>
            <w:tcW w:w="13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$ 1,545</w:t>
            </w:r>
          </w:p>
        </w:tc>
        <w:tc>
          <w:tcPr>
            <w:tcW w:w="16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$ 1,473</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$ 1,497</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8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earnings available</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371</w:t>
            </w:r>
          </w:p>
        </w:tc>
        <w:tc>
          <w:tcPr>
            <w:tcW w:w="13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192</w:t>
            </w:r>
          </w:p>
        </w:tc>
        <w:tc>
          <w:tcPr>
            <w:tcW w:w="16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245</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4,879</w:t>
            </w:r>
          </w:p>
        </w:tc>
        <w:tc>
          <w:tcPr>
            <w:tcW w:w="0" w:type="dxa"/>
            <w:vAlign w:val="bottom"/>
          </w:tcPr>
          <w:p>
            <w:pPr>
              <w:spacing w:after="0"/>
              <w:rPr>
                <w:sz w:val="1"/>
                <w:szCs w:val="1"/>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to common stockholders</w:t>
            </w:r>
          </w:p>
        </w:tc>
        <w:tc>
          <w:tcPr>
            <w:tcW w:w="8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0.03</w:t>
            </w:r>
          </w:p>
        </w:tc>
        <w:tc>
          <w:tcPr>
            <w:tcW w:w="1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0.73</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0.03</w:t>
            </w:r>
          </w:p>
        </w:tc>
        <w:tc>
          <w:tcPr>
            <w:tcW w:w="1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0.73</w:t>
            </w: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1,166</w:t>
            </w:r>
          </w:p>
        </w:tc>
        <w:tc>
          <w:tcPr>
            <w:tcW w:w="13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1,349</w:t>
            </w:r>
          </w:p>
        </w:tc>
        <w:tc>
          <w:tcPr>
            <w:tcW w:w="16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1,378</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1,457</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8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earnings available to common stockholders</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413</w:t>
            </w:r>
          </w:p>
        </w:tc>
        <w:tc>
          <w:tcPr>
            <w:tcW w:w="1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Basic net earnings per share</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0.04</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0.06</w:t>
            </w:r>
          </w:p>
        </w:tc>
        <w:tc>
          <w:tcPr>
            <w:tcW w:w="1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0.04</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0.06</w:t>
            </w:r>
          </w:p>
        </w:tc>
        <w:tc>
          <w:tcPr>
            <w:tcW w:w="1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w:t>
            </w:r>
          </w:p>
        </w:tc>
        <w:tc>
          <w:tcPr>
            <w:tcW w:w="0" w:type="dxa"/>
            <w:vAlign w:val="bottom"/>
          </w:tcPr>
          <w:p>
            <w:pPr>
              <w:spacing w:after="0"/>
              <w:rPr>
                <w:sz w:val="1"/>
                <w:szCs w:val="1"/>
                <w:color w:val="auto"/>
              </w:rPr>
            </w:pPr>
          </w:p>
        </w:tc>
      </w:tr>
      <w:tr>
        <w:trPr>
          <w:trHeight w:val="421"/>
        </w:trPr>
        <w:tc>
          <w:tcPr>
            <w:tcW w:w="7880" w:type="dxa"/>
            <w:vAlign w:val="bottom"/>
            <w:gridSpan w:val="4"/>
          </w:tcPr>
          <w:p>
            <w:pPr>
              <w:spacing w:after="0"/>
              <w:rPr>
                <w:sz w:val="20"/>
                <w:szCs w:val="20"/>
                <w:color w:val="auto"/>
              </w:rPr>
            </w:pPr>
            <w:r>
              <w:rPr>
                <w:rFonts w:ascii="Courier New" w:cs="Courier New" w:eastAsia="Courier New" w:hAnsi="Courier New"/>
                <w:sz w:val="14"/>
                <w:szCs w:val="14"/>
                <w:color w:val="auto"/>
              </w:rPr>
              <w:t>The above unaudited quarterly financial information reflects all adjustments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880" w:type="dxa"/>
            <w:vAlign w:val="bottom"/>
            <w:gridSpan w:val="4"/>
          </w:tcPr>
          <w:p>
            <w:pPr>
              <w:spacing w:after="0"/>
              <w:rPr>
                <w:sz w:val="20"/>
                <w:szCs w:val="20"/>
                <w:color w:val="auto"/>
              </w:rPr>
            </w:pPr>
            <w:r>
              <w:rPr>
                <w:rFonts w:ascii="Courier New" w:cs="Courier New" w:eastAsia="Courier New" w:hAnsi="Courier New"/>
                <w:sz w:val="14"/>
                <w:szCs w:val="14"/>
                <w:color w:val="auto"/>
              </w:rPr>
              <w:t>that are, in the opinion of management, necessary for a fair presentation of the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results of the quarterly periods presented.</w:t>
            </w: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220" w:type="dxa"/>
            <w:vAlign w:val="bottom"/>
            <w:gridSpan w:val="3"/>
          </w:tcPr>
          <w:p>
            <w:pPr>
              <w:spacing w:after="0"/>
              <w:rPr>
                <w:sz w:val="20"/>
                <w:szCs w:val="20"/>
                <w:color w:val="auto"/>
              </w:rPr>
            </w:pPr>
            <w:r>
              <w:rPr>
                <w:rFonts w:ascii="Courier New" w:cs="Courier New" w:eastAsia="Courier New" w:hAnsi="Courier New"/>
                <w:sz w:val="14"/>
                <w:szCs w:val="14"/>
                <w:color w:val="auto"/>
              </w:rPr>
              <w:t>The 1998 fourth quarter net earnings available to stockholders includes</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an</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880" w:type="dxa"/>
            <w:vAlign w:val="bottom"/>
            <w:gridSpan w:val="4"/>
          </w:tcPr>
          <w:p>
            <w:pPr>
              <w:spacing w:after="0"/>
              <w:rPr>
                <w:sz w:val="20"/>
                <w:szCs w:val="20"/>
                <w:color w:val="auto"/>
              </w:rPr>
            </w:pPr>
            <w:r>
              <w:rPr>
                <w:rFonts w:ascii="Courier New" w:cs="Courier New" w:eastAsia="Courier New" w:hAnsi="Courier New"/>
                <w:sz w:val="14"/>
                <w:szCs w:val="14"/>
                <w:color w:val="auto"/>
              </w:rPr>
              <w:t>income tax benefit amounting to approximately $4,829,000 relating principally to</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80" w:type="dxa"/>
            <w:vAlign w:val="bottom"/>
            <w:gridSpan w:val="4"/>
          </w:tcPr>
          <w:p>
            <w:pPr>
              <w:spacing w:after="0"/>
              <w:rPr>
                <w:sz w:val="20"/>
                <w:szCs w:val="20"/>
                <w:color w:val="auto"/>
              </w:rPr>
            </w:pPr>
            <w:r>
              <w:rPr>
                <w:rFonts w:ascii="Courier New" w:cs="Courier New" w:eastAsia="Courier New" w:hAnsi="Courier New"/>
                <w:sz w:val="14"/>
                <w:szCs w:val="14"/>
                <w:color w:val="auto"/>
              </w:rPr>
              <w:t>the decrease in a deferral tax asset valuation (See Note 3).  In addition the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20" w:type="dxa"/>
            <w:vAlign w:val="bottom"/>
            <w:gridSpan w:val="3"/>
          </w:tcPr>
          <w:p>
            <w:pPr>
              <w:spacing w:after="0"/>
              <w:rPr>
                <w:sz w:val="20"/>
                <w:szCs w:val="20"/>
                <w:color w:val="auto"/>
              </w:rPr>
            </w:pPr>
            <w:r>
              <w:rPr>
                <w:rFonts w:ascii="Courier New" w:cs="Courier New" w:eastAsia="Courier New" w:hAnsi="Courier New"/>
                <w:sz w:val="14"/>
                <w:szCs w:val="14"/>
                <w:color w:val="auto"/>
              </w:rPr>
              <w:t>fourth quarter net earnings available to common stockholders includes a</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loss of</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339"/>
        <w:spacing w:after="0" w:line="336" w:lineRule="auto"/>
        <w:rPr>
          <w:sz w:val="20"/>
          <w:szCs w:val="20"/>
          <w:color w:val="auto"/>
        </w:rPr>
      </w:pPr>
      <w:r>
        <w:rPr>
          <w:rFonts w:ascii="Courier New" w:cs="Courier New" w:eastAsia="Courier New" w:hAnsi="Courier New"/>
          <w:sz w:val="14"/>
          <w:szCs w:val="14"/>
          <w:color w:val="auto"/>
        </w:rPr>
        <w:t>approximately $719,000 with respect to equity losses recorded from the Company's 40% equity interest in the Agricultural Partnerships (See Note 5).</w:t>
      </w:r>
    </w:p>
    <w:p>
      <w:pPr>
        <w:spacing w:after="0" w:line="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590" w:right="1440" w:bottom="1440" w:gutter="0" w:footer="0" w:header="0"/>
        </w:sectPr>
      </w:pPr>
    </w:p>
    <w:bookmarkStart w:id="45" w:name="page46"/>
    <w:bookmarkEnd w:id="45"/>
    <w:p>
      <w:pPr>
        <w:jc w:val="center"/>
        <w:ind w:right="3339"/>
        <w:spacing w:after="0"/>
        <w:rPr>
          <w:sz w:val="20"/>
          <w:szCs w:val="20"/>
          <w:color w:val="auto"/>
        </w:rPr>
      </w:pPr>
      <w:r>
        <w:rPr>
          <w:rFonts w:ascii="Courier New" w:cs="Courier New" w:eastAsia="Courier New" w:hAnsi="Courier New"/>
          <w:sz w:val="14"/>
          <w:szCs w:val="14"/>
          <w:color w:val="auto"/>
        </w:rPr>
        <w:t>Financial Statement Schedule III</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Real Estate and Accumulated Depreciation</w:t>
      </w:r>
    </w:p>
    <w:p>
      <w:pPr>
        <w:spacing w:after="0" w:line="3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Initial Cost</w:t>
            </w:r>
          </w:p>
        </w:tc>
        <w:tc>
          <w:tcPr>
            <w:tcW w:w="12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Costs</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Capitalized</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9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Encumbrances</w:t>
            </w:r>
          </w:p>
        </w:tc>
        <w:tc>
          <w:tcPr>
            <w:tcW w:w="10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Land</w:t>
            </w:r>
          </w:p>
        </w:tc>
        <w:tc>
          <w:tcPr>
            <w:tcW w:w="1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Building and</w:t>
            </w:r>
          </w:p>
        </w:tc>
        <w:tc>
          <w:tcPr>
            <w:tcW w:w="12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Subsequent to</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Improvements</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Acquisition</w:t>
            </w:r>
          </w:p>
        </w:tc>
        <w:tc>
          <w:tcPr>
            <w:tcW w:w="0" w:type="dxa"/>
            <w:vAlign w:val="bottom"/>
          </w:tcPr>
          <w:p>
            <w:pPr>
              <w:spacing w:after="0"/>
              <w:rPr>
                <w:sz w:val="1"/>
                <w:szCs w:val="1"/>
                <w:color w:val="auto"/>
              </w:rPr>
            </w:pPr>
          </w:p>
        </w:tc>
      </w:tr>
      <w:tr>
        <w:trPr>
          <w:trHeight w:val="242"/>
        </w:trPr>
        <w:tc>
          <w:tcPr>
            <w:tcW w:w="2640" w:type="dxa"/>
            <w:vAlign w:val="bottom"/>
          </w:tcPr>
          <w:p>
            <w:pPr>
              <w:spacing w:after="0"/>
              <w:rPr>
                <w:sz w:val="21"/>
                <w:szCs w:val="21"/>
                <w:color w:val="auto"/>
              </w:rPr>
            </w:pP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Commercial Office Building</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$1,488</w:t>
            </w:r>
          </w:p>
        </w:tc>
        <w:tc>
          <w:tcPr>
            <w:tcW w:w="16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$4,507</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613</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Commercial Office Building</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2,951</w:t>
            </w:r>
          </w:p>
        </w:tc>
        <w:tc>
          <w:tcPr>
            <w:tcW w:w="16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4,212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1,352</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$9,224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$4,439</w:t>
            </w:r>
          </w:p>
        </w:tc>
        <w:tc>
          <w:tcPr>
            <w:tcW w:w="16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$8,719</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$1,965</w:t>
            </w:r>
          </w:p>
        </w:tc>
        <w:tc>
          <w:tcPr>
            <w:tcW w:w="0" w:type="dxa"/>
            <w:vAlign w:val="bottom"/>
          </w:tcPr>
          <w:p>
            <w:pPr>
              <w:spacing w:after="0"/>
              <w:rPr>
                <w:sz w:val="1"/>
                <w:szCs w:val="1"/>
                <w:color w:val="auto"/>
              </w:rPr>
            </w:pPr>
          </w:p>
        </w:tc>
      </w:tr>
      <w:tr>
        <w:trPr>
          <w:trHeight w:val="242"/>
        </w:trPr>
        <w:tc>
          <w:tcPr>
            <w:tcW w:w="2640" w:type="dxa"/>
            <w:vAlign w:val="bottom"/>
          </w:tcPr>
          <w:p>
            <w:pPr>
              <w:spacing w:after="0"/>
              <w:rPr>
                <w:sz w:val="21"/>
                <w:szCs w:val="21"/>
                <w:color w:val="auto"/>
              </w:rPr>
            </w:pP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 1998</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Life</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550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___________________________________________________</w:t>
            </w:r>
          </w:p>
        </w:tc>
        <w:tc>
          <w:tcPr>
            <w:tcW w:w="11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Date</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on Which</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1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Land</w:t>
            </w:r>
          </w:p>
        </w:tc>
        <w:tc>
          <w:tcPr>
            <w:tcW w:w="12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Building</w:t>
            </w:r>
          </w:p>
        </w:tc>
        <w:tc>
          <w:tcPr>
            <w:tcW w:w="11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Total</w:t>
            </w: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Accumulated</w:t>
            </w:r>
          </w:p>
        </w:tc>
        <w:tc>
          <w:tcPr>
            <w:tcW w:w="1180" w:type="dxa"/>
            <w:vAlign w:val="bottom"/>
            <w:vMerge w:val="continue"/>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w w:val="99"/>
              </w:rPr>
              <w:t>Depreciation</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Depreciation</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Acquired</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is Computed</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$ 5,120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$ 6,608</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700</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8/4/94</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8,515</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546</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5/8/95</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$10,684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$15,123</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$1,246</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right="3339" w:hanging="352"/>
        <w:spacing w:after="0" w:line="292"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properties listed above were acquired pursuant to agreements entered into between the Company and Fidelity at the time of the Restructuring. The aggregate gross cost of property held at December 31, 1998 for federal income tax purposes approximated $18,045,000.</w:t>
      </w:r>
    </w:p>
    <w:p>
      <w:pPr>
        <w:spacing w:after="0" w:line="56" w:lineRule="exact"/>
        <w:rPr>
          <w:rFonts w:ascii="Courier New" w:cs="Courier New" w:eastAsia="Courier New" w:hAnsi="Courier New"/>
          <w:sz w:val="14"/>
          <w:szCs w:val="14"/>
          <w:color w:val="auto"/>
        </w:rPr>
      </w:pPr>
    </w:p>
    <w:p>
      <w:pPr>
        <w:ind w:left="360" w:right="3419" w:hanging="352"/>
        <w:spacing w:after="0" w:line="313"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reconciliation reflects the aggregate rollforward activity of property held and accumulated depreciation for the three years ended December 31, 1998.</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1320" w:type="dxa"/>
            <w:vAlign w:val="bottom"/>
          </w:tcPr>
          <w:p>
            <w:pPr>
              <w:ind w:left="600"/>
              <w:spacing w:after="0"/>
              <w:rPr>
                <w:sz w:val="20"/>
                <w:szCs w:val="20"/>
                <w:color w:val="auto"/>
              </w:rPr>
            </w:pPr>
            <w:r>
              <w:rPr>
                <w:rFonts w:ascii="Courier New" w:cs="Courier New" w:eastAsia="Courier New" w:hAnsi="Courier New"/>
                <w:sz w:val="14"/>
                <w:szCs w:val="14"/>
                <w:color w:val="auto"/>
              </w:rPr>
              <w:t>Gross</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Accumulated</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1320" w:type="dxa"/>
            <w:vAlign w:val="bottom"/>
          </w:tcPr>
          <w:p>
            <w:pPr>
              <w:ind w:left="600"/>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Depreciation</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Balance at December 31, 1995</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22,746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(553)</w:t>
            </w: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Depreciation expense</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504</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Cost of real estate sold</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(8,193)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w:t>
            </w:r>
          </w:p>
        </w:tc>
        <w:tc>
          <w:tcPr>
            <w:tcW w:w="0" w:type="dxa"/>
            <w:vAlign w:val="bottom"/>
          </w:tcPr>
          <w:p>
            <w:pPr>
              <w:spacing w:after="0"/>
              <w:rPr>
                <w:sz w:val="1"/>
                <w:szCs w:val="1"/>
                <w:color w:val="auto"/>
              </w:rPr>
            </w:pPr>
          </w:p>
        </w:tc>
      </w:tr>
      <w:tr>
        <w:trPr>
          <w:trHeight w:val="166"/>
        </w:trPr>
        <w:tc>
          <w:tcPr>
            <w:tcW w:w="286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December 31, 1996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vMerge w:val="continue"/>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15,057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(624)</w:t>
            </w: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Depreciation expense</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Cost of real estate sold</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w:t>
            </w:r>
          </w:p>
        </w:tc>
        <w:tc>
          <w:tcPr>
            <w:tcW w:w="0" w:type="dxa"/>
            <w:vAlign w:val="bottom"/>
          </w:tcPr>
          <w:p>
            <w:pPr>
              <w:spacing w:after="0"/>
              <w:rPr>
                <w:sz w:val="1"/>
                <w:szCs w:val="1"/>
                <w:color w:val="auto"/>
              </w:rPr>
            </w:pPr>
          </w:p>
        </w:tc>
      </w:tr>
      <w:tr>
        <w:trPr>
          <w:trHeight w:val="166"/>
        </w:trPr>
        <w:tc>
          <w:tcPr>
            <w:tcW w:w="286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December 31, 1997</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860" w:type="dxa"/>
            <w:vAlign w:val="bottom"/>
            <w:vMerge w:val="continue"/>
          </w:tcPr>
          <w:p>
            <w:pPr>
              <w:spacing w:after="0"/>
              <w:rPr>
                <w:sz w:val="21"/>
                <w:szCs w:val="21"/>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$14,535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$(883)</w:t>
            </w: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Acquisitions</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December 31, 1998</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vMerge w:val="continue"/>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$15,123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$(1,246)</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2860" w:type="dxa"/>
            <w:vAlign w:val="bottom"/>
          </w:tcPr>
          <w:p>
            <w:pPr>
              <w:spacing w:after="0"/>
              <w:rPr>
                <w:sz w:val="24"/>
                <w:szCs w:val="24"/>
                <w:color w:val="auto"/>
              </w:rPr>
            </w:pP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46" w:name="page47"/>
    <w:bookmarkEnd w:id="46"/>
    <w:p>
      <w:pPr>
        <w:spacing w:after="0"/>
        <w:tabs>
          <w:tab w:leader="none" w:pos="102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 IN AND DISAGREEMENTS WITH ACCOUNTANTS ON</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ACCOUNTING AND FINANCIAL DISCLOSURE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590" w:right="1440" w:bottom="1440" w:gutter="0" w:footer="0" w:header="0"/>
        </w:sectPr>
      </w:pPr>
    </w:p>
    <w:bookmarkStart w:id="47" w:name="page48"/>
    <w:bookmarkEnd w:id="47"/>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Directors &amp; Executive Officers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First</w:t>
            </w:r>
          </w:p>
        </w:tc>
        <w:tc>
          <w:tcPr>
            <w:tcW w:w="0" w:type="dxa"/>
            <w:vAlign w:val="bottom"/>
          </w:tcPr>
          <w:p>
            <w:pPr>
              <w:spacing w:after="0"/>
              <w:rPr>
                <w:sz w:val="1"/>
                <w:szCs w:val="1"/>
                <w:color w:val="auto"/>
              </w:rPr>
            </w:pPr>
          </w:p>
        </w:tc>
      </w:tr>
      <w:tr>
        <w:trPr>
          <w:trHeight w:val="166"/>
        </w:trPr>
        <w:tc>
          <w:tcPr>
            <w:tcW w:w="294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Name</w:t>
            </w:r>
          </w:p>
        </w:tc>
        <w:tc>
          <w:tcPr>
            <w:tcW w:w="78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Age</w:t>
            </w:r>
          </w:p>
        </w:tc>
        <w:tc>
          <w:tcPr>
            <w:tcW w:w="5460" w:type="dxa"/>
            <w:vAlign w:val="bottom"/>
            <w:vMerge w:val="restart"/>
          </w:tcPr>
          <w:p>
            <w:pPr>
              <w:ind w:left="1120"/>
              <w:spacing w:after="0"/>
              <w:rPr>
                <w:sz w:val="20"/>
                <w:szCs w:val="20"/>
                <w:color w:val="auto"/>
              </w:rPr>
            </w:pPr>
            <w:r>
              <w:rPr>
                <w:rFonts w:ascii="Courier New" w:cs="Courier New" w:eastAsia="Courier New" w:hAnsi="Courier New"/>
                <w:sz w:val="14"/>
                <w:szCs w:val="14"/>
                <w:color w:val="auto"/>
              </w:rPr>
              <w:t>Current Occupation</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Became</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James J. Cotter (1)(3)</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61</w:t>
            </w: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Chairman of the Board of Citadel, Chairman of the</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1986</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Board of Craig Corporation ("Craig"), and Chairman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of the Board of Reading Entertainment, Inc. ('REI")</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Craig Tompkins(3)</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48</w:t>
            </w: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Secretary/Treasurer and Principal Accounting Officer</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of Citadel, Vice Chairman of the Board of Citadel,</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President and Director of Craig, Vice Chairman of the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Board of REI, and Director of G&amp;L Realty Corp.</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Ronald I. Simon (2)(3)(4)</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60</w:t>
            </w: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Vice President/Chief Financial Officer of Western Water</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Company; Chairman of Softnet Systems, Inc. and Director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60" w:type="dxa"/>
            <w:vAlign w:val="bottom"/>
          </w:tcPr>
          <w:p>
            <w:pPr>
              <w:ind w:left="420"/>
              <w:spacing w:after="0"/>
              <w:rPr>
                <w:sz w:val="20"/>
                <w:szCs w:val="20"/>
                <w:color w:val="auto"/>
              </w:rPr>
            </w:pPr>
            <w:r>
              <w:rPr>
                <w:rFonts w:ascii="Courier New" w:cs="Courier New" w:eastAsia="Courier New" w:hAnsi="Courier New"/>
                <w:sz w:val="14"/>
                <w:szCs w:val="14"/>
                <w:color w:val="auto"/>
              </w:rPr>
              <w:t>of Westcorp Investments.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Alfred Villasenor, Jr. (1)(2)(4)</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68</w:t>
            </w:r>
          </w:p>
        </w:tc>
        <w:tc>
          <w:tcPr>
            <w:tcW w:w="5460" w:type="dxa"/>
            <w:vAlign w:val="bottom"/>
          </w:tcPr>
          <w:p>
            <w:pPr>
              <w:ind w:left="340"/>
              <w:spacing w:after="0"/>
              <w:rPr>
                <w:sz w:val="20"/>
                <w:szCs w:val="20"/>
                <w:color w:val="auto"/>
              </w:rPr>
            </w:pPr>
            <w:r>
              <w:rPr>
                <w:rFonts w:ascii="Courier New" w:cs="Courier New" w:eastAsia="Courier New" w:hAnsi="Courier New"/>
                <w:sz w:val="14"/>
                <w:szCs w:val="14"/>
                <w:color w:val="auto"/>
              </w:rPr>
              <w:t>President of Unisure Insurance Services, Incorporated</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1987</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Compensation Committee.</w:t>
      </w:r>
    </w:p>
    <w:p>
      <w:pPr>
        <w:spacing w:after="0" w:line="3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Audit Committee.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Executive Committee.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Conflicts Committee.</w:t>
      </w:r>
    </w:p>
    <w:p>
      <w:pPr>
        <w:spacing w:after="0" w:line="147" w:lineRule="exact"/>
        <w:rPr>
          <w:sz w:val="20"/>
          <w:szCs w:val="20"/>
          <w:color w:val="auto"/>
        </w:rPr>
      </w:pPr>
    </w:p>
    <w:p>
      <w:pPr>
        <w:ind w:right="3339" w:firstLine="172"/>
        <w:spacing w:after="0" w:line="313" w:lineRule="auto"/>
        <w:rPr>
          <w:sz w:val="20"/>
          <w:szCs w:val="20"/>
          <w:color w:val="auto"/>
        </w:rPr>
      </w:pPr>
      <w:r>
        <w:rPr>
          <w:rFonts w:ascii="Courier New" w:cs="Courier New" w:eastAsia="Courier New" w:hAnsi="Courier New"/>
          <w:sz w:val="14"/>
          <w:szCs w:val="14"/>
          <w:color w:val="auto"/>
        </w:rPr>
        <w:t>Set forth below is certain information concerning the principal occupation and business experience of each of the individuals named above during the past five years.</w:t>
      </w:r>
    </w:p>
    <w:p>
      <w:pPr>
        <w:spacing w:after="0" w:line="42"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Mr. Cotter was first elected to the Board in 1986, and resigned in 1988. He was re-elected to the Board in June 1991, named Acting Chairman of the Board of Directors of Citadel and named Chairman of the Board of Citadel on June 5, 1992. Mr. Cotter is the Chairman and a director of Citadel Agricultural Inc., a wholly owned subsidiary of Citadel ("CAI"); the Chairman and a member of the Management Committee of each of the agricultural partnerships which constitute the principal assets of CAI (the "Agricultural Partnerships"); and the Chairman and a member of the Management Committee of Big 4 Farming, LLC, an 80% owned subsidiary of Citadel. From 1988 through January 1993, Mr. Cotter also served as the President and a director of Cecelia Packing Corporation (a citrus grower and packer), a company wholly owned by Mr. Cotter, and is the Managing Director of Visalia, LLC, which holds a 20% interest in each of the Agricultural Partnerships and Big 4 Farming LLC. Mr. Cotter has been Chairman of the Board of Craig Corporation ("Craig") since 1988 and a director of that company since 1985. Since 1996, Mr. Cotter has served as a director of Reading Entertainment, Inc. ("REI" and collectively with its consolidated subsidiaries, "Reading") (motion picture exhibition and real estate), which company was formed pursuant to a reorganization of Reading Company under a Delaware holding company, effective October 1996. Since 1990 Mr. Cotter has also served as a director of Reading Company, currently a wholly owned subsidiary of REI, and since 1991, as the Chairman of</w:t>
      </w:r>
    </w:p>
    <w:p>
      <w:pPr>
        <w:spacing w:after="0" w:line="1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590" w:right="1440" w:bottom="1440" w:gutter="0" w:footer="0" w:header="0"/>
        </w:sectPr>
      </w:pPr>
    </w:p>
    <w:bookmarkStart w:id="48" w:name="page49"/>
    <w:bookmarkEnd w:id="48"/>
    <w:p>
      <w:pPr>
        <w:ind w:right="3339"/>
        <w:spacing w:after="0" w:line="262" w:lineRule="auto"/>
        <w:rPr>
          <w:sz w:val="20"/>
          <w:szCs w:val="20"/>
          <w:color w:val="auto"/>
        </w:rPr>
      </w:pPr>
      <w:r>
        <w:rPr>
          <w:rFonts w:ascii="Courier New" w:cs="Courier New" w:eastAsia="Courier New" w:hAnsi="Courier New"/>
          <w:sz w:val="14"/>
          <w:szCs w:val="14"/>
          <w:color w:val="auto"/>
        </w:rPr>
        <w:t>the Board of that company. Craig owns approximately 78% of the voting power of the outstanding securities of REI and the Company owns approximately 5% of the voting power of REI. Craig owns approximately 16.4% of the Company's outstanding Common Stock and Reading owns approximately 31.7% of such securities. Mr. Cotter is also the Executive Vice President and a director of The Decurion Corporation (motion picture exhibition). Mr. Cotter began his association with The Decurion Corporation in 1969. Mr. Cotter has been the Chief Executive Officer and a director of Townhouse Cinemas Corporation (motion picture exhibition) since 1987. Mr. Cotter is the General Partner of James J. Cotter, Ltd., a general partner in Hecco Ventures I, a California General Partnership ("Hecco I"") is involved in investment activities and is a shareholder in Craig), and was a director of Stater Bros., Inc. (retail grocery) between 1987 and September 1997.</w:t>
      </w:r>
    </w:p>
    <w:p>
      <w:pPr>
        <w:spacing w:after="0" w:line="76"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Mr. Simon has been a director of the Company since June 1995. Mr. Simon is the Vice President, Chief Financial Officer of Western Water Company. In addition, he is Chairman of the Board of Softnet Systems, Inc. and a director of Westcorp Investments, a wholly owned subsidiary of Westcorp, Inc. Formerly, Mr. Simon was the Managing Director of the Henley Group, Inc., a director of Craig Corporation from 1987-1990 and a director of Reading Company from 1989 to 1995.</w:t>
      </w:r>
    </w:p>
    <w:p>
      <w:pPr>
        <w:spacing w:after="0" w:line="69"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Mr. Tompkins was a partner of Gibson Dunn &amp; Crutcher until March 1993 when he resigned to become President of each of Craig and Reading. Mr. Tompkins has served as a director of each of Craig and Reading since February 1993 and has served as a director of REI since its formation in 1996. In January 1997, Mr. Tompkins resigned as President of REI and was made Vice Chairman of REI. Mr. Tompkins was elected to the Board of Directors of G&amp;L Realty Corp., a New York Stock Exchange listed real estate investment trust, in December of 1993, and currently serves as the Chairman of the Audit and Strategic Planning Committees of that REIT. Mr. Tompkins was elected Vice Chairman of the Board of Citadel in July of 1995. Mr. Tompkins is also President and a director of CAI, a member of the Management Committee of each of the Agricultural Partnerships and of Big 4 Farming LLC, and serves for administrative convenience as an Assistant Secretary of Visalia, LLC, and Big 4 Ranch, Inc. (a partner with CAI and Visalia, LLC in each of the Agricultural Partnerships). Mr. Tompkins also serves as the Secretary/Treasurer and Principal Accounting Officer for Citadel.</w:t>
      </w:r>
    </w:p>
    <w:p>
      <w:pPr>
        <w:spacing w:after="0" w:line="83"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Mr. Villasenor is the President and the owner of Unisure Insurance Services, Incorporated, a corporation which has specialized in life, business life and group health insurance for over 35 years. He is also a general partner in Playa de Villa, a California real estate commercial center. Mr. Villasenor is a director of the John Gogian Family Foundation and a director of Richstone Centers, a non-profit organization. In 1987, Mr. Villasenor was elected to the Board of Directors of Citadel and Fidelity and served on the Board of Fidelity until 1994. Mr. Villasenor also served as a director of Gateway Investments, Inc. (a wholly owned subsidiary of Fidelity) from June 22, 1993 until February 24, 1995.</w:t>
      </w:r>
    </w:p>
    <w:p>
      <w:pPr>
        <w:spacing w:after="0" w:line="25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 officers are elected annually by the Board of Directors.</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officers of Citadel currently include Steve Wesson, S. Craig Tompkins and Brett Marsh. The Summary Compensation Table sets forth the compensation earned for the years ended December 31, 1998, 1997 and 1996 by each of the most highly compensated executive officers of the company whose compensation exceeded $100,000 in all capacities in which they served.</w:t>
      </w:r>
    </w:p>
    <w:p>
      <w:pPr>
        <w:spacing w:after="0" w:line="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590"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4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Annual Compensation</w:t>
            </w:r>
          </w:p>
        </w:tc>
        <w:tc>
          <w:tcPr>
            <w:tcW w:w="1360" w:type="dxa"/>
            <w:vAlign w:val="bottom"/>
          </w:tcPr>
          <w:p>
            <w:pPr>
              <w:spacing w:after="0"/>
              <w:rPr>
                <w:sz w:val="14"/>
                <w:szCs w:val="14"/>
                <w:color w:val="auto"/>
              </w:rPr>
            </w:pPr>
          </w:p>
        </w:tc>
        <w:tc>
          <w:tcPr>
            <w:tcW w:w="1220" w:type="dxa"/>
            <w:vAlign w:val="bottom"/>
          </w:tcPr>
          <w:p>
            <w:pPr>
              <w:jc w:val="center"/>
              <w:ind w:right="9"/>
              <w:spacing w:after="0"/>
              <w:rPr>
                <w:sz w:val="20"/>
                <w:szCs w:val="20"/>
                <w:color w:val="auto"/>
              </w:rPr>
            </w:pPr>
            <w:r>
              <w:rPr>
                <w:rFonts w:ascii="Courier New" w:cs="Courier New" w:eastAsia="Courier New" w:hAnsi="Courier New"/>
                <w:sz w:val="14"/>
                <w:szCs w:val="14"/>
                <w:color w:val="auto"/>
              </w:rPr>
              <w:t>Long Term</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4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vMerge w:val="restart"/>
          </w:tcPr>
          <w:p>
            <w:pPr>
              <w:jc w:val="right"/>
              <w:ind w:right="29"/>
              <w:spacing w:after="0"/>
              <w:rPr>
                <w:sz w:val="20"/>
                <w:szCs w:val="20"/>
                <w:color w:val="auto"/>
              </w:rPr>
            </w:pPr>
            <w:r>
              <w:rPr>
                <w:rFonts w:ascii="Courier New" w:cs="Courier New" w:eastAsia="Courier New" w:hAnsi="Courier New"/>
                <w:sz w:val="11"/>
                <w:szCs w:val="11"/>
                <w:color w:val="auto"/>
                <w:w w:val="74"/>
              </w:rPr>
              <w:t>Compensation</w:t>
            </w:r>
            <w:r>
              <w:rPr>
                <w:rFonts w:ascii="Courier New" w:cs="Courier New" w:eastAsia="Courier New" w:hAnsi="Courier New"/>
                <w:sz w:val="19"/>
                <w:szCs w:val="19"/>
                <w:color w:val="auto"/>
                <w:w w:val="74"/>
                <w:vertAlign w:val="superscript"/>
              </w:rPr>
              <w: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1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Securities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Underlying</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Stock</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w w:val="99"/>
              </w:rPr>
              <w:t>Other Annual</w:t>
            </w:r>
          </w:p>
        </w:tc>
        <w:tc>
          <w:tcPr>
            <w:tcW w:w="12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All Other</w:t>
            </w: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20" w:type="dxa"/>
            <w:vAlign w:val="bottom"/>
          </w:tcPr>
          <w:p>
            <w:pPr>
              <w:jc w:val="center"/>
              <w:ind w:right="9"/>
              <w:spacing w:after="0"/>
              <w:rPr>
                <w:sz w:val="20"/>
                <w:szCs w:val="20"/>
                <w:color w:val="auto"/>
              </w:rPr>
            </w:pPr>
            <w:r>
              <w:rPr>
                <w:rFonts w:ascii="Courier New" w:cs="Courier New" w:eastAsia="Courier New" w:hAnsi="Courier New"/>
                <w:sz w:val="14"/>
                <w:szCs w:val="14"/>
                <w:color w:val="auto"/>
              </w:rPr>
              <w:t>Options</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Principal Position</w:t>
            </w:r>
          </w:p>
        </w:tc>
        <w:tc>
          <w:tcPr>
            <w:tcW w:w="116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Year</w:t>
            </w:r>
          </w:p>
        </w:tc>
        <w:tc>
          <w:tcPr>
            <w:tcW w:w="190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Salary</w:t>
            </w:r>
          </w:p>
        </w:tc>
        <w:tc>
          <w:tcPr>
            <w:tcW w:w="10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Bonus</w:t>
            </w:r>
          </w:p>
        </w:tc>
        <w:tc>
          <w:tcPr>
            <w:tcW w:w="1360" w:type="dxa"/>
            <w:vAlign w:val="bottom"/>
            <w:vMerge w:val="restart"/>
          </w:tcPr>
          <w:p>
            <w:pPr>
              <w:jc w:val="center"/>
              <w:ind w:right="171"/>
              <w:spacing w:after="0"/>
              <w:rPr>
                <w:sz w:val="20"/>
                <w:szCs w:val="20"/>
                <w:color w:val="auto"/>
              </w:rPr>
            </w:pPr>
            <w:r>
              <w:rPr>
                <w:rFonts w:ascii="Courier New" w:cs="Courier New" w:eastAsia="Courier New" w:hAnsi="Courier New"/>
                <w:sz w:val="16"/>
                <w:szCs w:val="16"/>
                <w:color w:val="auto"/>
                <w:w w:val="75"/>
                <w:vertAlign w:val="superscript"/>
              </w:rPr>
              <w:t>------------</w:t>
            </w:r>
            <w:r>
              <w:rPr>
                <w:rFonts w:ascii="Courier New" w:cs="Courier New" w:eastAsia="Courier New" w:hAnsi="Courier New"/>
                <w:sz w:val="10"/>
                <w:szCs w:val="10"/>
                <w:color w:val="auto"/>
                <w:w w:val="75"/>
              </w:rPr>
              <w:t>Compensation</w:t>
            </w:r>
          </w:p>
        </w:tc>
        <w:tc>
          <w:tcPr>
            <w:tcW w:w="1220" w:type="dxa"/>
            <w:vAlign w:val="bottom"/>
          </w:tcPr>
          <w:p>
            <w:pPr>
              <w:jc w:val="center"/>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20" w:type="dxa"/>
            <w:vAlign w:val="bottom"/>
          </w:tcPr>
          <w:p>
            <w:pPr>
              <w:jc w:val="center"/>
              <w:ind w:right="9"/>
              <w:spacing w:after="0"/>
              <w:rPr>
                <w:sz w:val="20"/>
                <w:szCs w:val="20"/>
                <w:color w:val="auto"/>
              </w:rPr>
            </w:pPr>
            <w:r>
              <w:rPr>
                <w:rFonts w:ascii="Courier New" w:cs="Courier New" w:eastAsia="Courier New" w:hAnsi="Courier New"/>
                <w:sz w:val="14"/>
                <w:szCs w:val="14"/>
                <w:color w:val="auto"/>
              </w:rPr>
              <w:t>Granted</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Compensation(1)</w:t>
            </w:r>
          </w:p>
        </w:tc>
        <w:tc>
          <w:tcPr>
            <w:tcW w:w="0" w:type="dxa"/>
            <w:vAlign w:val="bottom"/>
          </w:tcPr>
          <w:p>
            <w:pPr>
              <w:spacing w:after="0"/>
              <w:rPr>
                <w:sz w:val="1"/>
                <w:szCs w:val="1"/>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80" w:type="dxa"/>
            <w:vAlign w:val="bottom"/>
            <w:vMerge w:val="restart"/>
          </w:tcPr>
          <w:p>
            <w:pPr>
              <w:spacing w:after="0"/>
              <w:rPr>
                <w:sz w:val="20"/>
                <w:szCs w:val="20"/>
                <w:color w:val="auto"/>
              </w:rPr>
            </w:pPr>
            <w:r>
              <w:rPr>
                <w:rFonts w:ascii="Courier New" w:cs="Courier New" w:eastAsia="Courier New" w:hAnsi="Courier New"/>
                <w:sz w:val="14"/>
                <w:szCs w:val="14"/>
                <w:color w:val="auto"/>
              </w:rPr>
              <w:t>Steve Wesson</w:t>
            </w:r>
          </w:p>
        </w:tc>
        <w:tc>
          <w:tcPr>
            <w:tcW w:w="116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1998</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$50,000</w:t>
            </w:r>
          </w:p>
        </w:tc>
        <w:tc>
          <w:tcPr>
            <w:tcW w:w="1360" w:type="dxa"/>
            <w:vAlign w:val="bottom"/>
            <w:vMerge w:val="restart"/>
          </w:tcPr>
          <w:p>
            <w:pPr>
              <w:jc w:val="center"/>
              <w:ind w:right="191"/>
              <w:spacing w:after="0"/>
              <w:rPr>
                <w:sz w:val="20"/>
                <w:szCs w:val="20"/>
                <w:color w:val="auto"/>
              </w:rPr>
            </w:pPr>
            <w:r>
              <w:rPr>
                <w:rFonts w:ascii="Courier New" w:cs="Courier New" w:eastAsia="Courier New" w:hAnsi="Courier New"/>
                <w:sz w:val="14"/>
                <w:szCs w:val="14"/>
                <w:color w:val="auto"/>
              </w:rPr>
              <w:t>(1)</w:t>
            </w:r>
          </w:p>
        </w:tc>
        <w:tc>
          <w:tcPr>
            <w:tcW w:w="122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$200,000</w:t>
            </w:r>
          </w:p>
        </w:tc>
        <w:tc>
          <w:tcPr>
            <w:tcW w:w="10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President and Chief</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1997</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$185,000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$80,000</w:t>
            </w:r>
          </w:p>
        </w:tc>
        <w:tc>
          <w:tcPr>
            <w:tcW w:w="1360" w:type="dxa"/>
            <w:vAlign w:val="bottom"/>
          </w:tcPr>
          <w:p>
            <w:pPr>
              <w:jc w:val="center"/>
              <w:ind w:right="191"/>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Executive Officer</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1996</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$175,000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$100,000</w:t>
            </w:r>
          </w:p>
        </w:tc>
        <w:tc>
          <w:tcPr>
            <w:tcW w:w="1360" w:type="dxa"/>
            <w:vAlign w:val="bottom"/>
          </w:tcPr>
          <w:p>
            <w:pPr>
              <w:jc w:val="center"/>
              <w:ind w:right="191"/>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Brett Marsh</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1998</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$152,500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ind w:right="191"/>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Director of Real Estate</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1997</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$30,000</w:t>
            </w:r>
          </w:p>
        </w:tc>
        <w:tc>
          <w:tcPr>
            <w:tcW w:w="1360" w:type="dxa"/>
            <w:vAlign w:val="bottom"/>
          </w:tcPr>
          <w:p>
            <w:pPr>
              <w:jc w:val="center"/>
              <w:ind w:right="191"/>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980" w:type="dxa"/>
            <w:vAlign w:val="bottom"/>
          </w:tcPr>
          <w:p>
            <w:pPr>
              <w:spacing w:after="0"/>
              <w:rPr>
                <w:sz w:val="21"/>
                <w:szCs w:val="21"/>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1996</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$10,000</w:t>
            </w:r>
          </w:p>
        </w:tc>
        <w:tc>
          <w:tcPr>
            <w:tcW w:w="1360" w:type="dxa"/>
            <w:vAlign w:val="bottom"/>
          </w:tcPr>
          <w:p>
            <w:pPr>
              <w:jc w:val="center"/>
              <w:ind w:right="191"/>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right="4480" w:hanging="352"/>
        <w:spacing w:after="0" w:line="37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perquisites if the aggregate amount thereof is less than $50,000, or 10% of salary plus bonus, if less.</w:t>
      </w:r>
    </w:p>
    <w:p>
      <w:pPr>
        <w:spacing w:after="0" w:line="1" w:lineRule="exact"/>
        <w:rPr>
          <w:rFonts w:ascii="Courier New" w:cs="Courier New" w:eastAsia="Courier New" w:hAnsi="Courier New"/>
          <w:sz w:val="14"/>
          <w:szCs w:val="14"/>
          <w:color w:val="auto"/>
        </w:rPr>
      </w:pPr>
    </w:p>
    <w:p>
      <w:pPr>
        <w:ind w:left="360" w:right="4300" w:hanging="352"/>
        <w:spacing w:after="0" w:line="27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1997, Mr. Wesson and Mr. Marsh, who provide services to REI pursuant to a consulting agreement between Citadel and REI, were named officers of a wholly-owned subsidiary of REI. Mr. Wesson and Mr. Marsh received an option to acquire 20,000 and 10,000 shares, respectively, of REI Common Stock at an exercise price of $12.875 per share. On November 23, 1998, such shares closed at $9.00 per share.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Option/SAR Grants In Last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options were granted in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Option/SAR In Last Fiscal Year and Fiscal Year-End Option/SAR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Number of Securities</w:t>
            </w:r>
          </w:p>
        </w:tc>
        <w:tc>
          <w:tcPr>
            <w:tcW w:w="2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80" w:type="dxa"/>
            <w:vAlign w:val="bottom"/>
            <w:vMerge w:val="restart"/>
          </w:tcPr>
          <w:p>
            <w:pPr>
              <w:ind w:left="360"/>
              <w:spacing w:after="0"/>
              <w:rPr>
                <w:sz w:val="20"/>
                <w:szCs w:val="20"/>
                <w:color w:val="auto"/>
              </w:rPr>
            </w:pPr>
            <w:r>
              <w:rPr>
                <w:rFonts w:ascii="Courier New" w:cs="Courier New" w:eastAsia="Courier New" w:hAnsi="Courier New"/>
                <w:sz w:val="12"/>
                <w:szCs w:val="12"/>
                <w:color w:val="auto"/>
                <w:w w:val="70"/>
              </w:rPr>
              <w:t>Underlying</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Unexercised</w:t>
            </w:r>
          </w:p>
        </w:tc>
        <w:tc>
          <w:tcPr>
            <w:tcW w:w="2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27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in-the-Money</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Options/SARs</w:t>
            </w: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27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Option/SARs</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720" w:type="dxa"/>
            <w:vAlign w:val="bottom"/>
            <w:vMerge w:val="restart"/>
          </w:tcPr>
          <w:p>
            <w:pPr>
              <w:jc w:val="center"/>
              <w:ind w:right="112"/>
              <w:spacing w:after="0"/>
              <w:rPr>
                <w:sz w:val="20"/>
                <w:szCs w:val="20"/>
                <w:color w:val="auto"/>
              </w:rPr>
            </w:pPr>
            <w:r>
              <w:rPr>
                <w:rFonts w:ascii="Courier New" w:cs="Courier New" w:eastAsia="Courier New" w:hAnsi="Courier New"/>
                <w:sz w:val="14"/>
                <w:szCs w:val="14"/>
                <w:color w:val="auto"/>
              </w:rPr>
              <w:t>Shares Acquired</w:t>
            </w:r>
          </w:p>
        </w:tc>
        <w:tc>
          <w:tcPr>
            <w:tcW w:w="1500" w:type="dxa"/>
            <w:vAlign w:val="bottom"/>
            <w:vMerge w:val="restart"/>
          </w:tcPr>
          <w:p>
            <w:pPr>
              <w:jc w:val="center"/>
              <w:ind w:right="48"/>
              <w:spacing w:after="0"/>
              <w:rPr>
                <w:sz w:val="20"/>
                <w:szCs w:val="20"/>
                <w:color w:val="auto"/>
              </w:rPr>
            </w:pPr>
            <w:r>
              <w:rPr>
                <w:rFonts w:ascii="Courier New" w:cs="Courier New" w:eastAsia="Courier New" w:hAnsi="Courier New"/>
                <w:sz w:val="14"/>
                <w:szCs w:val="14"/>
                <w:color w:val="auto"/>
                <w:w w:val="99"/>
              </w:rPr>
              <w:t>Value</w:t>
            </w:r>
          </w:p>
        </w:tc>
        <w:tc>
          <w:tcPr>
            <w:tcW w:w="2680" w:type="dxa"/>
            <w:vAlign w:val="bottom"/>
            <w:vMerge w:val="restart"/>
          </w:tcPr>
          <w:p>
            <w:pPr>
              <w:jc w:val="center"/>
              <w:ind w:right="91"/>
              <w:spacing w:after="0"/>
              <w:rPr>
                <w:sz w:val="20"/>
                <w:szCs w:val="20"/>
                <w:color w:val="auto"/>
              </w:rPr>
            </w:pPr>
            <w:r>
              <w:rPr>
                <w:rFonts w:ascii="Courier New" w:cs="Courier New" w:eastAsia="Courier New" w:hAnsi="Courier New"/>
                <w:sz w:val="18"/>
                <w:szCs w:val="18"/>
                <w:color w:val="auto"/>
                <w:w w:val="70"/>
                <w:vertAlign w:val="subscript"/>
              </w:rPr>
              <w:t>at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FY-End(#)</w:t>
            </w:r>
          </w:p>
        </w:tc>
        <w:tc>
          <w:tcPr>
            <w:tcW w:w="27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27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at 12/31/98</w:t>
            </w:r>
          </w:p>
        </w:tc>
        <w:tc>
          <w:tcPr>
            <w:tcW w:w="0" w:type="dxa"/>
            <w:vAlign w:val="bottom"/>
          </w:tcPr>
          <w:p>
            <w:pPr>
              <w:spacing w:after="0"/>
              <w:rPr>
                <w:sz w:val="1"/>
                <w:szCs w:val="1"/>
                <w:color w:val="auto"/>
              </w:rPr>
            </w:pPr>
          </w:p>
        </w:tc>
      </w:tr>
      <w:tr>
        <w:trPr>
          <w:trHeight w:val="166"/>
        </w:trPr>
        <w:tc>
          <w:tcPr>
            <w:tcW w:w="21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Name</w:t>
            </w:r>
          </w:p>
        </w:tc>
        <w:tc>
          <w:tcPr>
            <w:tcW w:w="1720" w:type="dxa"/>
            <w:vAlign w:val="bottom"/>
            <w:vMerge w:val="restart"/>
          </w:tcPr>
          <w:p>
            <w:pPr>
              <w:jc w:val="center"/>
              <w:ind w:right="112"/>
              <w:spacing w:after="0"/>
              <w:rPr>
                <w:sz w:val="20"/>
                <w:szCs w:val="20"/>
                <w:color w:val="auto"/>
              </w:rPr>
            </w:pPr>
            <w:r>
              <w:rPr>
                <w:rFonts w:ascii="Courier New" w:cs="Courier New" w:eastAsia="Courier New" w:hAnsi="Courier New"/>
                <w:sz w:val="16"/>
                <w:szCs w:val="16"/>
                <w:color w:val="auto"/>
                <w:w w:val="75"/>
                <w:vertAlign w:val="subscript"/>
              </w:rPr>
              <w:t>on</w:t>
            </w: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Exercise(#)</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w:t>
            </w:r>
          </w:p>
        </w:tc>
        <w:tc>
          <w:tcPr>
            <w:tcW w:w="2680" w:type="dxa"/>
            <w:vAlign w:val="bottom"/>
          </w:tcPr>
          <w:p>
            <w:pPr>
              <w:jc w:val="center"/>
              <w:ind w:right="91"/>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Realized ($)</w:t>
            </w:r>
          </w:p>
        </w:tc>
        <w:tc>
          <w:tcPr>
            <w:tcW w:w="2680" w:type="dxa"/>
            <w:vAlign w:val="bottom"/>
          </w:tcPr>
          <w:p>
            <w:pPr>
              <w:jc w:val="center"/>
              <w:ind w:right="91"/>
              <w:spacing w:after="0"/>
              <w:rPr>
                <w:sz w:val="20"/>
                <w:szCs w:val="20"/>
                <w:color w:val="auto"/>
              </w:rPr>
            </w:pPr>
            <w:r>
              <w:rPr>
                <w:rFonts w:ascii="Courier New" w:cs="Courier New" w:eastAsia="Courier New" w:hAnsi="Courier New"/>
                <w:sz w:val="14"/>
                <w:szCs w:val="14"/>
                <w:color w:val="auto"/>
              </w:rPr>
              <w:t>Exercisable/Unexercisable</w:t>
            </w:r>
          </w:p>
        </w:tc>
        <w:tc>
          <w:tcPr>
            <w:tcW w:w="27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Exercisable/Unexercisable (1)</w:t>
            </w:r>
          </w:p>
        </w:tc>
        <w:tc>
          <w:tcPr>
            <w:tcW w:w="0" w:type="dxa"/>
            <w:vAlign w:val="bottom"/>
          </w:tcPr>
          <w:p>
            <w:pPr>
              <w:spacing w:after="0"/>
              <w:rPr>
                <w:sz w:val="1"/>
                <w:szCs w:val="1"/>
                <w:color w:val="auto"/>
              </w:rPr>
            </w:pPr>
          </w:p>
        </w:tc>
      </w:tr>
      <w:tr>
        <w:trPr>
          <w:trHeight w:val="242"/>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jc w:val="right"/>
              <w:ind w:right="52"/>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Steve Wesson</w:t>
            </w:r>
          </w:p>
        </w:tc>
        <w:tc>
          <w:tcPr>
            <w:tcW w:w="1720" w:type="dxa"/>
            <w:vAlign w:val="bottom"/>
          </w:tcPr>
          <w:p>
            <w:pPr>
              <w:jc w:val="center"/>
              <w:ind w:right="112"/>
              <w:spacing w:after="0"/>
              <w:rPr>
                <w:sz w:val="20"/>
                <w:szCs w:val="20"/>
                <w:color w:val="auto"/>
              </w:rPr>
            </w:pPr>
            <w:r>
              <w:rPr>
                <w:rFonts w:ascii="Courier New" w:cs="Courier New" w:eastAsia="Courier New" w:hAnsi="Courier New"/>
                <w:sz w:val="14"/>
                <w:szCs w:val="14"/>
                <w:color w:val="auto"/>
              </w:rPr>
              <w:t>N/A</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N/A</w:t>
            </w:r>
          </w:p>
        </w:tc>
        <w:tc>
          <w:tcPr>
            <w:tcW w:w="2680" w:type="dxa"/>
            <w:vAlign w:val="bottom"/>
          </w:tcPr>
          <w:p>
            <w:pPr>
              <w:jc w:val="right"/>
              <w:ind w:right="1051"/>
              <w:spacing w:after="0"/>
              <w:rPr>
                <w:sz w:val="20"/>
                <w:szCs w:val="20"/>
                <w:color w:val="auto"/>
              </w:rPr>
            </w:pPr>
            <w:r>
              <w:rPr>
                <w:rFonts w:ascii="Courier New" w:cs="Courier New" w:eastAsia="Courier New" w:hAnsi="Courier New"/>
                <w:sz w:val="14"/>
                <w:szCs w:val="14"/>
                <w:color w:val="auto"/>
              </w:rPr>
              <w:t>33,000/0</w:t>
            </w:r>
          </w:p>
        </w:tc>
        <w:tc>
          <w:tcPr>
            <w:tcW w:w="1380" w:type="dxa"/>
            <w:vAlign w:val="bottom"/>
          </w:tcPr>
          <w:p>
            <w:pPr>
              <w:jc w:val="center"/>
              <w:ind w:left="122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41,168</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Alfred Villasenor</w:t>
            </w:r>
          </w:p>
        </w:tc>
        <w:tc>
          <w:tcPr>
            <w:tcW w:w="1720" w:type="dxa"/>
            <w:vAlign w:val="bottom"/>
          </w:tcPr>
          <w:p>
            <w:pPr>
              <w:jc w:val="center"/>
              <w:ind w:right="112"/>
              <w:spacing w:after="0"/>
              <w:rPr>
                <w:sz w:val="20"/>
                <w:szCs w:val="20"/>
                <w:color w:val="auto"/>
              </w:rPr>
            </w:pPr>
            <w:r>
              <w:rPr>
                <w:rFonts w:ascii="Courier New" w:cs="Courier New" w:eastAsia="Courier New" w:hAnsi="Courier New"/>
                <w:sz w:val="14"/>
                <w:szCs w:val="14"/>
                <w:color w:val="auto"/>
              </w:rPr>
              <w:t>N/A</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N/A</w:t>
            </w:r>
          </w:p>
        </w:tc>
        <w:tc>
          <w:tcPr>
            <w:tcW w:w="2680" w:type="dxa"/>
            <w:vAlign w:val="bottom"/>
          </w:tcPr>
          <w:p>
            <w:pPr>
              <w:jc w:val="right"/>
              <w:ind w:right="1051"/>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center"/>
              <w:ind w:left="122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9,375</w:t>
            </w:r>
          </w:p>
        </w:tc>
        <w:tc>
          <w:tcPr>
            <w:tcW w:w="0" w:type="dxa"/>
            <w:vAlign w:val="bottom"/>
          </w:tcPr>
          <w:p>
            <w:pPr>
              <w:spacing w:after="0"/>
              <w:rPr>
                <w:sz w:val="1"/>
                <w:szCs w:val="1"/>
                <w:color w:val="auto"/>
              </w:rPr>
            </w:pPr>
          </w:p>
        </w:tc>
      </w:tr>
      <w:tr>
        <w:trPr>
          <w:trHeight w:val="242"/>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Ronald I. Simon</w:t>
            </w:r>
          </w:p>
        </w:tc>
        <w:tc>
          <w:tcPr>
            <w:tcW w:w="1720" w:type="dxa"/>
            <w:vAlign w:val="bottom"/>
          </w:tcPr>
          <w:p>
            <w:pPr>
              <w:jc w:val="center"/>
              <w:ind w:right="112"/>
              <w:spacing w:after="0"/>
              <w:rPr>
                <w:sz w:val="20"/>
                <w:szCs w:val="20"/>
                <w:color w:val="auto"/>
              </w:rPr>
            </w:pPr>
            <w:r>
              <w:rPr>
                <w:rFonts w:ascii="Courier New" w:cs="Courier New" w:eastAsia="Courier New" w:hAnsi="Courier New"/>
                <w:sz w:val="14"/>
                <w:szCs w:val="14"/>
                <w:color w:val="auto"/>
              </w:rPr>
              <w:t>N/A</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N/A</w:t>
            </w:r>
          </w:p>
        </w:tc>
        <w:tc>
          <w:tcPr>
            <w:tcW w:w="2680" w:type="dxa"/>
            <w:vAlign w:val="bottom"/>
          </w:tcPr>
          <w:p>
            <w:pPr>
              <w:jc w:val="right"/>
              <w:ind w:right="1051"/>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center"/>
              <w:ind w:left="122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9,375</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Based upon $3.9375 per share.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1200"/>
          </w:cols>
          <w:pgMar w:left="220" w:top="921" w:right="47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Employment Contracts and Change in Control Agreements</w:t>
      </w:r>
    </w:p>
    <w:p>
      <w:pPr>
        <w:spacing w:after="0" w:line="173" w:lineRule="exact"/>
        <w:rPr>
          <w:sz w:val="20"/>
          <w:szCs w:val="20"/>
          <w:color w:val="auto"/>
        </w:rPr>
      </w:pPr>
    </w:p>
    <w:p>
      <w:pPr>
        <w:ind w:right="3339" w:firstLine="172"/>
        <w:spacing w:after="0" w:line="271" w:lineRule="auto"/>
        <w:rPr>
          <w:sz w:val="20"/>
          <w:szCs w:val="20"/>
          <w:color w:val="auto"/>
        </w:rPr>
      </w:pPr>
      <w:r>
        <w:rPr>
          <w:rFonts w:ascii="Courier New" w:cs="Courier New" w:eastAsia="Courier New" w:hAnsi="Courier New"/>
          <w:sz w:val="14"/>
          <w:szCs w:val="14"/>
          <w:color w:val="auto"/>
        </w:rPr>
        <w:t>Citadel and Steve Wesson entered into an Executive Employment Agreement, effective as of August 4, 1994 (the ''Employment Agreement''). The term of the Employment Agreement is two years and is automatically renewed for subsequent one-year terms unless either party gives notice of non-renewal. Mr. Wesson is paid an annual salary of $175,000 and a minimum annual bonus of $50,000. Pursuant to the Employment Agreement, Mr. Wesson was granted options to purchase 33,000 shares of Common Stock of Citadel.</w:t>
      </w:r>
    </w:p>
    <w:p>
      <w:pPr>
        <w:spacing w:after="0" w:line="72" w:lineRule="exact"/>
        <w:rPr>
          <w:sz w:val="20"/>
          <w:szCs w:val="20"/>
          <w:color w:val="auto"/>
        </w:rPr>
      </w:pPr>
    </w:p>
    <w:p>
      <w:pPr>
        <w:ind w:right="3339" w:firstLine="172"/>
        <w:spacing w:after="0" w:line="261" w:lineRule="auto"/>
        <w:rPr>
          <w:sz w:val="20"/>
          <w:szCs w:val="20"/>
          <w:color w:val="auto"/>
        </w:rPr>
      </w:pPr>
      <w:r>
        <w:rPr>
          <w:rFonts w:ascii="Courier New" w:cs="Courier New" w:eastAsia="Courier New" w:hAnsi="Courier New"/>
          <w:sz w:val="14"/>
          <w:szCs w:val="14"/>
          <w:color w:val="auto"/>
        </w:rPr>
        <w:t>On June 27, 1990 the Board authorized Citadel to enter into indemnity agreements with its then current as well as future directors and officers. Since that time, Citadel's officers and directors have entered such agreements. Under these agreements, Citadel agrees to indemnify its officers and directors against all expenses, liabilities and losses incurred in connection with any threatened, pending or completed action, suit or proceeding, whether civil or criminal, administrative or investigative, to which any such officer or director is a party or is threatened to be made a party, in any manner, based upon, arising from, relating to or by reason of the fact that he is, was, shall be or shall have been an officer or director, employee, agent or fiduciary of Citadel. Each of the current Citadel directors have entered into indemnity agreements with Citadel. Similar agreements also exist between Citadel's subsidiaries and the officers and directors of such subsidiaries.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than the Chairman of the Board, directors who are not officers 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of the Company receive, for their services as a director, an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retainer of $15,000 plus $1,500, if serving as Committee Chairman and $800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meeting attended in person (or $300 in the case of a telephonic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Chairman of the Board receives $45,000 annually. Mr. Tompkins receives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for his services as an executive officer, but received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for his service as Vice Chairman in the amount of $40,000 with respect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In the first quarter of 1998, Messrs. Cotter and Tompkins received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 and $50,000, respectively, as additional fees for their participation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purchase of the Agricultural Partnership described under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w:t>
      </w:r>
    </w:p>
    <w:p>
      <w:pPr>
        <w:spacing w:after="0" w:line="147" w:lineRule="exact"/>
        <w:rPr>
          <w:sz w:val="20"/>
          <w:szCs w:val="20"/>
          <w:color w:val="auto"/>
        </w:rPr>
      </w:pPr>
    </w:p>
    <w:p>
      <w:pPr>
        <w:ind w:right="3419" w:firstLine="172"/>
        <w:spacing w:after="0" w:line="258" w:lineRule="auto"/>
        <w:rPr>
          <w:sz w:val="20"/>
          <w:szCs w:val="20"/>
          <w:color w:val="auto"/>
        </w:rPr>
      </w:pPr>
      <w:r>
        <w:rPr>
          <w:rFonts w:ascii="Courier New" w:cs="Courier New" w:eastAsia="Courier New" w:hAnsi="Courier New"/>
          <w:sz w:val="14"/>
          <w:szCs w:val="14"/>
          <w:color w:val="auto"/>
        </w:rPr>
        <w:t>Additionally, pursuant to the Citadel Holding Corporation 1996 Nonemployee Director Stock Option Plan effective October 1996 (the "1996 Stock Option Plan"), each director of the Company who is not an employee or officer (for purposes of the 1996 Stock Option Plan, the Chairman of the Board and the Principal Accounting Officer of Citadel are deemed officers of the Company) of the Company shall, upon becoming a member of the Board of Directors, automatically be granted immediately vested option to purchase 10,000 shares of Common Stock at an exercise price that is greater or less than the fair market value (as such term is defined in the 1996 Stock Option Plan) per share of Common Stock on the date of grant by an amount equal to the amount by which $3.00 per share is greater or less than the fair market value per share of Common Stock on the effective date of the 1996 Stock Option Plan (the "Plan Effective Date"). The non-officer directors who were incumbent on the Plan Effective Date (Messrs. Simon and Villasenor) received immediately vested options to purchase 10,000 shares of Common Stock at an exercise price of $3.00 per share. During 1997 the Company filed a Registration Statement on Form 8-K in order to register 300,000 shares of common stock that have been reserved for issuance under the 1996 Stock Option Plan.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Mr. Tompkins is President of Craig and a Director of Craig and REI. Mr. Cotter is the Chairman of the Board of Craig and REI. Mr. Cotter is a member of the executive committees of REI, which, among other things, is responsible for the compensation of the executive officers of such companies.</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590"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Section 16(a) of the Exchange Act requires the Company's officers, directors and persons who own more than 10% of the Company's Common Stock to file reports to ownership and changes in ownership with the SEC. The SEC rules also requires such reporting persons to furnish the Company with a copy of all Section 16(a) forms they file.</w:t>
      </w:r>
    </w:p>
    <w:p>
      <w:pPr>
        <w:spacing w:after="0" w:line="62"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Based solely on a review of the copies of the forms which the Company received and written representations from certain reporting persons, the Company believes that, during the fiscal year ended December 31, 1998, all filing requirements applicable to its reporting persons were complied with.</w:t>
      </w:r>
    </w:p>
    <w:p>
      <w:pPr>
        <w:spacing w:after="0" w:line="22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w:t>
      </w:r>
    </w:p>
    <w:p>
      <w:pPr>
        <w:spacing w:after="0" w:line="3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AND MANAGEMENT</w:t>
      </w:r>
    </w:p>
    <w:p>
      <w:pPr>
        <w:spacing w:after="0" w:line="147" w:lineRule="exact"/>
        <w:rPr>
          <w:sz w:val="20"/>
          <w:szCs w:val="20"/>
          <w:color w:val="auto"/>
        </w:rPr>
      </w:pPr>
    </w:p>
    <w:p>
      <w:pPr>
        <w:ind w:right="3419" w:firstLine="172"/>
        <w:spacing w:after="0" w:line="275" w:lineRule="auto"/>
        <w:rPr>
          <w:sz w:val="20"/>
          <w:szCs w:val="20"/>
          <w:color w:val="auto"/>
        </w:rPr>
      </w:pPr>
      <w:r>
        <w:rPr>
          <w:rFonts w:ascii="Courier New" w:cs="Courier New" w:eastAsia="Courier New" w:hAnsi="Courier New"/>
          <w:sz w:val="14"/>
          <w:szCs w:val="14"/>
          <w:color w:val="auto"/>
        </w:rPr>
        <w:t>The following table sets forth the shares of Common Stock, beneficially owned as of March 25, 1999 by (i) each director and nominee, (ii) all directors and executive officers as a group, and (iii) each person known to Citadel to be the beneficial owner of more than 5% of the Common Stock. Except as noted, the indicated beneficial owner of the shares has sole voting power and sole investment power.</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Pr>
          <w:p>
            <w:pPr>
              <w:spacing w:after="0"/>
              <w:rPr>
                <w:sz w:val="14"/>
                <w:szCs w:val="14"/>
                <w:color w:val="auto"/>
              </w:rPr>
            </w:pPr>
          </w:p>
        </w:tc>
        <w:tc>
          <w:tcPr>
            <w:tcW w:w="432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Common Stock</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4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_____________________________________________</w:t>
            </w:r>
          </w:p>
        </w:tc>
        <w:tc>
          <w:tcPr>
            <w:tcW w:w="0" w:type="dxa"/>
            <w:vAlign w:val="bottom"/>
          </w:tcPr>
          <w:p>
            <w:pPr>
              <w:spacing w:after="0"/>
              <w:rPr>
                <w:sz w:val="1"/>
                <w:szCs w:val="1"/>
                <w:color w:val="auto"/>
              </w:rPr>
            </w:pPr>
          </w:p>
        </w:tc>
      </w:tr>
      <w:tr>
        <w:trPr>
          <w:trHeight w:val="166"/>
        </w:trPr>
        <w:tc>
          <w:tcPr>
            <w:tcW w:w="36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Name and Address of Beneficial Owner</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Amount and Nature</w:t>
            </w:r>
          </w:p>
        </w:tc>
        <w:tc>
          <w:tcPr>
            <w:tcW w:w="18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Percent of Class(6)</w:t>
            </w:r>
          </w:p>
        </w:tc>
        <w:tc>
          <w:tcPr>
            <w:tcW w:w="0" w:type="dxa"/>
            <w:vAlign w:val="bottom"/>
          </w:tcPr>
          <w:p>
            <w:pPr>
              <w:spacing w:after="0"/>
              <w:rPr>
                <w:sz w:val="1"/>
                <w:szCs w:val="1"/>
                <w:color w:val="auto"/>
              </w:rPr>
            </w:pPr>
          </w:p>
        </w:tc>
      </w:tr>
      <w:tr>
        <w:trPr>
          <w:trHeight w:val="166"/>
        </w:trPr>
        <w:tc>
          <w:tcPr>
            <w:tcW w:w="3620" w:type="dxa"/>
            <w:vAlign w:val="bottom"/>
            <w:vMerge w:val="continue"/>
          </w:tcPr>
          <w:p>
            <w:pPr>
              <w:spacing w:after="0"/>
              <w:rPr>
                <w:sz w:val="14"/>
                <w:szCs w:val="14"/>
                <w:color w:val="auto"/>
              </w:rPr>
            </w:pPr>
          </w:p>
        </w:tc>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 Beneficial Ownership</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James J. Cotter(1)(4)</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3,209,779</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47.7%</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Steve Wesson(2)(4)</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33,000</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Alfred Villasenor, Jr.(3)(4)</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10,000</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Craig Tompkins(4)</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Ronald I. Simon(3)(4)</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10,000</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Craig Corporation(1)(4)</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3,209,779</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47.7%</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Reading Holdings, Inc., an indirect</w:t>
            </w:r>
          </w:p>
        </w:tc>
        <w:tc>
          <w:tcPr>
            <w:tcW w:w="25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wholly owned subsidiary of REI (1)</w:t>
            </w:r>
          </w:p>
        </w:tc>
        <w:tc>
          <w:tcPr>
            <w:tcW w:w="2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30 South Fifteenth Street, Suite</w:t>
            </w:r>
          </w:p>
        </w:tc>
        <w:tc>
          <w:tcPr>
            <w:tcW w:w="250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2,113,673</w:t>
            </w:r>
          </w:p>
        </w:tc>
        <w:tc>
          <w:tcPr>
            <w:tcW w:w="182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31.4%</w:t>
            </w:r>
          </w:p>
        </w:tc>
        <w:tc>
          <w:tcPr>
            <w:tcW w:w="0" w:type="dxa"/>
            <w:vAlign w:val="bottom"/>
          </w:tcPr>
          <w:p>
            <w:pPr>
              <w:spacing w:after="0"/>
              <w:rPr>
                <w:sz w:val="1"/>
                <w:szCs w:val="1"/>
                <w:color w:val="auto"/>
              </w:rPr>
            </w:pPr>
          </w:p>
        </w:tc>
      </w:tr>
      <w:tr>
        <w:trPr>
          <w:trHeight w:val="242"/>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1300 Philadelphia, PA  19102-4813</w:t>
            </w:r>
          </w:p>
        </w:tc>
        <w:tc>
          <w:tcPr>
            <w:tcW w:w="2500" w:type="dxa"/>
            <w:vAlign w:val="bottom"/>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Private Management Group(5)</w:t>
            </w:r>
          </w:p>
        </w:tc>
        <w:tc>
          <w:tcPr>
            <w:tcW w:w="25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20 Corporate Park, Suite 400</w:t>
            </w:r>
          </w:p>
        </w:tc>
        <w:tc>
          <w:tcPr>
            <w:tcW w:w="250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980,500</w:t>
            </w:r>
          </w:p>
        </w:tc>
        <w:tc>
          <w:tcPr>
            <w:tcW w:w="182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14.6%</w:t>
            </w:r>
          </w:p>
        </w:tc>
        <w:tc>
          <w:tcPr>
            <w:tcW w:w="0" w:type="dxa"/>
            <w:vAlign w:val="bottom"/>
          </w:tcPr>
          <w:p>
            <w:pPr>
              <w:spacing w:after="0"/>
              <w:rPr>
                <w:sz w:val="1"/>
                <w:szCs w:val="1"/>
                <w:color w:val="auto"/>
              </w:rPr>
            </w:pPr>
          </w:p>
        </w:tc>
      </w:tr>
      <w:tr>
        <w:trPr>
          <w:trHeight w:val="242"/>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Irvine, CA  92606</w:t>
            </w:r>
          </w:p>
        </w:tc>
        <w:tc>
          <w:tcPr>
            <w:tcW w:w="2500" w:type="dxa"/>
            <w:vAlign w:val="bottom"/>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All directors and executive</w:t>
            </w:r>
          </w:p>
        </w:tc>
        <w:tc>
          <w:tcPr>
            <w:tcW w:w="250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3,262,779</w:t>
            </w:r>
          </w:p>
        </w:tc>
        <w:tc>
          <w:tcPr>
            <w:tcW w:w="182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48.5%</w:t>
            </w:r>
          </w:p>
        </w:tc>
        <w:tc>
          <w:tcPr>
            <w:tcW w:w="0" w:type="dxa"/>
            <w:vAlign w:val="bottom"/>
          </w:tcPr>
          <w:p>
            <w:pPr>
              <w:spacing w:after="0"/>
              <w:rPr>
                <w:sz w:val="1"/>
                <w:szCs w:val="1"/>
                <w:color w:val="auto"/>
              </w:rPr>
            </w:pPr>
          </w:p>
        </w:tc>
      </w:tr>
      <w:tr>
        <w:trPr>
          <w:trHeight w:val="242"/>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officers as a Group (5 persons)(1)</w:t>
            </w:r>
          </w:p>
        </w:tc>
        <w:tc>
          <w:tcPr>
            <w:tcW w:w="2500" w:type="dxa"/>
            <w:vAlign w:val="bottom"/>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right="3419" w:hanging="352"/>
        <w:spacing w:after="0" w:line="27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Cotter is the Chairman of Craig and REI, and a principal stockholder of Craig. Craig currently owns approximately 78% of the voting power of the outstanding capital stock of REI. Craig owns 1,096,106 shares of Citadel Common Stock and Reading owns directly 2,113,673 shares of Citadel Common Stock. These securities have been listed as beneficially owned by Mr. Cotter and Craig due to the relationships</w:t>
      </w:r>
    </w:p>
    <w:p>
      <w:pPr>
        <w:spacing w:after="0" w:line="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590" w:right="1440" w:bottom="1440" w:gutter="0" w:footer="0" w:header="0"/>
        </w:sectPr>
      </w:pPr>
    </w:p>
    <w:bookmarkStart w:id="52" w:name="page53"/>
    <w:bookmarkEnd w:id="52"/>
    <w:p>
      <w:pPr>
        <w:ind w:left="360" w:right="3339"/>
        <w:spacing w:after="0" w:line="270" w:lineRule="auto"/>
        <w:rPr>
          <w:sz w:val="20"/>
          <w:szCs w:val="20"/>
          <w:color w:val="auto"/>
        </w:rPr>
      </w:pPr>
      <w:r>
        <w:rPr>
          <w:rFonts w:ascii="Courier New" w:cs="Courier New" w:eastAsia="Courier New" w:hAnsi="Courier New"/>
          <w:sz w:val="14"/>
          <w:szCs w:val="14"/>
          <w:color w:val="auto"/>
        </w:rPr>
        <w:t>between Mr. Cotter, Craig and REI. Mr. Cotter disclaims beneficial ownership of all Citadel securities owned by Craig and/or Reading.</w:t>
      </w:r>
    </w:p>
    <w:p>
      <w:pPr>
        <w:ind w:left="360" w:right="3859" w:hanging="352"/>
        <w:spacing w:after="0" w:line="250"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terms of his Employment Agreement, Citadel granted Mr. Wesson options to purchase 33,000 shares of Common Stock.</w:t>
      </w:r>
    </w:p>
    <w:p>
      <w:pPr>
        <w:ind w:left="360" w:right="3599" w:hanging="352"/>
        <w:spacing w:after="0" w:line="250"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 shares of Common Stock which may be acquired through the exercise of stock options granted pursuant to the 1996 Stock Option Plan.</w:t>
      </w:r>
    </w:p>
    <w:p>
      <w:pPr>
        <w:ind w:left="360" w:hanging="352"/>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550 South Hope Street, Suite  1825, Los Angeles, California 90071</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Schedule 13-G filed February 11, 1999.</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ownership assuming conversion of the stock options (53,000 shares).</w:t>
      </w:r>
    </w:p>
    <w:p>
      <w:pPr>
        <w:spacing w:after="0" w:line="147" w:lineRule="exact"/>
        <w:rPr>
          <w:sz w:val="20"/>
          <w:szCs w:val="20"/>
          <w:color w:val="auto"/>
        </w:rPr>
      </w:pPr>
    </w:p>
    <w:p>
      <w:pPr>
        <w:ind w:right="3519" w:firstLine="8"/>
        <w:spacing w:after="0" w:line="375" w:lineRule="auto"/>
        <w:tabs>
          <w:tab w:leader="none" w:pos="1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less than one percent of the outstanding shares of Citadel Common Stock.</w:t>
      </w:r>
    </w:p>
    <w:p>
      <w:pPr>
        <w:spacing w:after="0" w:line="1"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Reading Investment Transaction</w:t>
      </w:r>
    </w:p>
    <w:p>
      <w:pPr>
        <w:spacing w:after="0" w:line="173" w:lineRule="exact"/>
        <w:rPr>
          <w:sz w:val="20"/>
          <w:szCs w:val="20"/>
          <w:color w:val="auto"/>
        </w:rPr>
      </w:pPr>
    </w:p>
    <w:p>
      <w:pPr>
        <w:ind w:right="3419" w:firstLine="431"/>
        <w:spacing w:after="0" w:line="260" w:lineRule="auto"/>
        <w:rPr>
          <w:sz w:val="20"/>
          <w:szCs w:val="20"/>
          <w:color w:val="auto"/>
        </w:rPr>
      </w:pPr>
      <w:r>
        <w:rPr>
          <w:rFonts w:ascii="Courier New" w:cs="Courier New" w:eastAsia="Courier New" w:hAnsi="Courier New"/>
          <w:sz w:val="14"/>
          <w:szCs w:val="14"/>
          <w:color w:val="auto"/>
        </w:rPr>
        <w:t>In October 1996, Citadel and its wholly-owned subsidiary, Citadel Acquisition Corp., Inc. ("CAC"), closed a transaction with Craig, REI and Reading Company and certain affiliates thereof. Pursuant to the terms of an Exchange Agreement, CAC contributed cash in the amount of $7 million to REI in exchange for (i) 70,000 shares of Series A Preferred Stock of REI, (ii) the granting to Citadel of an option, exercisable at any time until 30 days after REI files its Annual Report on Form 10-K for the year ended December 31, 1999, to exchange all or substantially all of its assets for shares of REI Common Stock, subject to certain contractual limitations and (iii) the granting of certain demand and piggy-back registration rights with respect to REI Common Stock received on the conversion of the Series A Preferred Stock or on such asset exchange. During 1998, 1997 and 1996, Citadel received dividend income of $455,000, $455,000 and $95,000, respectively, from REI with respect to REI Series A Preferred Stock.</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Craig Corporation and Reading Entertainment, Inc.</w:t>
      </w:r>
    </w:p>
    <w:p>
      <w:pPr>
        <w:spacing w:after="0" w:line="173"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Commencing August 1995, Citadel began renting corporate office space from Craig on a month-to-month basis and engaged Craig to provide Citadel with certain administrative services. During fiscal 1998, $96,000 was paid to Craig for such rent and services. In additional, Citadel provided real estate consulting services to Reading Company during fiscal 1998, 1997 and 1996, for which Citadel was paid $398,000, $240,000 and $169,000, respectively.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to Craig Corporation for a Note Receivable</w:t>
      </w:r>
    </w:p>
    <w:p>
      <w:pPr>
        <w:spacing w:after="0" w:line="173"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On April 11, 1997, Craig exercised its warrant to purchase 666,000 shares of the Company's common stock at an exercised price of $3.00 per share or $1.998 million. Such exercise was consummated pursuant to delivery by Craig of its secured promissory note (the "Craig Secured Note") in the amount of $1.998 million, secured by 500,000 shares of REI Common Stock owned by Craig. Interest is payable quarterly in arrears at the prime rate (amounting to 7.75% at December 31, 1998) computed on a 360 day-year. Principal and accrued but unpaid interest is due upon the earlier of April 11, 2002 or 120 days following the Company's written demand for payment. The Craig Secured Note may be prepaid, in whole or in part, at any time by Craig without penalty or premium. During 1998 and 1997, Craig paid interest to Citadel of approximately $165,000 and $125,000, respectively, pursuant to the terms of the Craig Secured Note.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Agricultural Activities</w:t>
      </w:r>
    </w:p>
    <w:p>
      <w:pPr>
        <w:spacing w:after="0" w:line="173" w:lineRule="exact"/>
        <w:rPr>
          <w:sz w:val="20"/>
          <w:szCs w:val="20"/>
          <w:color w:val="auto"/>
        </w:rPr>
      </w:pPr>
    </w:p>
    <w:p>
      <w:pPr>
        <w:jc w:val="both"/>
        <w:ind w:right="3519" w:firstLine="431"/>
        <w:spacing w:after="0" w:line="313" w:lineRule="auto"/>
        <w:rPr>
          <w:sz w:val="20"/>
          <w:szCs w:val="20"/>
          <w:color w:val="auto"/>
        </w:rPr>
      </w:pPr>
      <w:r>
        <w:rPr>
          <w:rFonts w:ascii="Courier New" w:cs="Courier New" w:eastAsia="Courier New" w:hAnsi="Courier New"/>
          <w:sz w:val="14"/>
          <w:szCs w:val="14"/>
          <w:color w:val="auto"/>
        </w:rPr>
        <w:t>In 1997, the Company entered into a series of transactions which resulted in the acquisition by the Company of 1) a 40% equity interest in each of three general partnerships (the "Agricultural Partnerships")</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590" w:right="1440" w:bottom="1440" w:gutter="0" w:footer="0" w:header="0"/>
        </w:sectPr>
      </w:pPr>
    </w:p>
    <w:bookmarkStart w:id="53" w:name="page54"/>
    <w:bookmarkEnd w:id="53"/>
    <w:p>
      <w:pPr>
        <w:ind w:right="3339"/>
        <w:spacing w:after="0" w:line="254" w:lineRule="auto"/>
        <w:rPr>
          <w:sz w:val="20"/>
          <w:szCs w:val="20"/>
          <w:color w:val="auto"/>
        </w:rPr>
      </w:pPr>
      <w:r>
        <w:rPr>
          <w:rFonts w:ascii="Courier New" w:cs="Courier New" w:eastAsia="Courier New" w:hAnsi="Courier New"/>
          <w:sz w:val="14"/>
          <w:szCs w:val="14"/>
          <w:color w:val="auto"/>
        </w:rPr>
        <w:t>formed to acquire from the Prudential Insurance Company of America ("Prudential") approximately 1,580 acres of agricultural land located in the Central Valley of California (the "Big 4 Properties"), and 2) an 80% equity interest in a newly formed farm operating company, Big 4 Farming, LLC ("Farming"), created to farm the Big 4 Properties for the Agricultural Partnerships. The Big 4 Properties were acquired for a total purchase price of $6.75 million plus reimbursement of certain cultural costs through the closing (which cultural costs amounted to approximately $831,000). The acquisition was financed by a ten year purchase money mortgage loan from Prudential in the amount of $4.05 million (the "Prudential Loan") and by drawdowns in the amount of $831,000 under a $1.2 million crop finance line of credit from the Company to the partnerships (the "Crop Financing"). The Prudential Loan bears interest at 7.70%, provides for quarterly payment of interest, and provided certain levels of capital investment are achieved, calls for principal amortization payments of $200,000 per year commencing January 2002. The Crop Financing accrues interest, payable quarterly, at the rate of prime plus 100 basis points, and was due and payable in August 1998. Upon the Crop Financing expiration, Citadel increased the line of credit to $1,850,000 for an additional twelve months under the same terms and conditions. In December 1998, the Agricultural Partnerships suffered a devastating freeze which resulted in a loss of substantially all of its 1998-1999 crop. As a consequence of the freeze, the Agricultural Partnerships have no funds with which to repay the drawdowns on the Line of Credit. Big 4 Ranch, Inc. likewise has no funds with which to make further capital contributions. Furthermore, the Agricultural Partnerships generally have no source of funding, other than the Company, for the cultural expenses needed for production of the 1999-2000 crop, as well as, funding of a crop planting program on the undeveloped acreage. In addition, to the $1,850,000 line of credit, it is estimated that the Agricultural Partnerships will need additional cash in the amount of $2,140,000 in order to cover cultural costs and approximately $500,000 in order to complete the planting program through the end of the year. Subsequent to year end, the Company has continued to fund the Agricultural Partnerships operating and crop costs. No revenue is expected to be realized by the Agricultural Partnerships until the 1999 - 2000 crop is harvested and sold. In addition to the current funding the Company is considering making available long-term financing to the Agricultural Partnerships to fund its future operating needs and future crop development activities.</w:t>
      </w:r>
    </w:p>
    <w:p>
      <w:pPr>
        <w:spacing w:after="0" w:line="254"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Each of the Agricultural Partnerships has three partners: Citadel Agriculture, Inc., a wholly owned subsidiary of Citadel ("CAI"), which has a 40% interest in each of the partnerships; Big 4 Ranch, Inc. ("BRI"), which although formed as a wholly owned subsidiary of Citadel, was spun-off to the shareholders of Citadel following the formation of the partnerships and prior to the acquisition of the Big 4 Properties; and Visalia LLC ("Visalia"), a limited liability company controlled by James J. Cotter and owned by Mr. Cotter and certain members of his family. Farming is owned 80% by the Company and 20% by Visalia. BRI was initially capitalized with $1.2 million from Citadel and, in addition, has a three year $200,000 line of credit from Citadel, providing for interest at prime plus 200 basis points. No drawdowns have been made to date under this line of credit.</w:t>
      </w:r>
    </w:p>
    <w:p>
      <w:pPr>
        <w:spacing w:after="0" w:line="76"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Craig and Reading, as shareholders of Citadel, received BRI shares in the spin-off in proportion to their interests in Citadel. During 1998, Craig and Reading purchased additional shares in BRI, increasing their ownership to approximately 49%. In addition, during 1998, Cecelia Packing, owned by Mr. Cotter and a trust for the benefit of one of Mr. Tompkins children, each acquired from a single seller shares representing an additional 1.6% of the outstanding shares of BRI, or 3.2% in the aggregate of such shares. Certain officers and directors of Craig and Reading are officers, directors or management committee members of CAI, BRI, Farming and/or the Agricultural Partnerships. Mr. James J. Cotter is the Chairman and a Director of each of Citadel, CAI, Craig and REI, and is also Chairman of the management committees of Farming and of each of the Agricultural Partnerships. Mr. S. Craig Tompkins is the Vice Chairman and a Director of each of Citadel and REI, the President and a Director of Craig, the Principal Accounting Officer of Citadel, the President of CAI and a member of the management committees of Farming and of each of the Agricultural Partnerships. Mr. Edward Kane, a director of REI, served as Chairman and President of BRI and a member of the Management Committee of each of the Agricultural Partnerships until October 1998, at which time he was succeeded by Mr. Gerard Laheney, a Director of Craig. Mr. William Gould, a Director of Craig, is also a Director of BRI. Ms. Margaret Cotter, a Director of Craig and the daughter of James J. Cotter, is also the Secretary, Treasurer and Principal Accounting Officer and a Director of BRI, an owner of Visalia and the Vice President of Cecelia. During 1998 Mr. Gould, Ms. Cotter and Mr. Kane received approximately $2,000, $4,000 and $11,000 respectively, on an annual basis for such services to BRI. As an administrative convenience, Mr. Tompkins also serves as an assistant secretary of BRI and Visalia, for which he receives no compensation.</w:t>
      </w:r>
    </w:p>
    <w:p>
      <w:pPr>
        <w:spacing w:after="0" w:line="25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590" w:right="1440" w:bottom="1440" w:gutter="0" w:footer="0" w:header="0"/>
        </w:sectPr>
      </w:pPr>
    </w:p>
    <w:bookmarkStart w:id="54" w:name="page55"/>
    <w:bookmarkEnd w:id="54"/>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(a)(1)</w:t>
        <w:tab/>
        <w:t>Financial Statements</w:t>
      </w:r>
    </w:p>
    <w:p>
      <w:pPr>
        <w:spacing w:after="0" w:line="173" w:lineRule="exact"/>
        <w:rPr>
          <w:sz w:val="20"/>
          <w:szCs w:val="20"/>
          <w:color w:val="auto"/>
        </w:rPr>
      </w:pPr>
    </w:p>
    <w:p>
      <w:pPr>
        <w:jc w:val="right"/>
        <w:ind w:right="2139"/>
        <w:spacing w:after="0"/>
        <w:tabs>
          <w:tab w:leader="none" w:pos="50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Pg. No</w:t>
      </w:r>
    </w:p>
    <w:p>
      <w:pPr>
        <w:spacing w:after="0" w:line="33" w:lineRule="exact"/>
        <w:rPr>
          <w:sz w:val="20"/>
          <w:szCs w:val="20"/>
          <w:color w:val="auto"/>
        </w:rPr>
      </w:pPr>
    </w:p>
    <w:p>
      <w:pPr>
        <w:jc w:val="right"/>
        <w:ind w:right="2139"/>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7" w:lineRule="exact"/>
        <w:rPr>
          <w:sz w:val="20"/>
          <w:szCs w:val="20"/>
          <w:color w:val="auto"/>
        </w:rPr>
      </w:pPr>
    </w:p>
    <w:p>
      <w:pPr>
        <w:ind w:left="860"/>
        <w:spacing w:after="0"/>
        <w:tabs>
          <w:tab w:leader="dot" w:pos="782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left="860"/>
        <w:spacing w:after="0"/>
        <w:tabs>
          <w:tab w:leader="dot" w:pos="7820" w:val="left"/>
        </w:tabs>
        <w:rPr>
          <w:sz w:val="20"/>
          <w:szCs w:val="20"/>
          <w:color w:val="auto"/>
        </w:rPr>
      </w:pPr>
      <w:r>
        <w:rPr>
          <w:rFonts w:ascii="Courier New" w:cs="Courier New" w:eastAsia="Courier New" w:hAnsi="Courier New"/>
          <w:sz w:val="14"/>
          <w:szCs w:val="14"/>
          <w:color w:val="auto"/>
        </w:rPr>
        <w:t>Consolidated Balance Sheets as of December 31, 1998 and 1997</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Consolidated Statements of operations for Each of the Three</w:t>
      </w:r>
    </w:p>
    <w:p>
      <w:pPr>
        <w:spacing w:after="0" w:line="33" w:lineRule="exact"/>
        <w:rPr>
          <w:sz w:val="20"/>
          <w:szCs w:val="20"/>
          <w:color w:val="auto"/>
        </w:rPr>
      </w:pPr>
    </w:p>
    <w:p>
      <w:pPr>
        <w:ind w:left="1220"/>
        <w:spacing w:after="0"/>
        <w:tabs>
          <w:tab w:leader="dot" w:pos="7820" w:val="left"/>
        </w:tabs>
        <w:rPr>
          <w:sz w:val="20"/>
          <w:szCs w:val="20"/>
          <w:color w:val="auto"/>
        </w:rPr>
      </w:pPr>
      <w:r>
        <w:rPr>
          <w:rFonts w:ascii="Courier New" w:cs="Courier New" w:eastAsia="Courier New" w:hAnsi="Courier New"/>
          <w:sz w:val="14"/>
          <w:szCs w:val="14"/>
          <w:color w:val="auto"/>
        </w:rPr>
        <w:t>Years in the Period Ended December 31, 1998</w:t>
      </w:r>
      <w:r>
        <w:rPr>
          <w:sz w:val="20"/>
          <w:szCs w:val="20"/>
          <w:color w:val="auto"/>
        </w:rPr>
        <w:tab/>
      </w:r>
      <w:r>
        <w:rPr>
          <w:rFonts w:ascii="Courier New" w:cs="Courier New" w:eastAsia="Courier New" w:hAnsi="Courier New"/>
          <w:sz w:val="14"/>
          <w:szCs w:val="14"/>
          <w:color w:val="auto"/>
        </w:rPr>
        <w:t>25</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Consolidated Statements of Stockholders' Equity for Each of the</w:t>
      </w:r>
    </w:p>
    <w:p>
      <w:pPr>
        <w:spacing w:after="0" w:line="33" w:lineRule="exact"/>
        <w:rPr>
          <w:sz w:val="20"/>
          <w:szCs w:val="20"/>
          <w:color w:val="auto"/>
        </w:rPr>
      </w:pPr>
    </w:p>
    <w:p>
      <w:pPr>
        <w:ind w:left="1220"/>
        <w:spacing w:after="0"/>
        <w:tabs>
          <w:tab w:leader="dot" w:pos="7820" w:val="left"/>
        </w:tabs>
        <w:rPr>
          <w:sz w:val="20"/>
          <w:szCs w:val="20"/>
          <w:color w:val="auto"/>
        </w:rPr>
      </w:pPr>
      <w:r>
        <w:rPr>
          <w:rFonts w:ascii="Courier New" w:cs="Courier New" w:eastAsia="Courier New" w:hAnsi="Courier New"/>
          <w:sz w:val="14"/>
          <w:szCs w:val="14"/>
          <w:color w:val="auto"/>
        </w:rPr>
        <w:t>Three Years in the Period Ended December 31, 1998</w:t>
      </w:r>
      <w:r>
        <w:rPr>
          <w:sz w:val="20"/>
          <w:szCs w:val="20"/>
          <w:color w:val="auto"/>
        </w:rPr>
        <w:tab/>
      </w:r>
      <w:r>
        <w:rPr>
          <w:rFonts w:ascii="Courier New" w:cs="Courier New" w:eastAsia="Courier New" w:hAnsi="Courier New"/>
          <w:sz w:val="14"/>
          <w:szCs w:val="14"/>
          <w:color w:val="auto"/>
        </w:rPr>
        <w:t>26</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Consolidated Statements of Cash Flows for Each of the Three</w:t>
      </w:r>
    </w:p>
    <w:p>
      <w:pPr>
        <w:spacing w:after="0" w:line="33" w:lineRule="exact"/>
        <w:rPr>
          <w:sz w:val="20"/>
          <w:szCs w:val="20"/>
          <w:color w:val="auto"/>
        </w:rPr>
      </w:pPr>
    </w:p>
    <w:p>
      <w:pPr>
        <w:ind w:left="1220"/>
        <w:spacing w:after="0"/>
        <w:tabs>
          <w:tab w:leader="dot" w:pos="7820" w:val="left"/>
        </w:tabs>
        <w:rPr>
          <w:sz w:val="20"/>
          <w:szCs w:val="20"/>
          <w:color w:val="auto"/>
        </w:rPr>
      </w:pPr>
      <w:r>
        <w:rPr>
          <w:rFonts w:ascii="Courier New" w:cs="Courier New" w:eastAsia="Courier New" w:hAnsi="Courier New"/>
          <w:sz w:val="14"/>
          <w:szCs w:val="14"/>
          <w:color w:val="auto"/>
        </w:rPr>
        <w:t>Years in the Period Ended December 31, 1998</w:t>
      </w:r>
      <w:r>
        <w:rPr>
          <w:sz w:val="20"/>
          <w:szCs w:val="20"/>
          <w:color w:val="auto"/>
        </w:rPr>
        <w:tab/>
      </w:r>
      <w:r>
        <w:rPr>
          <w:rFonts w:ascii="Courier New" w:cs="Courier New" w:eastAsia="Courier New" w:hAnsi="Courier New"/>
          <w:sz w:val="14"/>
          <w:szCs w:val="14"/>
          <w:color w:val="auto"/>
        </w:rPr>
        <w:t>27</w:t>
      </w:r>
    </w:p>
    <w:p>
      <w:pPr>
        <w:spacing w:after="0" w:line="147" w:lineRule="exact"/>
        <w:rPr>
          <w:sz w:val="20"/>
          <w:szCs w:val="20"/>
          <w:color w:val="auto"/>
        </w:rPr>
      </w:pPr>
    </w:p>
    <w:p>
      <w:pPr>
        <w:ind w:left="860"/>
        <w:spacing w:after="0"/>
        <w:tabs>
          <w:tab w:leader="dot" w:pos="782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(a)(2) Financial Statement Schedule</w:t>
      </w:r>
    </w:p>
    <w:p>
      <w:pPr>
        <w:spacing w:after="0" w:line="173" w:lineRule="exact"/>
        <w:rPr>
          <w:sz w:val="20"/>
          <w:szCs w:val="20"/>
          <w:color w:val="auto"/>
        </w:rPr>
      </w:pPr>
    </w:p>
    <w:p>
      <w:pPr>
        <w:ind w:left="860"/>
        <w:spacing w:after="0"/>
        <w:tabs>
          <w:tab w:leader="dot" w:pos="7820" w:val="left"/>
        </w:tabs>
        <w:rPr>
          <w:sz w:val="20"/>
          <w:szCs w:val="20"/>
          <w:color w:val="auto"/>
        </w:rPr>
      </w:pPr>
      <w:r>
        <w:rPr>
          <w:rFonts w:ascii="Courier New" w:cs="Courier New" w:eastAsia="Courier New" w:hAnsi="Courier New"/>
          <w:sz w:val="14"/>
          <w:szCs w:val="14"/>
          <w:color w:val="auto"/>
        </w:rPr>
        <w:t>Financial Statement Schedule III -- Real Estate and Accumulated Depreciation</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ind w:left="860" w:right="7739" w:hanging="421"/>
        <w:spacing w:after="0" w:line="501" w:lineRule="auto"/>
        <w:tabs>
          <w:tab w:leader="none" w:pos="8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ind w:left="860" w:hanging="421"/>
        <w:spacing w:after="0"/>
        <w:tabs>
          <w:tab w:leader="none" w:pos="8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(Items denoted by * represent management or compensatory contract)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59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Description</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0" w:right="3339" w:hanging="430"/>
        <w:spacing w:after="0" w:line="292" w:lineRule="auto"/>
        <w:tabs>
          <w:tab w:leader="none" w:pos="420" w:val="left"/>
        </w:tabs>
        <w:rPr>
          <w:sz w:val="20"/>
          <w:szCs w:val="20"/>
          <w:color w:val="auto"/>
        </w:rPr>
      </w:pPr>
      <w:r>
        <w:rPr>
          <w:rFonts w:ascii="Courier New" w:cs="Courier New" w:eastAsia="Courier New" w:hAnsi="Courier New"/>
          <w:sz w:val="14"/>
          <w:szCs w:val="14"/>
          <w:color w:val="auto"/>
        </w:rPr>
        <w:t>3.1</w:t>
        <w:tab/>
        <w:t>Certificate of Amendment of Restated Certificate of Incorporation of Citadel Holding Corporation, (filed as Exhibit 3.1 to the Company's Report on Form 10-K for the year-end December 31, 1994, and incorporated herein by reference).</w:t>
      </w:r>
    </w:p>
    <w:p>
      <w:pPr>
        <w:spacing w:after="0" w:line="56" w:lineRule="exact"/>
        <w:rPr>
          <w:sz w:val="20"/>
          <w:szCs w:val="20"/>
          <w:color w:val="auto"/>
        </w:rPr>
      </w:pPr>
    </w:p>
    <w:p>
      <w:pPr>
        <w:ind w:left="440" w:right="3599" w:hanging="430"/>
        <w:spacing w:after="0" w:line="313" w:lineRule="auto"/>
        <w:tabs>
          <w:tab w:leader="none" w:pos="420" w:val="left"/>
        </w:tabs>
        <w:rPr>
          <w:sz w:val="20"/>
          <w:szCs w:val="20"/>
          <w:color w:val="auto"/>
        </w:rPr>
      </w:pPr>
      <w:r>
        <w:rPr>
          <w:rFonts w:ascii="Courier New" w:cs="Courier New" w:eastAsia="Courier New" w:hAnsi="Courier New"/>
          <w:sz w:val="14"/>
          <w:szCs w:val="14"/>
          <w:color w:val="auto"/>
        </w:rPr>
        <w:t>3.2</w:t>
        <w:tab/>
        <w:t>Restated By-laws of Citadel Holding Corporation (filed as Exhibit 3.2 to the company's Form 10-K for the year ended December 31, 1988, and incorporated herein by reference)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3.3</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Amendment to By-laws of</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Citadel</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Holding Corporation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(filed as Exhibit 3.3</w:t>
            </w:r>
          </w:p>
        </w:tc>
      </w:tr>
      <w:tr>
        <w:trPr>
          <w:trHeight w:val="166"/>
        </w:trPr>
        <w:tc>
          <w:tcPr>
            <w:tcW w:w="360" w:type="dxa"/>
            <w:vAlign w:val="bottom"/>
          </w:tcPr>
          <w:p>
            <w:pPr>
              <w:spacing w:after="0"/>
              <w:rPr>
                <w:sz w:val="14"/>
                <w:szCs w:val="14"/>
                <w:color w:val="auto"/>
              </w:rPr>
            </w:pP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to the Company's Annual</w:t>
            </w:r>
          </w:p>
        </w:tc>
        <w:tc>
          <w:tcPr>
            <w:tcW w:w="2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 on Form 10-K for 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r>
      <w:tr>
        <w:trPr>
          <w:trHeight w:val="242"/>
        </w:trPr>
        <w:tc>
          <w:tcPr>
            <w:tcW w:w="360" w:type="dxa"/>
            <w:vAlign w:val="bottom"/>
          </w:tcPr>
          <w:p>
            <w:pPr>
              <w:spacing w:after="0"/>
              <w:rPr>
                <w:sz w:val="21"/>
                <w:szCs w:val="21"/>
                <w:color w:val="auto"/>
              </w:rPr>
            </w:pP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3.4</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Amendment to By-laws of</w:t>
            </w:r>
          </w:p>
        </w:tc>
        <w:tc>
          <w:tcPr>
            <w:tcW w:w="2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Citadel Holding Corporation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(filed as Exhibit 3.4</w:t>
            </w:r>
          </w:p>
        </w:tc>
      </w:tr>
      <w:tr>
        <w:trPr>
          <w:trHeight w:val="166"/>
        </w:trPr>
        <w:tc>
          <w:tcPr>
            <w:tcW w:w="360" w:type="dxa"/>
            <w:vAlign w:val="bottom"/>
          </w:tcPr>
          <w:p>
            <w:pPr>
              <w:spacing w:after="0"/>
              <w:rPr>
                <w:sz w:val="14"/>
                <w:szCs w:val="14"/>
                <w:color w:val="auto"/>
              </w:rPr>
            </w:pP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to the Company's Annual</w:t>
            </w:r>
          </w:p>
        </w:tc>
        <w:tc>
          <w:tcPr>
            <w:tcW w:w="2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 on Form 10-K for 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r>
      <w:tr>
        <w:trPr>
          <w:trHeight w:val="242"/>
        </w:trPr>
        <w:tc>
          <w:tcPr>
            <w:tcW w:w="360" w:type="dxa"/>
            <w:vAlign w:val="bottom"/>
          </w:tcPr>
          <w:p>
            <w:pPr>
              <w:spacing w:after="0"/>
              <w:rPr>
                <w:sz w:val="21"/>
                <w:szCs w:val="21"/>
                <w:color w:val="auto"/>
              </w:rPr>
            </w:pP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3.5</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Amendment to By-laws of</w:t>
            </w:r>
          </w:p>
        </w:tc>
        <w:tc>
          <w:tcPr>
            <w:tcW w:w="2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Citadel Holding Corporation</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(filed as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Exhibit 3.5</w:t>
            </w:r>
          </w:p>
        </w:tc>
      </w:tr>
      <w:tr>
        <w:trPr>
          <w:trHeight w:val="242"/>
        </w:trPr>
        <w:tc>
          <w:tcPr>
            <w:tcW w:w="360" w:type="dxa"/>
            <w:vAlign w:val="bottom"/>
          </w:tcPr>
          <w:p>
            <w:pPr>
              <w:spacing w:after="0"/>
              <w:rPr>
                <w:sz w:val="21"/>
                <w:szCs w:val="21"/>
                <w:color w:val="auto"/>
              </w:rPr>
            </w:pP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to the Company's Report</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on Form</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8-K dated October 30, 1996.</w:t>
            </w:r>
          </w:p>
        </w:tc>
        <w:tc>
          <w:tcPr>
            <w:tcW w:w="1080" w:type="dxa"/>
            <w:vAlign w:val="bottom"/>
          </w:tcPr>
          <w:p>
            <w:pPr>
              <w:spacing w:after="0"/>
              <w:rPr>
                <w:sz w:val="21"/>
                <w:szCs w:val="21"/>
                <w:color w:val="auto"/>
              </w:rPr>
            </w:pPr>
          </w:p>
        </w:tc>
      </w:tr>
    </w:tbl>
    <w:p>
      <w:pPr>
        <w:spacing w:after="0" w:line="90" w:lineRule="exact"/>
        <w:rPr>
          <w:sz w:val="20"/>
          <w:szCs w:val="20"/>
          <w:color w:val="auto"/>
        </w:rPr>
      </w:pPr>
    </w:p>
    <w:p>
      <w:pPr>
        <w:ind w:left="440" w:right="3419" w:hanging="430"/>
        <w:spacing w:after="0" w:line="292" w:lineRule="auto"/>
        <w:tabs>
          <w:tab w:leader="none" w:pos="420" w:val="left"/>
        </w:tabs>
        <w:rPr>
          <w:sz w:val="20"/>
          <w:szCs w:val="20"/>
          <w:color w:val="auto"/>
        </w:rPr>
      </w:pPr>
      <w:r>
        <w:rPr>
          <w:rFonts w:ascii="Courier New" w:cs="Courier New" w:eastAsia="Courier New" w:hAnsi="Courier New"/>
          <w:sz w:val="14"/>
          <w:szCs w:val="14"/>
          <w:color w:val="auto"/>
        </w:rPr>
        <w:t>4.1</w:t>
        <w:tab/>
        <w:t>Certificate of Designation of the 3% Cumulative Voting Convertible Preferred Stock of Citadel Holding Corporation (filed as Exhibit 3 to the Company's Report on Form 8-K, filed on November 14, 1994, and incorporated herein by reference)</w:t>
      </w:r>
    </w:p>
    <w:p>
      <w:pPr>
        <w:spacing w:after="0" w:line="56" w:lineRule="exact"/>
        <w:rPr>
          <w:sz w:val="20"/>
          <w:szCs w:val="20"/>
          <w:color w:val="auto"/>
        </w:rPr>
      </w:pPr>
    </w:p>
    <w:p>
      <w:pPr>
        <w:ind w:left="440" w:right="3339" w:hanging="430"/>
        <w:spacing w:after="0" w:line="292" w:lineRule="auto"/>
        <w:tabs>
          <w:tab w:leader="none" w:pos="420" w:val="left"/>
        </w:tabs>
        <w:rPr>
          <w:sz w:val="20"/>
          <w:szCs w:val="20"/>
          <w:color w:val="auto"/>
        </w:rPr>
      </w:pPr>
      <w:r>
        <w:rPr>
          <w:rFonts w:ascii="Courier New" w:cs="Courier New" w:eastAsia="Courier New" w:hAnsi="Courier New"/>
          <w:sz w:val="14"/>
          <w:szCs w:val="14"/>
          <w:color w:val="auto"/>
        </w:rPr>
        <w:t>4.2</w:t>
        <w:tab/>
        <w:t>Certificate of Designation of the Series B 3% Cumulative Voting Convertible Preferred Stock of Citadel Holding Corporation (filed as Exhibit 4.2 to the Company's Annual Report on Form 10-K for the year ended December 31, 1996, and incorporated herein by reference)</w:t>
      </w:r>
    </w:p>
    <w:p>
      <w:pPr>
        <w:spacing w:after="0" w:line="56" w:lineRule="exact"/>
        <w:rPr>
          <w:sz w:val="20"/>
          <w:szCs w:val="20"/>
          <w:color w:val="auto"/>
        </w:rPr>
      </w:pPr>
    </w:p>
    <w:p>
      <w:pPr>
        <w:ind w:left="440" w:right="3419" w:hanging="430"/>
        <w:spacing w:after="0" w:line="292" w:lineRule="auto"/>
        <w:rPr>
          <w:sz w:val="20"/>
          <w:szCs w:val="20"/>
          <w:color w:val="auto"/>
        </w:rPr>
      </w:pPr>
      <w:r>
        <w:rPr>
          <w:rFonts w:ascii="Courier New" w:cs="Courier New" w:eastAsia="Courier New" w:hAnsi="Courier New"/>
          <w:sz w:val="14"/>
          <w:szCs w:val="14"/>
          <w:color w:val="auto"/>
        </w:rPr>
        <w:t>10.1 Tax Disaffiliation Agreement, dated as of August 4, 1994, by and between Citadel Holding Corporation and Fidelity Federal Bank (filed as Exhibit 10.27 to the Company's Quarterly Report on Form 10-Q for the quarter ended June 30, 1994, and incorporated herein by reference)</w:t>
      </w:r>
    </w:p>
    <w:p>
      <w:pPr>
        <w:spacing w:after="0" w:line="56" w:lineRule="exact"/>
        <w:rPr>
          <w:sz w:val="20"/>
          <w:szCs w:val="20"/>
          <w:color w:val="auto"/>
        </w:rPr>
      </w:pPr>
    </w:p>
    <w:p>
      <w:pPr>
        <w:ind w:left="440" w:right="3339" w:hanging="430"/>
        <w:spacing w:after="0" w:line="292" w:lineRule="auto"/>
        <w:rPr>
          <w:sz w:val="20"/>
          <w:szCs w:val="20"/>
          <w:color w:val="auto"/>
        </w:rPr>
      </w:pPr>
      <w:r>
        <w:rPr>
          <w:rFonts w:ascii="Courier New" w:cs="Courier New" w:eastAsia="Courier New" w:hAnsi="Courier New"/>
          <w:sz w:val="14"/>
          <w:szCs w:val="14"/>
          <w:color w:val="auto"/>
        </w:rPr>
        <w:t>10.2 Option Agreement, dated as of August 4, 1994, by and between Fidelity Federal Bank and Citadel Holding Corporation (filed as Exhibit 10.28 to the Company's Quarterly Report on Form 10-Q for the quarter ended June 30, 1994, and incorporated herein by reference)</w:t>
      </w:r>
    </w:p>
    <w:p>
      <w:pPr>
        <w:spacing w:after="0" w:line="56" w:lineRule="exact"/>
        <w:rPr>
          <w:sz w:val="20"/>
          <w:szCs w:val="20"/>
          <w:color w:val="auto"/>
        </w:rPr>
      </w:pPr>
    </w:p>
    <w:p>
      <w:pPr>
        <w:ind w:left="440" w:right="3419" w:hanging="430"/>
        <w:spacing w:after="0" w:line="270" w:lineRule="auto"/>
        <w:rPr>
          <w:sz w:val="20"/>
          <w:szCs w:val="20"/>
          <w:color w:val="auto"/>
        </w:rPr>
      </w:pPr>
      <w:r>
        <w:rPr>
          <w:rFonts w:ascii="Courier New" w:cs="Courier New" w:eastAsia="Courier New" w:hAnsi="Courier New"/>
          <w:sz w:val="14"/>
          <w:szCs w:val="14"/>
          <w:color w:val="auto"/>
        </w:rPr>
        <w:t>10.3 Assignment of Option Agreement, dated as of August 4, 1994, by and between Citadel Holding Corporation and Citadel Realty, Inc. (filed as Exhibit</w:t>
      </w:r>
    </w:p>
    <w:p>
      <w:pPr>
        <w:ind w:left="440" w:right="3419"/>
        <w:spacing w:after="0" w:line="336" w:lineRule="auto"/>
        <w:rPr>
          <w:sz w:val="20"/>
          <w:szCs w:val="20"/>
          <w:color w:val="auto"/>
        </w:rPr>
      </w:pPr>
      <w:r>
        <w:rPr>
          <w:rFonts w:ascii="Courier New" w:cs="Courier New" w:eastAsia="Courier New" w:hAnsi="Courier New"/>
          <w:sz w:val="14"/>
          <w:szCs w:val="14"/>
          <w:color w:val="auto"/>
        </w:rPr>
        <w:t>10.29 to the Company's Quarterly Report on Form 10-Q for the quarter ended June 30, 1994, and incorporated herein by reference)</w:t>
      </w:r>
    </w:p>
    <w:p>
      <w:pPr>
        <w:spacing w:after="0" w:line="27" w:lineRule="exact"/>
        <w:rPr>
          <w:sz w:val="20"/>
          <w:szCs w:val="20"/>
          <w:color w:val="auto"/>
        </w:rPr>
      </w:pPr>
    </w:p>
    <w:p>
      <w:pPr>
        <w:ind w:left="440" w:right="3339" w:hanging="430"/>
        <w:spacing w:after="0" w:line="313" w:lineRule="auto"/>
        <w:rPr>
          <w:sz w:val="20"/>
          <w:szCs w:val="20"/>
          <w:color w:val="auto"/>
        </w:rPr>
      </w:pPr>
      <w:r>
        <w:rPr>
          <w:rFonts w:ascii="Courier New" w:cs="Courier New" w:eastAsia="Courier New" w:hAnsi="Courier New"/>
          <w:sz w:val="14"/>
          <w:szCs w:val="14"/>
          <w:color w:val="auto"/>
        </w:rPr>
        <w:t>10.4 Employment Agreement between Citadel Holding Corporation and Steve Wesson (filed as Exhibit 10.41 to the Company's Quarterly Report on Form 10-Q for the quarter ended September 30, 1994, and incorporated herein by reference)</w:t>
      </w:r>
    </w:p>
    <w:p>
      <w:pPr>
        <w:spacing w:after="0" w:line="42" w:lineRule="exact"/>
        <w:rPr>
          <w:sz w:val="20"/>
          <w:szCs w:val="20"/>
          <w:color w:val="auto"/>
        </w:rPr>
      </w:pPr>
    </w:p>
    <w:p>
      <w:pPr>
        <w:ind w:left="440" w:right="3599" w:hanging="430"/>
        <w:spacing w:after="0" w:line="292" w:lineRule="auto"/>
        <w:rPr>
          <w:sz w:val="20"/>
          <w:szCs w:val="20"/>
          <w:color w:val="auto"/>
        </w:rPr>
      </w:pPr>
      <w:r>
        <w:rPr>
          <w:rFonts w:ascii="Courier New" w:cs="Courier New" w:eastAsia="Courier New" w:hAnsi="Courier New"/>
          <w:sz w:val="14"/>
          <w:szCs w:val="14"/>
          <w:color w:val="auto"/>
        </w:rPr>
        <w:t>10.5 Standard Office lease, dated as of July 15, 1994, by and between Citadel Realty, Inc. and Fidelity Federal Bank (filed as Exhibit 10.42 to the Company's Quarterly Report on Form 10-Q for the quarter ended March 31, 1995, and incorporated herein by reference)</w:t>
      </w:r>
    </w:p>
    <w:p>
      <w:pPr>
        <w:spacing w:after="0" w:line="56" w:lineRule="exact"/>
        <w:rPr>
          <w:sz w:val="20"/>
          <w:szCs w:val="20"/>
          <w:color w:val="auto"/>
        </w:rPr>
      </w:pPr>
    </w:p>
    <w:p>
      <w:pPr>
        <w:ind w:left="440" w:right="3419" w:hanging="430"/>
        <w:spacing w:after="0" w:line="292" w:lineRule="auto"/>
        <w:rPr>
          <w:sz w:val="20"/>
          <w:szCs w:val="20"/>
          <w:color w:val="auto"/>
        </w:rPr>
      </w:pPr>
      <w:r>
        <w:rPr>
          <w:rFonts w:ascii="Courier New" w:cs="Courier New" w:eastAsia="Courier New" w:hAnsi="Courier New"/>
          <w:sz w:val="14"/>
          <w:szCs w:val="14"/>
          <w:color w:val="auto"/>
        </w:rPr>
        <w:t>10.6 First Amendment to Standard Office Lease, dated May 15, 1995, by and between Citadel Realty, Inc. and Fidelity Federal Bank (filed as Exhibit 10.43 to the Company's Quarterly Report on Form 10-Q for the quarter ended March 31, 1995, and incorporated herein by reference)</w:t>
      </w:r>
    </w:p>
    <w:p>
      <w:pPr>
        <w:spacing w:after="0" w:line="56" w:lineRule="exact"/>
        <w:rPr>
          <w:sz w:val="20"/>
          <w:szCs w:val="20"/>
          <w:color w:val="auto"/>
        </w:rPr>
      </w:pPr>
    </w:p>
    <w:p>
      <w:pPr>
        <w:ind w:left="440" w:right="3419" w:hanging="430"/>
        <w:spacing w:after="0" w:line="292" w:lineRule="auto"/>
        <w:rPr>
          <w:sz w:val="20"/>
          <w:szCs w:val="20"/>
          <w:color w:val="auto"/>
        </w:rPr>
      </w:pPr>
      <w:r>
        <w:rPr>
          <w:rFonts w:ascii="Courier New" w:cs="Courier New" w:eastAsia="Courier New" w:hAnsi="Courier New"/>
          <w:sz w:val="14"/>
          <w:szCs w:val="14"/>
          <w:color w:val="auto"/>
        </w:rPr>
        <w:t>10.7 Promissory Note secured by Deed of Trust, dated May 15, 1995, made by Citadel Realty, Inc., in favor of Fidelity Federal Bank (filed as Exhibit 10.46 to the Company's Quarterly Report on Form 10-Q for the quarter ended March 31, 1995, and incorporated herein by reference)</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590"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Description</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20" w:right="3519" w:hanging="516"/>
        <w:spacing w:after="0" w:line="292" w:lineRule="auto"/>
        <w:tabs>
          <w:tab w:leader="none" w:pos="500" w:val="left"/>
        </w:tabs>
        <w:rPr>
          <w:sz w:val="20"/>
          <w:szCs w:val="20"/>
          <w:color w:val="auto"/>
        </w:rPr>
      </w:pPr>
      <w:r>
        <w:rPr>
          <w:rFonts w:ascii="Courier New" w:cs="Courier New" w:eastAsia="Courier New" w:hAnsi="Courier New"/>
          <w:sz w:val="14"/>
          <w:szCs w:val="14"/>
          <w:color w:val="auto"/>
        </w:rPr>
        <w:t>10.8</w:t>
        <w:tab/>
        <w:t>Guaranty of Payment dated May 15, 1995 by Citadel Holding Corporation in favor of Fidelity Federal Bank (filed as Exhibit 10.47 to the Company's Quarterly Report on Form 10-Q for the quarter ended March 31, 1995, and incorporated herein by reference)</w:t>
      </w:r>
    </w:p>
    <w:p>
      <w:pPr>
        <w:spacing w:after="0" w:line="56" w:lineRule="exact"/>
        <w:rPr>
          <w:sz w:val="20"/>
          <w:szCs w:val="20"/>
          <w:color w:val="auto"/>
        </w:rPr>
      </w:pPr>
    </w:p>
    <w:p>
      <w:pPr>
        <w:ind w:left="520" w:right="3419" w:hanging="516"/>
        <w:spacing w:after="0" w:line="282" w:lineRule="auto"/>
        <w:tabs>
          <w:tab w:leader="none" w:pos="500" w:val="left"/>
        </w:tabs>
        <w:rPr>
          <w:sz w:val="20"/>
          <w:szCs w:val="20"/>
          <w:color w:val="auto"/>
        </w:rPr>
      </w:pPr>
      <w:r>
        <w:rPr>
          <w:rFonts w:ascii="Courier New" w:cs="Courier New" w:eastAsia="Courier New" w:hAnsi="Courier New"/>
          <w:sz w:val="14"/>
          <w:szCs w:val="14"/>
          <w:color w:val="auto"/>
        </w:rPr>
        <w:t>10.9</w:t>
        <w:tab/>
        <w:t>Deed of Trust, Assignment of Rents and Leases, Security Agreement and Fixture Filing, dated as of may 15, 1995, made by Citadel Realty, Inc. in favor of Fidelity Federal Bank (filed as Exhibit 10.48 to the Company's Quarterly Report on Form 10-Q for the quarter ended March 31, 1995, and incorporated herein by reference)</w:t>
      </w:r>
    </w:p>
    <w:p>
      <w:pPr>
        <w:spacing w:after="0" w:line="62" w:lineRule="exact"/>
        <w:rPr>
          <w:sz w:val="20"/>
          <w:szCs w:val="20"/>
          <w:color w:val="auto"/>
        </w:rPr>
      </w:pPr>
    </w:p>
    <w:p>
      <w:pPr>
        <w:ind w:left="520" w:right="3679" w:hanging="516"/>
        <w:spacing w:after="0" w:line="292" w:lineRule="auto"/>
        <w:rPr>
          <w:sz w:val="20"/>
          <w:szCs w:val="20"/>
          <w:color w:val="auto"/>
        </w:rPr>
      </w:pPr>
      <w:r>
        <w:rPr>
          <w:rFonts w:ascii="Courier New" w:cs="Courier New" w:eastAsia="Courier New" w:hAnsi="Courier New"/>
          <w:sz w:val="14"/>
          <w:szCs w:val="14"/>
          <w:color w:val="auto"/>
        </w:rPr>
        <w:t>10.10 Office Lease Modification between Citadel Realty, Inc. and American Express Travel Related Services Company dated March 1. 1996 (filed as Exhibit 10.49 to the Company's Annual Report on Form 10-K for the year ended December 31, 1995, and incorporated herein by reference)</w:t>
      </w:r>
    </w:p>
    <w:p>
      <w:pPr>
        <w:spacing w:after="0" w:line="56" w:lineRule="exact"/>
        <w:rPr>
          <w:sz w:val="20"/>
          <w:szCs w:val="20"/>
          <w:color w:val="auto"/>
        </w:rPr>
      </w:pPr>
    </w:p>
    <w:p>
      <w:pPr>
        <w:ind w:left="520" w:right="3519" w:hanging="516"/>
        <w:spacing w:after="0" w:line="282" w:lineRule="auto"/>
        <w:rPr>
          <w:sz w:val="20"/>
          <w:szCs w:val="20"/>
          <w:color w:val="auto"/>
        </w:rPr>
      </w:pPr>
      <w:r>
        <w:rPr>
          <w:rFonts w:ascii="Courier New" w:cs="Courier New" w:eastAsia="Courier New" w:hAnsi="Courier New"/>
          <w:sz w:val="14"/>
          <w:szCs w:val="14"/>
          <w:color w:val="auto"/>
        </w:rPr>
        <w:t>10.11 Exchange Agreement dated September 4, 1996 among Citadel Holding Corporation, Citadel Acquisition Corp., Inc. Craig Corporation, Craig Management, Inc., Reading Entertainment, Inc., Reading Company (filed as Exhibit 10.51 to the Company's Annual Report on Form 10-K for the year ended December 31, 1996 and incorporated herein by reference)</w:t>
      </w:r>
    </w:p>
    <w:p>
      <w:pPr>
        <w:spacing w:after="0" w:line="62" w:lineRule="exact"/>
        <w:rPr>
          <w:sz w:val="20"/>
          <w:szCs w:val="20"/>
          <w:color w:val="auto"/>
        </w:rPr>
      </w:pPr>
    </w:p>
    <w:p>
      <w:pPr>
        <w:ind w:left="520" w:right="3419" w:hanging="516"/>
        <w:spacing w:after="0" w:line="282" w:lineRule="auto"/>
        <w:rPr>
          <w:sz w:val="20"/>
          <w:szCs w:val="20"/>
          <w:color w:val="auto"/>
        </w:rPr>
      </w:pPr>
      <w:r>
        <w:rPr>
          <w:rFonts w:ascii="Courier New" w:cs="Courier New" w:eastAsia="Courier New" w:hAnsi="Courier New"/>
          <w:sz w:val="14"/>
          <w:szCs w:val="14"/>
          <w:color w:val="auto"/>
        </w:rPr>
        <w:t>10.12 Asset Put and Registration Rights Agreement dated October 15, 1996 among Citadel Holding Corporation, Citadel Acquisition Corp., Inc., Reading Entertainment, Inc., and Craig Corporation (filed as Exhibit 10.52 to the Company's Annual Report on Form 10-K for the year ended December 31, 1996 and incorporated herein by reference)</w:t>
      </w:r>
    </w:p>
    <w:p>
      <w:pPr>
        <w:spacing w:after="0" w:line="62" w:lineRule="exact"/>
        <w:rPr>
          <w:sz w:val="20"/>
          <w:szCs w:val="20"/>
          <w:color w:val="auto"/>
        </w:rPr>
      </w:pPr>
    </w:p>
    <w:p>
      <w:pPr>
        <w:jc w:val="both"/>
        <w:ind w:left="520" w:right="3419" w:hanging="516"/>
        <w:spacing w:after="0" w:line="292" w:lineRule="auto"/>
        <w:rPr>
          <w:sz w:val="20"/>
          <w:szCs w:val="20"/>
          <w:color w:val="auto"/>
        </w:rPr>
      </w:pPr>
      <w:r>
        <w:rPr>
          <w:rFonts w:ascii="Courier New" w:cs="Courier New" w:eastAsia="Courier New" w:hAnsi="Courier New"/>
          <w:sz w:val="14"/>
          <w:szCs w:val="14"/>
          <w:color w:val="auto"/>
        </w:rPr>
        <w:t>10.13 Certificate of Designation of the Series A Voting Cumulative Convertible Preferred Stock of Reading Entertainment, Inc. (filed as Exhibit 10.53 to the Company's Annual Report on Form 10-K for the year ended December 31, 1996 and incorporated herein by reference)</w:t>
      </w:r>
    </w:p>
    <w:p>
      <w:pPr>
        <w:spacing w:after="0" w:line="56" w:lineRule="exact"/>
        <w:rPr>
          <w:sz w:val="20"/>
          <w:szCs w:val="20"/>
          <w:color w:val="auto"/>
        </w:rPr>
      </w:pPr>
    </w:p>
    <w:p>
      <w:pPr>
        <w:ind w:left="520" w:right="3519" w:hanging="516"/>
        <w:spacing w:after="0" w:line="292" w:lineRule="auto"/>
        <w:rPr>
          <w:sz w:val="20"/>
          <w:szCs w:val="20"/>
          <w:color w:val="auto"/>
        </w:rPr>
      </w:pPr>
      <w:r>
        <w:rPr>
          <w:rFonts w:ascii="Courier New" w:cs="Courier New" w:eastAsia="Courier New" w:hAnsi="Courier New"/>
          <w:sz w:val="14"/>
          <w:szCs w:val="14"/>
          <w:color w:val="auto"/>
        </w:rPr>
        <w:t>10.14 Lease between Citadel Realty, Inc., Lessor and Disney Enterprises, Inc., Lessee dated October 1, 1996 (filed as Exhibit 10.54 to the Company's Quarterly Report on Form 10-Q for the quarter ended September 30, 1996, and incorporated herein by reference)</w:t>
      </w:r>
    </w:p>
    <w:p>
      <w:pPr>
        <w:spacing w:after="0" w:line="56" w:lineRule="exact"/>
        <w:rPr>
          <w:sz w:val="20"/>
          <w:szCs w:val="20"/>
          <w:color w:val="auto"/>
        </w:rPr>
      </w:pPr>
    </w:p>
    <w:p>
      <w:pPr>
        <w:ind w:left="520" w:right="3339" w:hanging="516"/>
        <w:spacing w:after="0" w:line="292" w:lineRule="auto"/>
        <w:rPr>
          <w:sz w:val="20"/>
          <w:szCs w:val="20"/>
          <w:color w:val="auto"/>
        </w:rPr>
      </w:pPr>
      <w:r>
        <w:rPr>
          <w:rFonts w:ascii="Courier New" w:cs="Courier New" w:eastAsia="Courier New" w:hAnsi="Courier New"/>
          <w:sz w:val="14"/>
          <w:szCs w:val="14"/>
          <w:color w:val="auto"/>
        </w:rPr>
        <w:t>10.15 Second Amendment to Standard Office Lease between Citadel Realty, Inc. and Fidelity Federal Bank dated October 1, 1996 (filed as Exhibit 10.55 to the Company's Quarterly Report on Form 10-Q for the quarter ended September 30, 1996, and incorporated herein by reference)</w:t>
      </w:r>
    </w:p>
    <w:p>
      <w:pPr>
        <w:spacing w:after="0" w:line="56" w:lineRule="exact"/>
        <w:rPr>
          <w:sz w:val="20"/>
          <w:szCs w:val="20"/>
          <w:color w:val="auto"/>
        </w:rPr>
      </w:pPr>
    </w:p>
    <w:p>
      <w:pPr>
        <w:ind w:left="520" w:right="3419" w:hanging="516"/>
        <w:spacing w:after="0" w:line="292" w:lineRule="auto"/>
        <w:rPr>
          <w:sz w:val="20"/>
          <w:szCs w:val="20"/>
          <w:color w:val="auto"/>
        </w:rPr>
      </w:pPr>
      <w:r>
        <w:rPr>
          <w:rFonts w:ascii="Courier New" w:cs="Courier New" w:eastAsia="Courier New" w:hAnsi="Courier New"/>
          <w:sz w:val="14"/>
          <w:szCs w:val="14"/>
          <w:color w:val="auto"/>
        </w:rPr>
        <w:t>10.16 Modification Agreement to Loan No. 3038879 between Fidelity Federal Bank and Citadel Realty, Inc. dated October 1, 1996 (filed as Exhibit 10.56 to the Company's Quarterly Report on Form 10-Q for the quarter ended September 30, 1996, and incorporated herein by reference)</w:t>
      </w:r>
    </w:p>
    <w:p>
      <w:pPr>
        <w:spacing w:after="0" w:line="56" w:lineRule="exact"/>
        <w:rPr>
          <w:sz w:val="20"/>
          <w:szCs w:val="20"/>
          <w:color w:val="auto"/>
        </w:rPr>
      </w:pPr>
    </w:p>
    <w:p>
      <w:pPr>
        <w:ind w:left="520" w:right="3779" w:hanging="516"/>
        <w:spacing w:after="0" w:line="313" w:lineRule="auto"/>
        <w:rPr>
          <w:sz w:val="20"/>
          <w:szCs w:val="20"/>
          <w:color w:val="auto"/>
        </w:rPr>
      </w:pPr>
      <w:r>
        <w:rPr>
          <w:rFonts w:ascii="Courier New" w:cs="Courier New" w:eastAsia="Courier New" w:hAnsi="Courier New"/>
          <w:sz w:val="14"/>
          <w:szCs w:val="14"/>
          <w:color w:val="auto"/>
        </w:rPr>
        <w:t>10.17 Citadel 1996 Nonemployee Director Stock Option Plan (filed as Exhibit 10.57 to the Company's Annual Report on Form 10-K for the year ended December 31, 1996, and incorporated herein by reference)</w:t>
      </w:r>
    </w:p>
    <w:p>
      <w:pPr>
        <w:spacing w:after="0" w:line="42" w:lineRule="exact"/>
        <w:rPr>
          <w:sz w:val="20"/>
          <w:szCs w:val="20"/>
          <w:color w:val="auto"/>
        </w:rPr>
      </w:pPr>
    </w:p>
    <w:p>
      <w:pPr>
        <w:ind w:left="520" w:right="3419" w:hanging="516"/>
        <w:spacing w:after="0" w:line="292" w:lineRule="auto"/>
        <w:rPr>
          <w:sz w:val="20"/>
          <w:szCs w:val="20"/>
          <w:color w:val="auto"/>
        </w:rPr>
      </w:pPr>
      <w:r>
        <w:rPr>
          <w:rFonts w:ascii="Courier New" w:cs="Courier New" w:eastAsia="Courier New" w:hAnsi="Courier New"/>
          <w:sz w:val="14"/>
          <w:szCs w:val="14"/>
          <w:color w:val="auto"/>
        </w:rPr>
        <w:t>10.18 Reading Entertainment, Inc., Annual Report on Form 10-K for the year ended December 31, 1997 (filed as Exhibit 10.58 to be Company's Annual Report on Form 10-K for the year ended December 31, 1997 and incorporated herein by reference)</w:t>
      </w:r>
    </w:p>
    <w:p>
      <w:pPr>
        <w:spacing w:after="0" w:line="56" w:lineRule="exact"/>
        <w:rPr>
          <w:sz w:val="20"/>
          <w:szCs w:val="20"/>
          <w:color w:val="auto"/>
        </w:rPr>
      </w:pPr>
    </w:p>
    <w:p>
      <w:pPr>
        <w:ind w:left="520" w:right="3339" w:hanging="516"/>
        <w:spacing w:after="0" w:line="292" w:lineRule="auto"/>
        <w:rPr>
          <w:sz w:val="20"/>
          <w:szCs w:val="20"/>
          <w:color w:val="auto"/>
        </w:rPr>
      </w:pPr>
      <w:r>
        <w:rPr>
          <w:rFonts w:ascii="Courier New" w:cs="Courier New" w:eastAsia="Courier New" w:hAnsi="Courier New"/>
          <w:sz w:val="14"/>
          <w:szCs w:val="14"/>
          <w:color w:val="auto"/>
        </w:rPr>
        <w:t>10.19 Stock Purchase Agreement dated as of April 11, 1997 by and between Citadel Holding Corporation and Craig Corporation (filed as Exhibit 10.56 to the Company's Quarterly Report on Form 10-Q for the quarter ended March 31, 1997)</w:t>
      </w: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590"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Description</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10.20</w:t>
        <w:tab/>
        <w:t>Secured Promissory Note dated as of April 11, 1997 issued by Craig</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Corporation to Citadel Holding Corporation in the principal amount of</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$1,998,000 (filed as Exhibit 10.60 to the Company's Quarterly Report on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Form 10-Q for the quarter ended March 31, 1997)</w:t>
      </w:r>
    </w:p>
    <w:p>
      <w:pPr>
        <w:spacing w:after="0" w:line="147" w:lineRule="exact"/>
        <w:rPr>
          <w:sz w:val="20"/>
          <w:szCs w:val="20"/>
          <w:color w:val="auto"/>
        </w:rPr>
      </w:pPr>
    </w:p>
    <w:p>
      <w:pPr>
        <w:ind w:left="620" w:right="34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10.21</w:t>
        <w:tab/>
        <w:t>Agreement for Purchase and Sale of Real Property between Prudential Insurance Company of America and Big 4 Farming LLC dated August 29, 1997 (filed as Exhibit 10.61 to the Company's Quarterly Report on Form 10-Q for the quarter ended September 30, 1997)</w:t>
      </w:r>
    </w:p>
    <w:p>
      <w:pPr>
        <w:spacing w:after="0" w:line="56" w:lineRule="exact"/>
        <w:rPr>
          <w:sz w:val="20"/>
          <w:szCs w:val="20"/>
          <w:color w:val="auto"/>
        </w:rPr>
      </w:pPr>
    </w:p>
    <w:p>
      <w:pPr>
        <w:ind w:left="620" w:right="333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10.22</w:t>
        <w:tab/>
        <w:t>Second Amendment to Agreement of Purchase and Sale between Prudential Insurance Company of America and Big 4 Farming LLC dated November 5, 1997 (filed as Exhibit 10.62 to the Company's Quarterly Report on Form 10-Q for the quarter ended September 30, 1997)</w:t>
      </w:r>
    </w:p>
    <w:p>
      <w:pPr>
        <w:spacing w:after="0" w:line="56" w:lineRule="exact"/>
        <w:rPr>
          <w:sz w:val="20"/>
          <w:szCs w:val="20"/>
          <w:color w:val="auto"/>
        </w:rPr>
      </w:pPr>
    </w:p>
    <w:p>
      <w:pPr>
        <w:ind w:left="620" w:right="333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10.23</w:t>
        <w:tab/>
        <w:t>Partnership Agreement of Citadel Agricultural Partners No. 1 dated December 19, 1997 (filed as Exhibit 10.63 to be Company's Annual Report on Form 10-K for the year ended December 31, 1997 and incorporated herein by reference)</w:t>
      </w:r>
    </w:p>
    <w:p>
      <w:pPr>
        <w:spacing w:after="0" w:line="56" w:lineRule="exact"/>
        <w:rPr>
          <w:sz w:val="20"/>
          <w:szCs w:val="20"/>
          <w:color w:val="auto"/>
        </w:rPr>
      </w:pPr>
    </w:p>
    <w:p>
      <w:pPr>
        <w:ind w:left="620" w:right="333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10.24</w:t>
        <w:tab/>
        <w:t>Partnership Agreement of Citadel Agricultural Partners No. 2 dated December 19, 1997 (filed as Exhibit 10.64 to be Company's Annual Report on Form 10-K for the year ended December 31, 1997 and incorporated herein by reference)</w:t>
      </w:r>
    </w:p>
    <w:p>
      <w:pPr>
        <w:spacing w:after="0" w:line="56" w:lineRule="exact"/>
        <w:rPr>
          <w:sz w:val="20"/>
          <w:szCs w:val="20"/>
          <w:color w:val="auto"/>
        </w:rPr>
      </w:pPr>
    </w:p>
    <w:p>
      <w:pPr>
        <w:ind w:left="620" w:right="333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10.25</w:t>
        <w:tab/>
        <w:t>Partnership Agreement of Citadel Agricultural Partners No. 3 dated December 19, 1997 (filed as Exhibit 10.65 to be Company's Annual Report on Form 10-K for the year ended December 31, 1997 and incorporated herein by reference)</w:t>
      </w:r>
    </w:p>
    <w:p>
      <w:pPr>
        <w:spacing w:after="0" w:line="56" w:lineRule="exact"/>
        <w:rPr>
          <w:sz w:val="20"/>
          <w:szCs w:val="20"/>
          <w:color w:val="auto"/>
        </w:rPr>
      </w:pPr>
    </w:p>
    <w:p>
      <w:pPr>
        <w:ind w:left="620" w:right="34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10.26</w:t>
        <w:tab/>
        <w:t>Farm Management Agreement dated December 26, 1997 between Citadel Agricultural Partner No. 1 and Big 4 Farming LLC (filed as Exhibit 10.67 to be Company's Annual Report on Form 10-K for the year ended December 31, 1997 and incorporated herein by reference)</w:t>
      </w:r>
    </w:p>
    <w:p>
      <w:pPr>
        <w:spacing w:after="0" w:line="56" w:lineRule="exact"/>
        <w:rPr>
          <w:sz w:val="20"/>
          <w:szCs w:val="20"/>
          <w:color w:val="auto"/>
        </w:rPr>
      </w:pPr>
    </w:p>
    <w:p>
      <w:pPr>
        <w:ind w:left="620" w:right="34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10.27</w:t>
        <w:tab/>
        <w:t>Farm Management Agreement dated December 26, 1997 between Citadel Agricultural Partner No. 2 and Big 4 Farming LLC (filed as Exhibit 10.68 to be Company's Annual Report on Form 10-K for the year ended December 31, 1997 and incorporated herein by reference)</w:t>
      </w:r>
    </w:p>
    <w:p>
      <w:pPr>
        <w:spacing w:after="0" w:line="56" w:lineRule="exact"/>
        <w:rPr>
          <w:sz w:val="20"/>
          <w:szCs w:val="20"/>
          <w:color w:val="auto"/>
        </w:rPr>
      </w:pPr>
    </w:p>
    <w:p>
      <w:pPr>
        <w:ind w:left="620" w:right="34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10.28</w:t>
        <w:tab/>
        <w:t>Farm Management Agreement dated December 26, 1997 between Citadel Agricultural Partner No. 3 and Big 4 Farming LLC (filed as Exhibit 10.69 to be Company's Annual Report on Form 10-K for the year ended December 31, 1997 and incorporated herein by reference)</w:t>
      </w:r>
    </w:p>
    <w:p>
      <w:pPr>
        <w:spacing w:after="0" w:line="56" w:lineRule="exact"/>
        <w:rPr>
          <w:sz w:val="20"/>
          <w:szCs w:val="20"/>
          <w:color w:val="auto"/>
        </w:rPr>
      </w:pPr>
    </w:p>
    <w:p>
      <w:pPr>
        <w:ind w:left="620" w:right="333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10.29</w:t>
        <w:tab/>
        <w:t>Line of Credit Agreement dated December 29, 1997 between Citadel Holding Corporation and Big 4 Ranch, Inc. (filed as Exhibit 10.70 to be Company's Annual Report on Form 10-K for the year ended December 31, 1997 and incorporated herein by reference)</w:t>
      </w:r>
    </w:p>
    <w:p>
      <w:pPr>
        <w:spacing w:after="0" w:line="56" w:lineRule="exact"/>
        <w:rPr>
          <w:sz w:val="20"/>
          <w:szCs w:val="20"/>
          <w:color w:val="auto"/>
        </w:rPr>
      </w:pPr>
    </w:p>
    <w:p>
      <w:pPr>
        <w:ind w:left="620" w:right="35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10.30</w:t>
        <w:tab/>
        <w:t>Management Services Agreement dated December 26, 1997 between Big 4 Farming LLC and Cecelia Packing (filed as Exhibit 10.71 to be Company's Annual Report on Form 10-K for the year ended December 31, 1997 and incorporated herein by reference)</w:t>
      </w:r>
    </w:p>
    <w:p>
      <w:pPr>
        <w:spacing w:after="0" w:line="56" w:lineRule="exact"/>
        <w:rPr>
          <w:sz w:val="20"/>
          <w:szCs w:val="20"/>
          <w:color w:val="auto"/>
        </w:rPr>
      </w:pPr>
    </w:p>
    <w:p>
      <w:pPr>
        <w:ind w:left="620" w:right="367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10.31</w:t>
        <w:tab/>
        <w:t>Agricultural Loan Agreement dated December 29, 1997 between Citadel Holding Corporation and Citadel Agriculture Partner No. 1 (filed as Exhibit 10.72 to be Company's Annual Report on Form 10-K for the year ended December 31, 1997 and incorporated herein by reference)</w:t>
      </w:r>
    </w:p>
    <w:p>
      <w:pPr>
        <w:spacing w:after="0" w:line="56" w:lineRule="exact"/>
        <w:rPr>
          <w:sz w:val="20"/>
          <w:szCs w:val="20"/>
          <w:color w:val="auto"/>
        </w:rPr>
      </w:pPr>
    </w:p>
    <w:p>
      <w:pPr>
        <w:ind w:left="620" w:right="367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10.32</w:t>
        <w:tab/>
        <w:t>Agricultural Loan Agreement dated December 29, 1997 between Citadel Holding Corporation and Citadel Agriculture Partner No. 2 (filed as Exhibit 10.73 to be Company's Annual Report on Form 10-K for the year ended December 31, 1997 and incorporated herein by reference)</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590"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Description</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20" w:right="367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10.33</w:t>
        <w:tab/>
        <w:t>Agricultural Loan Agreement dated December 29, 1997 between Citadel Holding Corporation and Citadel Agriculture Partner No. 3 (filed as Exhibit 10.74 to be Company's Annual Report on Form 10-K for the year ended December 31, 1997 and incorporated herein by reference)</w:t>
      </w:r>
    </w:p>
    <w:p>
      <w:pPr>
        <w:spacing w:after="0" w:line="56" w:lineRule="exact"/>
        <w:rPr>
          <w:sz w:val="20"/>
          <w:szCs w:val="20"/>
          <w:color w:val="auto"/>
        </w:rPr>
      </w:pPr>
    </w:p>
    <w:p>
      <w:pPr>
        <w:ind w:left="620" w:right="367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10.34</w:t>
        <w:tab/>
        <w:t>Promissory Note dated December 29, 1997 between Citadel Holding Corporation and Citadel Agricultural Partners No. 1 (filed as Exhibit 10.75 to be Company's Annual Report on Form 10-K for the year ended December 31, 1997 and incorporated herein by reference)</w:t>
      </w:r>
    </w:p>
    <w:p>
      <w:pPr>
        <w:spacing w:after="0" w:line="56" w:lineRule="exact"/>
        <w:rPr>
          <w:sz w:val="20"/>
          <w:szCs w:val="20"/>
          <w:color w:val="auto"/>
        </w:rPr>
      </w:pPr>
    </w:p>
    <w:p>
      <w:pPr>
        <w:ind w:left="620" w:right="367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10.35</w:t>
        <w:tab/>
        <w:t>Promissory Note dated December 29, 1997 between Citadel Holding Corporation and Citadel Agricultural Partners No. 2 (filed as Exhibit 10.76 to be Company's Annual Report on Form 10-K for the year ended December 31, 1997 and incorporated herein by reference)</w:t>
      </w:r>
    </w:p>
    <w:p>
      <w:pPr>
        <w:spacing w:after="0" w:line="56" w:lineRule="exact"/>
        <w:rPr>
          <w:sz w:val="20"/>
          <w:szCs w:val="20"/>
          <w:color w:val="auto"/>
        </w:rPr>
      </w:pPr>
    </w:p>
    <w:p>
      <w:pPr>
        <w:ind w:left="620" w:right="367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10.36</w:t>
        <w:tab/>
        <w:t>Promissory Note dated December 29, 1997 between Citadel Holding Corporation and Citadel Agricultural Partners No. 3 (filed as Exhibit 10.77 to be Company's Annual Report on Form 10-K for the year ended December 31, 1997 and incorporated herein by reference)</w:t>
      </w:r>
    </w:p>
    <w:p>
      <w:pPr>
        <w:spacing w:after="0" w:line="56" w:lineRule="exact"/>
        <w:rPr>
          <w:sz w:val="20"/>
          <w:szCs w:val="20"/>
          <w:color w:val="auto"/>
        </w:rPr>
      </w:pPr>
    </w:p>
    <w:p>
      <w:pPr>
        <w:ind w:left="620" w:right="34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10.37</w:t>
        <w:tab/>
        <w:t>Security Agreement dated December 29, 1997 between Citadel Holding Corporation and Citadel Agricultural Partnership No. 1 (filed as Exhibit 10.78 to be Company's Annual Report on Form 10-K for the year ended December 31, 1997 and incorporated herein by reference)</w:t>
      </w:r>
    </w:p>
    <w:p>
      <w:pPr>
        <w:spacing w:after="0" w:line="56" w:lineRule="exact"/>
        <w:rPr>
          <w:sz w:val="20"/>
          <w:szCs w:val="20"/>
          <w:color w:val="auto"/>
        </w:rPr>
      </w:pPr>
    </w:p>
    <w:p>
      <w:pPr>
        <w:ind w:left="620" w:right="34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10.38</w:t>
        <w:tab/>
        <w:t>Security Agreement dated December 29, 1997 between Citadel Holding Corporation and Citadel Agricultural Partnership No. 2 (filed as Exhibit 10.79 to be Company's Annual Report on Form 10-K for the year ended December 31, 1997 and incorporated herein by reference)</w:t>
      </w:r>
    </w:p>
    <w:p>
      <w:pPr>
        <w:spacing w:after="0" w:line="56" w:lineRule="exact"/>
        <w:rPr>
          <w:sz w:val="20"/>
          <w:szCs w:val="20"/>
          <w:color w:val="auto"/>
        </w:rPr>
      </w:pPr>
    </w:p>
    <w:p>
      <w:pPr>
        <w:ind w:left="620" w:right="341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10.39</w:t>
        <w:tab/>
        <w:t>Security Agreement dated December 29, 1997 between Citadel Holding Corporation and Citadel Agricultural Partnership No. 3 (filed as Exhibit 10.80 to be Company's Annual Report on Form 10-K for the year ended December 31, 1997 and incorporated herein by reference herewith)</w:t>
      </w:r>
    </w:p>
    <w:p>
      <w:pPr>
        <w:spacing w:after="0" w:line="56" w:lineRule="exact"/>
        <w:rPr>
          <w:sz w:val="20"/>
          <w:szCs w:val="20"/>
          <w:color w:val="auto"/>
        </w:rPr>
      </w:pPr>
    </w:p>
    <w:p>
      <w:pPr>
        <w:ind w:left="620" w:right="3339" w:hanging="602"/>
        <w:spacing w:after="0" w:line="292" w:lineRule="auto"/>
        <w:tabs>
          <w:tab w:leader="none" w:pos="600" w:val="left"/>
        </w:tabs>
        <w:rPr>
          <w:sz w:val="20"/>
          <w:szCs w:val="20"/>
          <w:color w:val="auto"/>
        </w:rPr>
      </w:pPr>
      <w:r>
        <w:rPr>
          <w:rFonts w:ascii="Courier New" w:cs="Courier New" w:eastAsia="Courier New" w:hAnsi="Courier New"/>
          <w:sz w:val="14"/>
          <w:szCs w:val="14"/>
          <w:color w:val="auto"/>
        </w:rPr>
        <w:t>10.40</w:t>
        <w:tab/>
        <w:t>Administrative Services Agreement between Citadel Holding Corporation and Big 4 Ranch, Inc. dated December 29, 1997 (filed as Exhibit 10.81 to be Company's Annual Report on Form 10-K for the year ended December 31, 1997 and incorporated herein by reference)</w:t>
      </w:r>
    </w:p>
    <w:p>
      <w:pPr>
        <w:spacing w:after="0" w:line="56" w:lineRule="exact"/>
        <w:rPr>
          <w:sz w:val="20"/>
          <w:szCs w:val="20"/>
          <w:color w:val="auto"/>
        </w:rPr>
      </w:pPr>
    </w:p>
    <w:p>
      <w:pPr>
        <w:ind w:left="620" w:right="3779" w:hanging="602"/>
        <w:spacing w:after="0" w:line="375" w:lineRule="auto"/>
        <w:tabs>
          <w:tab w:leader="none" w:pos="600" w:val="left"/>
        </w:tabs>
        <w:rPr>
          <w:sz w:val="20"/>
          <w:szCs w:val="20"/>
          <w:color w:val="auto"/>
        </w:rPr>
      </w:pPr>
      <w:r>
        <w:rPr>
          <w:rFonts w:ascii="Courier New" w:cs="Courier New" w:eastAsia="Courier New" w:hAnsi="Courier New"/>
          <w:sz w:val="14"/>
          <w:szCs w:val="14"/>
          <w:color w:val="auto"/>
        </w:rPr>
        <w:t>10.41</w:t>
        <w:tab/>
        <w:t>Reading Entertainment, Inc., Annual Report on Form 10-K for the year ended December 31, 1998 (to be filed by amendment)</w:t>
      </w:r>
    </w:p>
    <w:p>
      <w:pPr>
        <w:spacing w:after="0" w:line="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Subsidiaries of the Company (filed herewith)</w:t>
      </w:r>
    </w:p>
    <w:p>
      <w:pPr>
        <w:spacing w:after="0" w:line="173" w:lineRule="exact"/>
        <w:rPr>
          <w:sz w:val="20"/>
          <w:szCs w:val="20"/>
          <w:color w:val="auto"/>
        </w:rPr>
      </w:pPr>
    </w:p>
    <w:p>
      <w:pPr>
        <w:ind w:left="620" w:hanging="612"/>
        <w:spacing w:after="0"/>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Auditors (filed herewith)</w:t>
      </w:r>
    </w:p>
    <w:p>
      <w:pPr>
        <w:spacing w:after="0" w:line="17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(filed herewith)</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590" w:right="1440" w:bottom="1440" w:gutter="0" w:footer="0" w:header="0"/>
        </w:sectPr>
      </w:pPr>
    </w:p>
    <w:bookmarkStart w:id="59" w:name="page60"/>
    <w:bookmarkEnd w:id="59"/>
    <w:p>
      <w:pPr>
        <w:ind w:left="30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both"/>
        <w:ind w:right="4019"/>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4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CITADEL HOLDING CORPORATION</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590"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Steve Wesson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 Wesson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1760" w:space="720"/>
            <w:col w:w="7139"/>
          </w:cols>
          <w:pgMar w:left="220" w:top="590" w:right="1440" w:bottom="1440" w:gutter="0" w:footer="0" w:header="0"/>
          <w:type w:val="continuous"/>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 Craig Tompkins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Craig Tompkins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47" w:lineRule="exact"/>
        <w:rPr>
          <w:sz w:val="20"/>
          <w:szCs w:val="20"/>
          <w:color w:val="auto"/>
        </w:rPr>
      </w:pPr>
    </w:p>
    <w:p>
      <w:pPr>
        <w:sectPr>
          <w:pgSz w:w="11900" w:h="16838" w:orient="portrait"/>
          <w:cols w:equalWidth="0" w:num="3">
            <w:col w:w="440" w:space="180"/>
            <w:col w:w="1760" w:space="720"/>
            <w:col w:w="7139"/>
          </w:cols>
          <w:pgMar w:left="220" w:top="590" w:right="1440" w:bottom="1440" w:gutter="0" w:footer="0" w:header="0"/>
          <w:type w:val="continuous"/>
        </w:sectPr>
      </w:pPr>
    </w:p>
    <w:p>
      <w:pPr>
        <w:jc w:val="both"/>
        <w:ind w:right="3599"/>
        <w:spacing w:after="0" w:line="313"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Registrant and in the capacities and on the dates indicated.</w:t>
      </w:r>
    </w:p>
    <w:p>
      <w:pPr>
        <w:sectPr>
          <w:pgSz w:w="11900" w:h="16838" w:orient="portrait"/>
          <w:cols w:equalWidth="0" w:num="1">
            <w:col w:w="10239"/>
          </w:cols>
          <w:pgMar w:left="220" w:top="590" w:right="1440"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Titles(s)</w:t>
      </w:r>
    </w:p>
    <w:p>
      <w:pPr>
        <w:spacing w:after="0" w:line="3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740" w:space="720"/>
            <w:col w:w="1860" w:space="720"/>
            <w:col w:w="4199"/>
          </w:cols>
          <w:pgMar w:left="220" w:top="590" w:right="1440"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J. Cotter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40" w:lineRule="exact"/>
        <w:rPr>
          <w:sz w:val="20"/>
          <w:szCs w:val="20"/>
          <w:color w:val="auto"/>
        </w:rPr>
      </w:pPr>
    </w:p>
    <w:p>
      <w:pPr>
        <w:sectPr>
          <w:pgSz w:w="11900" w:h="16838" w:orient="portrait"/>
          <w:cols w:equalWidth="0" w:num="3">
            <w:col w:w="1780" w:space="720"/>
            <w:col w:w="2940" w:space="260"/>
            <w:col w:w="4539"/>
          </w:cols>
          <w:pgMar w:left="220" w:top="590" w:right="1440" w:bottom="1440" w:gutter="0" w:footer="0" w:header="0"/>
          <w:type w:val="continuous"/>
        </w:sect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J. Cotter</w:t>
      </w:r>
    </w:p>
    <w:p>
      <w:pPr>
        <w:spacing w:after="0" w:line="312" w:lineRule="exact"/>
        <w:rPr>
          <w:sz w:val="20"/>
          <w:szCs w:val="20"/>
          <w:color w:val="auto"/>
        </w:rPr>
      </w:pPr>
    </w:p>
    <w:p>
      <w:pPr>
        <w:spacing w:after="0"/>
        <w:tabs>
          <w:tab w:leader="none" w:pos="2480" w:val="left"/>
          <w:tab w:leader="none" w:pos="5680" w:val="left"/>
        </w:tabs>
        <w:rPr>
          <w:sz w:val="20"/>
          <w:szCs w:val="20"/>
          <w:color w:val="auto"/>
        </w:rPr>
      </w:pPr>
      <w:r>
        <w:rPr>
          <w:rFonts w:ascii="Courier New" w:cs="Courier New" w:eastAsia="Courier New" w:hAnsi="Courier New"/>
          <w:sz w:val="14"/>
          <w:szCs w:val="14"/>
          <w:color w:val="auto"/>
        </w:rPr>
        <w:t>/s/ S. Craig Tompkins</w:t>
      </w:r>
      <w:r>
        <w:rPr>
          <w:sz w:val="20"/>
          <w:szCs w:val="20"/>
          <w:color w:val="auto"/>
        </w:rPr>
        <w:tab/>
      </w:r>
      <w:r>
        <w:rPr>
          <w:rFonts w:ascii="Courier New" w:cs="Courier New" w:eastAsia="Courier New" w:hAnsi="Courier New"/>
          <w:sz w:val="14"/>
          <w:szCs w:val="14"/>
          <w:color w:val="auto"/>
        </w:rPr>
        <w:t>Director, Secretary</w:t>
      </w:r>
      <w:r>
        <w:rPr>
          <w:sz w:val="20"/>
          <w:szCs w:val="20"/>
          <w:color w:val="auto"/>
        </w:rPr>
        <w:tab/>
      </w:r>
      <w:r>
        <w:rPr>
          <w:rFonts w:ascii="Courier New" w:cs="Courier New" w:eastAsia="Courier New" w:hAnsi="Courier New"/>
          <w:sz w:val="14"/>
          <w:szCs w:val="14"/>
          <w:color w:val="auto"/>
        </w:rPr>
        <w:t>March 31, 1999</w:t>
      </w:r>
    </w:p>
    <w:p>
      <w:pPr>
        <w:spacing w:after="0" w:line="33"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 Craig Tompkins</w:t>
      </w:r>
    </w:p>
    <w:p>
      <w:pPr>
        <w:spacing w:after="0" w:line="312" w:lineRule="exact"/>
        <w:rPr>
          <w:sz w:val="20"/>
          <w:szCs w:val="20"/>
          <w:color w:val="auto"/>
        </w:rPr>
      </w:pPr>
    </w:p>
    <w:p>
      <w:pPr>
        <w:spacing w:after="0"/>
        <w:tabs>
          <w:tab w:leader="none" w:pos="2480" w:val="left"/>
          <w:tab w:leader="none" w:pos="5680" w:val="left"/>
        </w:tabs>
        <w:rPr>
          <w:sz w:val="20"/>
          <w:szCs w:val="20"/>
          <w:color w:val="auto"/>
        </w:rPr>
      </w:pPr>
      <w:r>
        <w:rPr>
          <w:rFonts w:ascii="Courier New" w:cs="Courier New" w:eastAsia="Courier New" w:hAnsi="Courier New"/>
          <w:sz w:val="14"/>
          <w:szCs w:val="14"/>
          <w:color w:val="auto"/>
        </w:rPr>
        <w:t>/s/ Ronald I. Simon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31, 1999</w:t>
      </w:r>
    </w:p>
    <w:p>
      <w:pPr>
        <w:spacing w:after="0" w:line="33"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Ronald I. Simon</w:t>
      </w:r>
    </w:p>
    <w:p>
      <w:pPr>
        <w:spacing w:after="0" w:line="312" w:lineRule="exact"/>
        <w:rPr>
          <w:sz w:val="20"/>
          <w:szCs w:val="20"/>
          <w:color w:val="auto"/>
        </w:rPr>
      </w:pPr>
    </w:p>
    <w:p>
      <w:pPr>
        <w:spacing w:after="0"/>
        <w:tabs>
          <w:tab w:leader="none" w:pos="2480" w:val="left"/>
          <w:tab w:leader="none" w:pos="5680" w:val="left"/>
        </w:tabs>
        <w:rPr>
          <w:sz w:val="20"/>
          <w:szCs w:val="20"/>
          <w:color w:val="auto"/>
        </w:rPr>
      </w:pPr>
      <w:r>
        <w:rPr>
          <w:rFonts w:ascii="Courier New" w:cs="Courier New" w:eastAsia="Courier New" w:hAnsi="Courier New"/>
          <w:sz w:val="14"/>
          <w:szCs w:val="14"/>
          <w:color w:val="auto"/>
        </w:rPr>
        <w:t>/s/ Alfred Villasenor Jr.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31, 1999</w:t>
      </w:r>
    </w:p>
    <w:p>
      <w:pPr>
        <w:spacing w:after="0" w:line="33"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Alfred Villasenor, Jr.</w:t>
      </w: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590" w:right="1440" w:bottom="1440" w:gutter="0" w:footer="0" w:header="0"/>
          <w:type w:val="continuous"/>
        </w:sectPr>
      </w:pPr>
    </w:p>
    <w:bookmarkStart w:id="60" w:name="page61"/>
    <w:bookmarkEnd w:id="60"/>
    <w:p>
      <w:pPr>
        <w:jc w:val="right"/>
        <w:ind w:right="3339"/>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00" w:type="dxa"/>
            <w:vAlign w:val="bottom"/>
          </w:tcPr>
          <w:p>
            <w:pPr>
              <w:ind w:left="2500"/>
              <w:spacing w:after="0"/>
              <w:rPr>
                <w:sz w:val="20"/>
                <w:szCs w:val="20"/>
                <w:color w:val="auto"/>
              </w:rPr>
            </w:pPr>
            <w:r>
              <w:rPr>
                <w:rFonts w:ascii="Courier New" w:cs="Courier New" w:eastAsia="Courier New" w:hAnsi="Courier New"/>
                <w:sz w:val="14"/>
                <w:szCs w:val="14"/>
                <w:color w:val="auto"/>
              </w:rPr>
              <w:t>LIST OF SUBSIDIARIES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5"/>
        </w:trPr>
        <w:tc>
          <w:tcPr>
            <w:tcW w:w="4700" w:type="dxa"/>
            <w:vAlign w:val="bottom"/>
          </w:tcPr>
          <w:p>
            <w:pPr>
              <w:spacing w:after="0"/>
              <w:rPr>
                <w:sz w:val="20"/>
                <w:szCs w:val="20"/>
                <w:color w:val="auto"/>
              </w:rPr>
            </w:pPr>
            <w:r>
              <w:rPr>
                <w:rFonts w:ascii="Courier New" w:cs="Courier New" w:eastAsia="Courier New" w:hAnsi="Courier New"/>
                <w:sz w:val="14"/>
                <w:szCs w:val="14"/>
                <w:color w:val="auto"/>
              </w:rPr>
              <w:t>Citadel Realty Inc.</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owned</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Citadel Distribution, Inc.</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owned</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Citadel Acquisition Corp., Inc.</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owned</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Big 4 Farming LLC</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owned</w:t>
            </w:r>
          </w:p>
        </w:tc>
      </w:tr>
      <w:tr>
        <w:trPr>
          <w:trHeight w:val="24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Citadel Agriculture, Inc.</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owned</w:t>
            </w:r>
          </w:p>
        </w:tc>
      </w:tr>
    </w:tbl>
    <w:p>
      <w:pPr>
        <w:sectPr>
          <w:pgSz w:w="11900" w:h="16838" w:orient="portrait"/>
          <w:cols w:equalWidth="0" w:num="1">
            <w:col w:w="10239"/>
          </w:cols>
          <w:pgMar w:left="220" w:top="447" w:right="1440" w:bottom="1440" w:gutter="0" w:footer="0" w:header="0"/>
        </w:sectPr>
      </w:pPr>
    </w:p>
    <w:bookmarkStart w:id="61" w:name="page62"/>
    <w:bookmarkEnd w:id="61"/>
    <w:p>
      <w:pPr>
        <w:jc w:val="center"/>
        <w:ind w:right="3519"/>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No. 333-36277 of Citadel Holding Corporation on Form S-8 of our report dated March 19, 1999, appearing in this Annual Report on Form 10-K of Citadel Holding Corporation for the year end December 31, 1998.</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ectPr>
          <w:pgSz w:w="11900" w:h="16838" w:orient="portrait"/>
          <w:cols w:equalWidth="0" w:num="1">
            <w:col w:w="10239"/>
          </w:cols>
          <w:pgMar w:left="220" w:top="447" w:right="1440"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5</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12"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12-MOS</w:t>
      </w:r>
    </w:p>
    <w:p>
      <w:pPr>
        <w:spacing w:after="0" w:line="3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DEC-31-1998</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JAN-01-1998</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DEC-31-1998</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4,367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1,012</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577</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4,944</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15,123</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(1,246)</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35,045</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2,036</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9,224</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23,674</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35,045</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5,478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5,985</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2,279</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3,990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(831)</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990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977</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859</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(4,828)</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5,687</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5,687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0.85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0.85</w:t>
      </w:r>
    </w:p>
    <w:sectPr>
      <w:pgSz w:w="11900" w:h="16838" w:orient="portrait"/>
      <w:cols w:equalWidth="0" w:num="1">
        <w:col w:w="10139"/>
      </w:cols>
      <w:pgMar w:left="3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1)"/>
      <w:numFmt w:val="lowerRoman"/>
      <w:start w:val="4"/>
    </w:lvl>
  </w:abstractNum>
  <w:abstractNum w:abstractNumId="7">
    <w:nsid w:val="4E6AFB66"/>
    <w:multiLevelType w:val="hybridMultilevel"/>
    <w:lvl w:ilvl="0">
      <w:lvlJc w:val="left"/>
      <w:lvlText w:val="(%1)"/>
      <w:numFmt w:val="decimal"/>
      <w:start w:val="2"/>
    </w:lvl>
  </w:abstractNum>
  <w:abstractNum w:abstractNumId="8">
    <w:nsid w:val="25E45D32"/>
    <w:multiLevelType w:val="hybridMultilevel"/>
    <w:lvl w:ilvl="0">
      <w:lvlJc w:val="left"/>
      <w:lvlText w:val="(%1)"/>
      <w:numFmt w:val="lowerRoman"/>
      <w:start w:val="3"/>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decimal"/>
      <w:start w:val="23"/>
    </w:lvl>
  </w:abstractNum>
  <w:abstractNum w:abstractNumId="20">
    <w:nsid w:val="2D1D5AE9"/>
    <w:multiLevelType w:val="hybridMultilevel"/>
    <w:lvl w:ilvl="0">
      <w:lvlJc w:val="left"/>
      <w:lvlText w:val="%1"/>
      <w:numFmt w:val="decimal"/>
      <w:start w:val="27"/>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2020-02-22T04:39:05Z</dcterms:created>
  <dcterms:modified xsi:type="dcterms:W3CDTF">2020-02-22T04:39:05Z</dcterms:modified>
</cp:coreProperties>
</file>