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Washington, D.C. 20549</w:t>
      </w:r>
    </w:p>
    <w:p>
      <w:pPr>
        <w:jc w:val="center"/>
        <w:ind w:right="-19"/>
        <w:spacing w:after="0" w:line="225" w:lineRule="auto"/>
        <w:rPr>
          <w:sz w:val="20"/>
          <w:szCs w:val="20"/>
          <w:color w:val="auto"/>
        </w:rPr>
      </w:pPr>
      <w:r>
        <w:rPr>
          <w:rFonts w:ascii="Times New Roman" w:cs="Times New Roman" w:eastAsia="Times New Roman" w:hAnsi="Times New Roman"/>
          <w:sz w:val="25"/>
          <w:szCs w:val="25"/>
          <w:b w:val="1"/>
          <w:bCs w:val="1"/>
          <w:color w:val="auto"/>
        </w:rPr>
        <w:t>Form 10-K/A</w:t>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(Mark One)</w:t>
      </w:r>
    </w:p>
    <w:p>
      <w:pPr>
        <w:spacing w:after="0" w:line="2" w:lineRule="exact"/>
        <w:rPr>
          <w:sz w:val="24"/>
          <w:szCs w:val="24"/>
          <w:color w:val="auto"/>
        </w:rPr>
      </w:pPr>
    </w:p>
    <w:p>
      <w:pPr>
        <w:ind w:left="960" w:hanging="780"/>
        <w:spacing w:after="0"/>
        <w:tabs>
          <w:tab w:leader="none" w:pos="96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color w:val="auto"/>
        </w:rPr>
        <w:t>ANNUAL REPORT PURSUANT TO SECTION 13 OR 15(d) OF THE SECURITIES EXCHANGE ACT OF 1934</w:t>
      </w:r>
    </w:p>
    <w:p>
      <w:pPr>
        <w:ind w:left="3760"/>
        <w:spacing w:after="0" w:line="225" w:lineRule="auto"/>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20"/>
          <w:szCs w:val="20"/>
          <w:b w:val="1"/>
          <w:bCs w:val="1"/>
          <w:color w:val="auto"/>
        </w:rPr>
        <w:t>For the fiscal year ended December 31, 2025</w:t>
      </w:r>
    </w:p>
    <w:p>
      <w:pPr>
        <w:jc w:val="center"/>
        <w:ind w:right="-19"/>
        <w:spacing w:after="0" w:line="224" w:lineRule="auto"/>
        <w:rPr>
          <w:sz w:val="20"/>
          <w:szCs w:val="20"/>
          <w:color w:val="auto"/>
        </w:rPr>
      </w:pPr>
      <w:r>
        <w:rPr>
          <w:rFonts w:ascii="Times New Roman" w:cs="Times New Roman" w:eastAsia="Times New Roman" w:hAnsi="Times New Roman"/>
          <w:sz w:val="20"/>
          <w:szCs w:val="20"/>
          <w:color w:val="auto"/>
        </w:rPr>
        <w:t>or</w:t>
      </w:r>
    </w:p>
    <w:p>
      <w:pPr>
        <w:ind w:left="800" w:hanging="561"/>
        <w:spacing w:after="0" w:line="235" w:lineRule="auto"/>
        <w:tabs>
          <w:tab w:leader="none" w:pos="800" w:val="left"/>
        </w:tabs>
        <w:numPr>
          <w:ilvl w:val="0"/>
          <w:numId w:val="2"/>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color w:val="auto"/>
        </w:rPr>
        <w:t>TRANSITION REPORT PURSUANT TO SECTION 13 OR 15(d) OF THE SECURITIES EXCHANGE ACT OF 1934</w:t>
      </w:r>
    </w:p>
    <w:p>
      <w:pPr>
        <w:ind w:left="3240"/>
        <w:spacing w:after="0" w:line="211" w:lineRule="auto"/>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20"/>
          <w:szCs w:val="20"/>
          <w:color w:val="auto"/>
        </w:rPr>
        <w:t>For the transaction period from __________ to __________</w:t>
      </w:r>
    </w:p>
    <w:p>
      <w:pPr>
        <w:ind w:left="4300"/>
        <w:spacing w:after="0" w:line="226" w:lineRule="auto"/>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1-8625</w:t>
      </w:r>
    </w:p>
    <w:p>
      <w:pPr>
        <w:jc w:val="center"/>
        <w:ind w:right="-19"/>
        <w:spacing w:after="0" w:line="223" w:lineRule="auto"/>
        <w:rPr>
          <w:sz w:val="20"/>
          <w:szCs w:val="20"/>
          <w:color w:val="auto"/>
        </w:rPr>
      </w:pPr>
      <w:r>
        <w:rPr>
          <w:rFonts w:ascii="Times New Roman" w:cs="Times New Roman" w:eastAsia="Times New Roman" w:hAnsi="Times New Roman"/>
          <w:sz w:val="29"/>
          <w:szCs w:val="29"/>
          <w:b w:val="1"/>
          <w:bCs w:val="1"/>
          <w:color w:val="auto"/>
        </w:rPr>
        <w:t>Reading International, Inc.</w:t>
      </w: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tbl>
      <w:tblPr>
        <w:tblLayout w:type="fixed"/>
        <w:tblInd w:w="980" w:type="dxa"/>
        <w:tblCellMar>
          <w:top w:w="0" w:type="dxa"/>
          <w:left w:w="0" w:type="dxa"/>
          <w:bottom w:w="0" w:type="dxa"/>
          <w:right w:w="0" w:type="dxa"/>
        </w:tblCellMar>
      </w:tblPr>
      <w:tr>
        <w:trPr>
          <w:trHeight w:val="171"/>
        </w:trPr>
        <w:tc>
          <w:tcPr>
            <w:tcW w:w="5080" w:type="dxa"/>
            <w:vAlign w:val="bottom"/>
          </w:tcPr>
          <w:p>
            <w:pPr>
              <w:jc w:val="center"/>
              <w:ind w:right="5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Nevada</w:t>
            </w:r>
          </w:p>
        </w:tc>
        <w:tc>
          <w:tcPr>
            <w:tcW w:w="3320" w:type="dxa"/>
            <w:vAlign w:val="bottom"/>
          </w:tcPr>
          <w:p>
            <w:pPr>
              <w:jc w:val="right"/>
              <w:ind w:right="810"/>
              <w:spacing w:after="0" w:line="171" w:lineRule="exact"/>
              <w:rPr>
                <w:sz w:val="20"/>
                <w:szCs w:val="20"/>
                <w:color w:val="auto"/>
              </w:rPr>
            </w:pPr>
            <w:r>
              <w:rPr>
                <w:rFonts w:ascii="Times New Roman" w:cs="Times New Roman" w:eastAsia="Times New Roman" w:hAnsi="Times New Roman"/>
                <w:sz w:val="18"/>
                <w:szCs w:val="18"/>
                <w:b w:val="1"/>
                <w:bCs w:val="1"/>
                <w:color w:val="auto"/>
              </w:rPr>
              <w:t>95-3885184</w:t>
            </w:r>
          </w:p>
        </w:tc>
      </w:tr>
      <w:tr>
        <w:trPr>
          <w:trHeight w:val="185"/>
        </w:trPr>
        <w:tc>
          <w:tcPr>
            <w:tcW w:w="5080" w:type="dxa"/>
            <w:vAlign w:val="bottom"/>
          </w:tcPr>
          <w:p>
            <w:pPr>
              <w:jc w:val="center"/>
              <w:ind w:right="570"/>
              <w:spacing w:after="0" w:line="185" w:lineRule="exact"/>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320" w:type="dxa"/>
            <w:vAlign w:val="bottom"/>
          </w:tcPr>
          <w:p>
            <w:pPr>
              <w:jc w:val="center"/>
              <w:ind w:left="570"/>
              <w:spacing w:after="0" w:line="185"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193"/>
        </w:trPr>
        <w:tc>
          <w:tcPr>
            <w:tcW w:w="5080" w:type="dxa"/>
            <w:vAlign w:val="bottom"/>
          </w:tcPr>
          <w:p>
            <w:pPr>
              <w:jc w:val="center"/>
              <w:ind w:right="570"/>
              <w:spacing w:after="0" w:line="193" w:lineRule="exact"/>
              <w:rPr>
                <w:sz w:val="20"/>
                <w:szCs w:val="20"/>
                <w:color w:val="auto"/>
              </w:rPr>
            </w:pPr>
            <w:r>
              <w:rPr>
                <w:rFonts w:ascii="Times New Roman" w:cs="Times New Roman" w:eastAsia="Times New Roman" w:hAnsi="Times New Roman"/>
                <w:sz w:val="18"/>
                <w:szCs w:val="18"/>
                <w:b w:val="1"/>
                <w:bCs w:val="1"/>
                <w:color w:val="auto"/>
                <w:w w:val="98"/>
              </w:rPr>
              <w:t>189 Second Avenue, Suite 2S, New York, New York</w:t>
            </w:r>
          </w:p>
        </w:tc>
        <w:tc>
          <w:tcPr>
            <w:tcW w:w="3320" w:type="dxa"/>
            <w:vAlign w:val="bottom"/>
          </w:tcPr>
          <w:p>
            <w:pPr>
              <w:jc w:val="right"/>
              <w:ind w:right="1010"/>
              <w:spacing w:after="0" w:line="193" w:lineRule="exact"/>
              <w:rPr>
                <w:sz w:val="20"/>
                <w:szCs w:val="20"/>
                <w:color w:val="auto"/>
              </w:rPr>
            </w:pPr>
            <w:r>
              <w:rPr>
                <w:rFonts w:ascii="Times New Roman" w:cs="Times New Roman" w:eastAsia="Times New Roman" w:hAnsi="Times New Roman"/>
                <w:sz w:val="18"/>
                <w:szCs w:val="18"/>
                <w:b w:val="1"/>
                <w:bCs w:val="1"/>
                <w:color w:val="auto"/>
              </w:rPr>
              <w:t>10003</w:t>
            </w:r>
          </w:p>
        </w:tc>
      </w:tr>
      <w:tr>
        <w:trPr>
          <w:trHeight w:val="234"/>
        </w:trPr>
        <w:tc>
          <w:tcPr>
            <w:tcW w:w="50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(213) 235-2240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49"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9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Title of Each Class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34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39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Class A Non-Voting Common Stock, $0.01 Par Value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RDI</w:t>
            </w:r>
          </w:p>
        </w:tc>
        <w:tc>
          <w:tcPr>
            <w:tcW w:w="346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NASDAQ</w:t>
            </w:r>
          </w:p>
        </w:tc>
      </w:tr>
      <w:tr>
        <w:trPr>
          <w:trHeight w:val="229"/>
        </w:trPr>
        <w:tc>
          <w:tcPr>
            <w:tcW w:w="39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Class B Voting Common Stock, $0.01 Par Value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RDIB</w:t>
            </w:r>
          </w:p>
        </w:tc>
        <w:tc>
          <w:tcPr>
            <w:tcW w:w="346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NASDAQ</w:t>
            </w:r>
          </w:p>
        </w:tc>
      </w:tr>
    </w:tbl>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w:t>
      </w:r>
    </w:p>
    <w:p>
      <w:pPr>
        <w:jc w:val="center"/>
        <w:ind w:right="-19"/>
        <w:spacing w:after="0" w:line="232" w:lineRule="auto"/>
        <w:rPr>
          <w:sz w:val="20"/>
          <w:szCs w:val="20"/>
          <w:color w:val="auto"/>
        </w:rPr>
      </w:pPr>
      <w:r>
        <w:rPr>
          <w:rFonts w:ascii="Times New Roman" w:cs="Times New Roman" w:eastAsia="Times New Roman" w:hAnsi="Times New Roman"/>
          <w:sz w:val="20"/>
          <w:szCs w:val="20"/>
          <w:b w:val="1"/>
          <w:bCs w:val="1"/>
          <w:color w:val="auto"/>
        </w:rPr>
        <w:t>None</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4"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4"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9"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05" w:right="339" w:bottom="1440" w:gutter="0" w:footer="0" w:header="0"/>
        </w:sectPr>
      </w:pPr>
    </w:p>
    <w:p>
      <w:pPr>
        <w:spacing w:after="0" w:line="12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ind w:left="14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o</w:t>
      </w:r>
    </w:p>
    <w:p>
      <w:pPr>
        <w:spacing w:after="0" w:line="1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194" w:lineRule="exact"/>
        <w:rPr>
          <w:sz w:val="24"/>
          <w:szCs w:val="24"/>
          <w:color w:val="auto"/>
        </w:rPr>
      </w:pPr>
    </w:p>
    <w:p>
      <w:pPr>
        <w:sectPr>
          <w:pgSz w:w="11900" w:h="16838" w:orient="portrait"/>
          <w:cols w:equalWidth="0" w:num="2">
            <w:col w:w="7040" w:space="720"/>
            <w:col w:w="3480"/>
          </w:cols>
          <w:pgMar w:left="320" w:top="205" w:right="339" w:bottom="1440" w:gutter="0" w:footer="0" w:header="0"/>
          <w:type w:val="continuous"/>
        </w:sectPr>
      </w:pPr>
    </w:p>
    <w:p>
      <w:pPr>
        <w:ind w:left="140" w:right="460"/>
        <w:spacing w:after="0" w:line="22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83"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56" w:lineRule="exact"/>
        <w:rPr>
          <w:sz w:val="24"/>
          <w:szCs w:val="24"/>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5" w:right="339" w:bottom="1440" w:gutter="0" w:footer="0" w:header="0"/>
          <w:type w:val="continuous"/>
        </w:sectPr>
      </w:pPr>
    </w:p>
    <w:bookmarkStart w:id="1" w:name="page2"/>
    <w:bookmarkEnd w:id="1"/>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3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voting and non-voting common equity held by non-affiliates based on the closing price on that date as reported by the Nasdaq Stock Market was $26,804,265.</w:t>
      </w:r>
    </w:p>
    <w:p>
      <w:pPr>
        <w:spacing w:after="0" w:line="39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As of March 30, 2026, there were 21,036,670 shares of class A non-voting common stock, par value $0.01 per share and 1,680,590 shares of class B voting common stock, par value $0.01 per share, outstanding.</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This Amendment No. 2 on Form 10-K/A (this "Form 10-K/A") amends our Annual Report on Form 10-K for the fiscal year ended December 31, 2025, originally filed with the U.S. Securities and Exchange Commission (the "SEC") on March 31, 2026, as amended by</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Amendment No. 1 on Form 10-K/A filed with the SEC on April 20, 2026 (as amended, (the "2025 Form 10-K"). We are filing this Form 10-K/A to amend and restate the Exhibit Index (including the filing of new certifications as required by Section 302 of the Sarbanes-Oxley Act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of 2002, as amended, in accordance with Rule 13a-14(a) under the Securities Exchange Act of 1934, as amended) in Item 15 of Part IV of the 2025 Form 10-K to include new Exhibits 10.20 and 10.25, and to include the information required by Items 10 through 14 of Part III that were not included in the 2025 Form 10-K, as we will not file a definitive proxy statement containing such information within 120 days after the end of the fiscal year ended December 31, 2025.</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board of directors has not yet set a date for the Company's 2026 Annual Meeting of Stockholders (the "Annual Meeting").</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212529"/>
        </w:rPr>
        <w:t>This Form 10-K/A amends and restates in their entirety Items 10 through 14 of Part III and the Exhibit Index (including the filing of new certifications as required by Section 302 of the Sarbanes-Oxley Act of 2002, as amended (the "Sarbanes-Oxley Act") in accordance with Rule 13a-14(a) under the Securities Exchange Act of 1934, as amended (the "Exchange Act") of the 2025 Form 10-K.</w:t>
      </w:r>
    </w:p>
    <w:p>
      <w:pPr>
        <w:spacing w:after="0" w:line="16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Except as otherwise expressly noted above, this Form 10-K/A does not amend any other information set forth in the 2025 Form 10-K. This Form 10-K/A continues to speak as of the date of the 2025 Form 10-K and, except where expressly noted, we have not updated disclosures contained herein or therein to reflect any events that occurred at a date subsequent to the date of the 2025 Form 10-K. Accordingly, this Form 10-K/A should be read in conjunction with the 2025 Form 10-K and our other filings with the SEC.</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Because no financial statements have been included in this Form 10-K/A and this Form 10-K/A does not contain or amend any disclosure with respect to Item 307 or Item 308 of Regulation S-K, paragraphs 3, 4 and 5 of the certifications required by Section 302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have been omitted.</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color w:val="auto"/>
        </w:rPr>
        <w:t>Unless the context requires otherwise, all references to the "Company," "Reading," “we,” “our” or “us” means Reading International, Inc., a Nevada corporation,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 Directors, Executive Officers and Corporate Governance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206" w:lineRule="exact"/>
        <w:rPr>
          <w:sz w:val="20"/>
          <w:szCs w:val="20"/>
          <w:color w:val="auto"/>
        </w:rPr>
      </w:pPr>
    </w:p>
    <w:p>
      <w:pPr>
        <w:ind w:right="660"/>
        <w:spacing w:after="0" w:line="255" w:lineRule="auto"/>
        <w:rPr>
          <w:sz w:val="20"/>
          <w:szCs w:val="20"/>
          <w:color w:val="auto"/>
        </w:rPr>
      </w:pPr>
      <w:r>
        <w:rPr>
          <w:rFonts w:ascii="Times New Roman" w:cs="Times New Roman" w:eastAsia="Times New Roman" w:hAnsi="Times New Roman"/>
          <w:sz w:val="20"/>
          <w:szCs w:val="20"/>
          <w:color w:val="auto"/>
        </w:rPr>
        <w:t>We have five (5) Directors. The names of our Directors, together with certain information regarding them, including stock ownership holdings current as of March 27, 2026, are as follows: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040" w:type="dxa"/>
            <w:vAlign w:val="bottom"/>
            <w:tcBorders>
              <w:top w:val="single" w:sz="8" w:color="auto"/>
              <w:bottom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5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173"/>
        </w:trPr>
        <w:tc>
          <w:tcPr>
            <w:tcW w:w="4300" w:type="dxa"/>
            <w:vAlign w:val="bottom"/>
            <w:tcBorders>
              <w:left w:val="single" w:sz="8" w:color="auto"/>
              <w:right w:val="single" w:sz="8" w:color="auto"/>
            </w:tcBorders>
            <w:shd w:val="clear" w:color="auto" w:fill="CEEEFA"/>
          </w:tcPr>
          <w:p>
            <w:pPr>
              <w:ind w:left="120"/>
              <w:spacing w:after="0" w:line="173" w:lineRule="exact"/>
              <w:rPr>
                <w:sz w:val="20"/>
                <w:szCs w:val="20"/>
                <w:color w:val="auto"/>
              </w:rPr>
            </w:pPr>
            <w:r>
              <w:rPr>
                <w:rFonts w:ascii="Times New Roman" w:cs="Times New Roman" w:eastAsia="Times New Roman" w:hAnsi="Times New Roman"/>
                <w:sz w:val="20"/>
                <w:szCs w:val="20"/>
                <w:color w:val="auto"/>
              </w:rPr>
              <w:t>Margaret Cotter</w:t>
            </w:r>
          </w:p>
        </w:tc>
        <w:tc>
          <w:tcPr>
            <w:tcW w:w="1040" w:type="dxa"/>
            <w:vAlign w:val="bottom"/>
            <w:tcBorders>
              <w:right w:val="single" w:sz="8" w:color="auto"/>
            </w:tcBorders>
            <w:shd w:val="clear" w:color="auto" w:fill="CEEEFA"/>
          </w:tcPr>
          <w:p>
            <w:pPr>
              <w:jc w:val="center"/>
              <w:ind w:right="21"/>
              <w:spacing w:after="0" w:line="173" w:lineRule="exact"/>
              <w:rPr>
                <w:sz w:val="20"/>
                <w:szCs w:val="20"/>
                <w:color w:val="auto"/>
              </w:rPr>
            </w:pPr>
            <w:r>
              <w:rPr>
                <w:rFonts w:ascii="Times New Roman" w:cs="Times New Roman" w:eastAsia="Times New Roman" w:hAnsi="Times New Roman"/>
                <w:sz w:val="20"/>
                <w:szCs w:val="20"/>
                <w:color w:val="auto"/>
                <w:w w:val="99"/>
              </w:rPr>
              <w:t>58</w:t>
            </w:r>
          </w:p>
        </w:tc>
        <w:tc>
          <w:tcPr>
            <w:tcW w:w="5920" w:type="dxa"/>
            <w:vAlign w:val="bottom"/>
            <w:tcBorders>
              <w:right w:val="single" w:sz="8" w:color="auto"/>
            </w:tcBorders>
            <w:shd w:val="clear" w:color="auto" w:fill="CEEEFA"/>
          </w:tcPr>
          <w:p>
            <w:pPr>
              <w:spacing w:after="0" w:line="173" w:lineRule="exact"/>
              <w:rPr>
                <w:sz w:val="20"/>
                <w:szCs w:val="20"/>
                <w:color w:val="auto"/>
              </w:rPr>
            </w:pPr>
            <w:r>
              <w:rPr>
                <w:rFonts w:ascii="Times New Roman" w:cs="Times New Roman" w:eastAsia="Times New Roman" w:hAnsi="Times New Roman"/>
                <w:sz w:val="20"/>
                <w:szCs w:val="20"/>
                <w:color w:val="auto"/>
              </w:rPr>
              <w:t>Chair of the Board and Executive Vice President-Real Estate</w:t>
            </w:r>
          </w:p>
        </w:tc>
      </w:tr>
      <w:tr>
        <w:trPr>
          <w:trHeight w:val="252"/>
        </w:trPr>
        <w:tc>
          <w:tcPr>
            <w:tcW w:w="4300" w:type="dxa"/>
            <w:vAlign w:val="bottom"/>
            <w:tcBorders>
              <w:left w:val="single" w:sz="8" w:color="auto"/>
              <w:bottom w:val="single" w:sz="8" w:color="auto"/>
              <w:right w:val="single" w:sz="8" w:color="auto"/>
            </w:tcBorders>
            <w:shd w:val="clear" w:color="auto" w:fill="CEEEFA"/>
          </w:tcPr>
          <w:p>
            <w:pPr>
              <w:spacing w:after="0"/>
              <w:rPr>
                <w:sz w:val="21"/>
                <w:szCs w:val="21"/>
                <w:color w:val="auto"/>
              </w:rPr>
            </w:pPr>
          </w:p>
        </w:tc>
        <w:tc>
          <w:tcPr>
            <w:tcW w:w="1040" w:type="dxa"/>
            <w:vAlign w:val="bottom"/>
            <w:tcBorders>
              <w:bottom w:val="single" w:sz="8" w:color="auto"/>
              <w:right w:val="single" w:sz="8" w:color="auto"/>
            </w:tcBorders>
            <w:shd w:val="clear" w:color="auto" w:fill="CEEEFA"/>
          </w:tcPr>
          <w:p>
            <w:pPr>
              <w:spacing w:after="0"/>
              <w:rPr>
                <w:sz w:val="21"/>
                <w:szCs w:val="21"/>
                <w:color w:val="auto"/>
              </w:rPr>
            </w:pPr>
          </w:p>
        </w:tc>
        <w:tc>
          <w:tcPr>
            <w:tcW w:w="5920" w:type="dxa"/>
            <w:vAlign w:val="bottom"/>
            <w:tcBorders>
              <w:bottom w:val="single" w:sz="8" w:color="auto"/>
              <w:right w:val="single" w:sz="8" w:color="auto"/>
            </w:tcBorders>
            <w:shd w:val="clear" w:color="auto" w:fill="CEEEFA"/>
          </w:tcPr>
          <w:p>
            <w:pPr>
              <w:spacing w:after="0"/>
              <w:rPr>
                <w:sz w:val="20"/>
                <w:szCs w:val="20"/>
                <w:color w:val="auto"/>
              </w:rPr>
            </w:pPr>
            <w:r>
              <w:rPr>
                <w:rFonts w:ascii="Times New Roman" w:cs="Times New Roman" w:eastAsia="Times New Roman" w:hAnsi="Times New Roman"/>
                <w:sz w:val="20"/>
                <w:szCs w:val="20"/>
                <w:color w:val="auto"/>
              </w:rPr>
              <w:t>Management and Development (1)</w:t>
            </w:r>
          </w:p>
        </w:tc>
      </w:tr>
      <w:tr>
        <w:trPr>
          <w:trHeight w:val="209"/>
        </w:trPr>
        <w:tc>
          <w:tcPr>
            <w:tcW w:w="430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Ellen M. Cotter</w:t>
            </w:r>
          </w:p>
        </w:tc>
        <w:tc>
          <w:tcPr>
            <w:tcW w:w="1040" w:type="dxa"/>
            <w:vAlign w:val="bottom"/>
            <w:tcBorders>
              <w:bottom w:val="single" w:sz="8" w:color="auto"/>
              <w:right w:val="single" w:sz="8" w:color="auto"/>
            </w:tcBorders>
          </w:tcPr>
          <w:p>
            <w:pPr>
              <w:jc w:val="center"/>
              <w:ind w:right="21"/>
              <w:spacing w:after="0" w:line="209" w:lineRule="exact"/>
              <w:rPr>
                <w:sz w:val="20"/>
                <w:szCs w:val="20"/>
                <w:color w:val="auto"/>
              </w:rPr>
            </w:pPr>
            <w:r>
              <w:rPr>
                <w:rFonts w:ascii="Times New Roman" w:cs="Times New Roman" w:eastAsia="Times New Roman" w:hAnsi="Times New Roman"/>
                <w:sz w:val="20"/>
                <w:szCs w:val="20"/>
                <w:color w:val="auto"/>
                <w:w w:val="99"/>
              </w:rPr>
              <w:t>60</w:t>
            </w:r>
          </w:p>
        </w:tc>
        <w:tc>
          <w:tcPr>
            <w:tcW w:w="5920" w:type="dxa"/>
            <w:vAlign w:val="bottom"/>
            <w:tcBorders>
              <w:bottom w:val="single" w:sz="8" w:color="auto"/>
              <w:right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Vice-Chair, Chief Executive Officer and President (1)</w:t>
            </w:r>
          </w:p>
        </w:tc>
      </w:tr>
      <w:tr>
        <w:trPr>
          <w:trHeight w:val="210"/>
        </w:trPr>
        <w:tc>
          <w:tcPr>
            <w:tcW w:w="4300" w:type="dxa"/>
            <w:vAlign w:val="bottom"/>
            <w:tcBorders>
              <w:left w:val="single" w:sz="8" w:color="auto"/>
              <w:bottom w:val="single" w:sz="8" w:color="auto"/>
              <w:right w:val="single" w:sz="8" w:color="auto"/>
            </w:tcBorders>
            <w:shd w:val="clear" w:color="auto" w:fill="CEEEFA"/>
          </w:tcPr>
          <w:p>
            <w:pPr>
              <w:ind w:left="120"/>
              <w:spacing w:after="0" w:line="209" w:lineRule="exact"/>
              <w:rPr>
                <w:sz w:val="20"/>
                <w:szCs w:val="20"/>
                <w:color w:val="auto"/>
              </w:rPr>
            </w:pPr>
            <w:r>
              <w:rPr>
                <w:rFonts w:ascii="Times New Roman" w:cs="Times New Roman" w:eastAsia="Times New Roman" w:hAnsi="Times New Roman"/>
                <w:sz w:val="20"/>
                <w:szCs w:val="20"/>
                <w:color w:val="auto"/>
              </w:rPr>
              <w:t>Guy W. Adams</w:t>
            </w:r>
          </w:p>
        </w:tc>
        <w:tc>
          <w:tcPr>
            <w:tcW w:w="1040" w:type="dxa"/>
            <w:vAlign w:val="bottom"/>
            <w:tcBorders>
              <w:bottom w:val="single" w:sz="8" w:color="auto"/>
              <w:right w:val="single" w:sz="8" w:color="auto"/>
            </w:tcBorders>
            <w:shd w:val="clear" w:color="auto" w:fill="CEEEFA"/>
          </w:tcPr>
          <w:p>
            <w:pPr>
              <w:jc w:val="center"/>
              <w:ind w:right="21"/>
              <w:spacing w:after="0" w:line="209" w:lineRule="exact"/>
              <w:rPr>
                <w:sz w:val="20"/>
                <w:szCs w:val="20"/>
                <w:color w:val="auto"/>
              </w:rPr>
            </w:pPr>
            <w:r>
              <w:rPr>
                <w:rFonts w:ascii="Times New Roman" w:cs="Times New Roman" w:eastAsia="Times New Roman" w:hAnsi="Times New Roman"/>
                <w:sz w:val="20"/>
                <w:szCs w:val="20"/>
                <w:color w:val="auto"/>
                <w:w w:val="99"/>
              </w:rPr>
              <w:t>75</w:t>
            </w:r>
          </w:p>
        </w:tc>
        <w:tc>
          <w:tcPr>
            <w:tcW w:w="5920" w:type="dxa"/>
            <w:vAlign w:val="bottom"/>
            <w:tcBorders>
              <w:bottom w:val="single" w:sz="8" w:color="auto"/>
              <w:right w:val="single" w:sz="8" w:color="auto"/>
            </w:tcBorders>
            <w:shd w:val="clear" w:color="auto" w:fill="CEEEFA"/>
          </w:tcPr>
          <w:p>
            <w:pPr>
              <w:spacing w:after="0" w:line="209" w:lineRule="exact"/>
              <w:rPr>
                <w:sz w:val="20"/>
                <w:szCs w:val="20"/>
                <w:color w:val="auto"/>
              </w:rPr>
            </w:pPr>
            <w:r>
              <w:rPr>
                <w:rFonts w:ascii="Times New Roman" w:cs="Times New Roman" w:eastAsia="Times New Roman" w:hAnsi="Times New Roman"/>
                <w:sz w:val="20"/>
                <w:szCs w:val="20"/>
                <w:color w:val="auto"/>
              </w:rPr>
              <w:t>Director (2)(3)(5)(6)</w:t>
            </w:r>
          </w:p>
        </w:tc>
      </w:tr>
      <w:tr>
        <w:trPr>
          <w:trHeight w:val="209"/>
        </w:trPr>
        <w:tc>
          <w:tcPr>
            <w:tcW w:w="430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Dr. Judy Codding</w:t>
            </w:r>
          </w:p>
        </w:tc>
        <w:tc>
          <w:tcPr>
            <w:tcW w:w="1040" w:type="dxa"/>
            <w:vAlign w:val="bottom"/>
            <w:tcBorders>
              <w:bottom w:val="single" w:sz="8" w:color="auto"/>
              <w:right w:val="single" w:sz="8" w:color="auto"/>
            </w:tcBorders>
          </w:tcPr>
          <w:p>
            <w:pPr>
              <w:jc w:val="center"/>
              <w:ind w:right="21"/>
              <w:spacing w:after="0" w:line="209" w:lineRule="exact"/>
              <w:rPr>
                <w:sz w:val="20"/>
                <w:szCs w:val="20"/>
                <w:color w:val="auto"/>
              </w:rPr>
            </w:pPr>
            <w:r>
              <w:rPr>
                <w:rFonts w:ascii="Times New Roman" w:cs="Times New Roman" w:eastAsia="Times New Roman" w:hAnsi="Times New Roman"/>
                <w:sz w:val="20"/>
                <w:szCs w:val="20"/>
                <w:color w:val="auto"/>
                <w:w w:val="99"/>
              </w:rPr>
              <w:t>81</w:t>
            </w:r>
          </w:p>
        </w:tc>
        <w:tc>
          <w:tcPr>
            <w:tcW w:w="5920" w:type="dxa"/>
            <w:vAlign w:val="bottom"/>
            <w:tcBorders>
              <w:bottom w:val="single" w:sz="8" w:color="auto"/>
              <w:right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Director (1)(2)(8)</w:t>
            </w:r>
          </w:p>
        </w:tc>
      </w:tr>
      <w:tr>
        <w:trPr>
          <w:trHeight w:val="209"/>
        </w:trPr>
        <w:tc>
          <w:tcPr>
            <w:tcW w:w="4300" w:type="dxa"/>
            <w:vAlign w:val="bottom"/>
            <w:tcBorders>
              <w:left w:val="single" w:sz="8" w:color="auto"/>
              <w:bottom w:val="single" w:sz="8" w:color="auto"/>
              <w:right w:val="single" w:sz="8" w:color="auto"/>
            </w:tcBorders>
            <w:shd w:val="clear" w:color="auto" w:fill="CEEEFA"/>
          </w:tcPr>
          <w:p>
            <w:pPr>
              <w:ind w:left="120"/>
              <w:spacing w:after="0" w:line="209" w:lineRule="exact"/>
              <w:rPr>
                <w:sz w:val="20"/>
                <w:szCs w:val="20"/>
                <w:color w:val="auto"/>
              </w:rPr>
            </w:pPr>
            <w:r>
              <w:rPr>
                <w:rFonts w:ascii="Times New Roman" w:cs="Times New Roman" w:eastAsia="Times New Roman" w:hAnsi="Times New Roman"/>
                <w:sz w:val="20"/>
                <w:szCs w:val="20"/>
                <w:color w:val="auto"/>
              </w:rPr>
              <w:t>Douglas J. McEachern</w:t>
            </w:r>
          </w:p>
        </w:tc>
        <w:tc>
          <w:tcPr>
            <w:tcW w:w="1040" w:type="dxa"/>
            <w:vAlign w:val="bottom"/>
            <w:tcBorders>
              <w:bottom w:val="single" w:sz="8" w:color="auto"/>
              <w:right w:val="single" w:sz="8" w:color="auto"/>
            </w:tcBorders>
            <w:shd w:val="clear" w:color="auto" w:fill="CEEEFA"/>
          </w:tcPr>
          <w:p>
            <w:pPr>
              <w:jc w:val="center"/>
              <w:ind w:right="21"/>
              <w:spacing w:after="0" w:line="209" w:lineRule="exact"/>
              <w:rPr>
                <w:sz w:val="20"/>
                <w:szCs w:val="20"/>
                <w:color w:val="auto"/>
              </w:rPr>
            </w:pPr>
            <w:r>
              <w:rPr>
                <w:rFonts w:ascii="Times New Roman" w:cs="Times New Roman" w:eastAsia="Times New Roman" w:hAnsi="Times New Roman"/>
                <w:sz w:val="20"/>
                <w:szCs w:val="20"/>
                <w:color w:val="auto"/>
                <w:w w:val="99"/>
              </w:rPr>
              <w:t>74</w:t>
            </w:r>
          </w:p>
        </w:tc>
        <w:tc>
          <w:tcPr>
            <w:tcW w:w="5920" w:type="dxa"/>
            <w:vAlign w:val="bottom"/>
            <w:tcBorders>
              <w:bottom w:val="single" w:sz="8" w:color="auto"/>
              <w:right w:val="single" w:sz="8" w:color="auto"/>
            </w:tcBorders>
            <w:shd w:val="clear" w:color="auto" w:fill="CEEEFA"/>
          </w:tcPr>
          <w:p>
            <w:pPr>
              <w:spacing w:after="0" w:line="209" w:lineRule="exact"/>
              <w:rPr>
                <w:sz w:val="20"/>
                <w:szCs w:val="20"/>
                <w:color w:val="auto"/>
              </w:rPr>
            </w:pPr>
            <w:r>
              <w:rPr>
                <w:rFonts w:ascii="Times New Roman" w:cs="Times New Roman" w:eastAsia="Times New Roman" w:hAnsi="Times New Roman"/>
                <w:sz w:val="20"/>
                <w:szCs w:val="20"/>
                <w:color w:val="auto"/>
              </w:rPr>
              <w:t>Director (3)(4)(7)</w:t>
            </w:r>
          </w:p>
        </w:tc>
      </w:tr>
    </w:tbl>
    <w:p>
      <w:pPr>
        <w:spacing w:after="0" w:line="189"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Executive Committee.</w:t>
      </w:r>
    </w:p>
    <w:p>
      <w:pPr>
        <w:spacing w:after="0" w:line="9" w:lineRule="exact"/>
        <w:rPr>
          <w:rFonts w:ascii="Times New Roman" w:cs="Times New Roman" w:eastAsia="Times New Roman" w:hAnsi="Times New Roman"/>
          <w:sz w:val="16"/>
          <w:szCs w:val="16"/>
          <w:color w:val="auto"/>
        </w:rPr>
      </w:pPr>
    </w:p>
    <w:p>
      <w:pPr>
        <w:ind w:left="880" w:hanging="224"/>
        <w:spacing w:after="0" w:line="228"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and Conflicts Committee.</w:t>
      </w:r>
    </w:p>
    <w:p>
      <w:pPr>
        <w:ind w:left="880" w:hanging="224"/>
        <w:spacing w:after="0" w:line="228"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and Stock Options Committee.</w:t>
      </w:r>
    </w:p>
    <w:p>
      <w:pPr>
        <w:ind w:left="880" w:hanging="224"/>
        <w:spacing w:after="0" w:line="228"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Independent Director.</w:t>
      </w:r>
    </w:p>
    <w:p>
      <w:pPr>
        <w:ind w:left="880" w:hanging="224"/>
        <w:spacing w:after="0" w:line="228"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Technology and Cyber Risk Director.</w:t>
      </w:r>
    </w:p>
    <w:p>
      <w:pPr>
        <w:ind w:left="880" w:hanging="224"/>
        <w:spacing w:after="0" w:line="228"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Executive Committee.</w:t>
      </w:r>
    </w:p>
    <w:p>
      <w:pPr>
        <w:ind w:left="880" w:hanging="224"/>
        <w:spacing w:after="0" w:line="228"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Audit and Conflicts Committee.</w:t>
      </w: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Compensation and Stock Options Committee.</w:t>
      </w:r>
    </w:p>
    <w:p>
      <w:pPr>
        <w:spacing w:after="0" w:line="181"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20"/>
          <w:szCs w:val="20"/>
          <w:color w:val="auto"/>
        </w:rPr>
        <w:t>We currently have an Audit and Conflicts Committee (the “Audit Committee”) and a Compensation and Stock Options Committee (the “Compensation Committee”), each composed entirely of Independent Directors. Douglas J. McEachern is our Lead Independent</w:t>
      </w:r>
    </w:p>
    <w:p>
      <w:pPr>
        <w:spacing w:after="0" w:line="2"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0"/>
          <w:szCs w:val="20"/>
          <w:color w:val="auto"/>
        </w:rPr>
        <w:t>Director. Historically, our Lead Independent Director chairs meetings of the Independent Directors (typically held as a separate part of many of our board meetings) and acts as liaison between our Chair and our Independent Directors. We also currently have a four-member Executive Committee composed of our Chair, Vice-Chair, our Lead Technology and Cyber Risk Director (Guy W. Adams), and Director Dr. Judy Codding. As a consequence of this structure, the concurrence of at least one non-management member of the Executive Committee is required in order for the Executive Committee to take action.</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Margaret Cotter</w:t>
      </w:r>
      <w:r>
        <w:rPr>
          <w:rFonts w:ascii="Times New Roman" w:cs="Times New Roman" w:eastAsia="Times New Roman" w:hAnsi="Times New Roman"/>
          <w:sz w:val="20"/>
          <w:szCs w:val="20"/>
          <w:color w:val="auto"/>
        </w:rPr>
        <w:t>. Chair Margaret Cotter joined our Board on September 27, 2002, and currently serves as a member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Committee. She was elected Chair of our Board on December 8, 2020. Prior to this, Chair Cotter served as the Vice-Chair of our Board from August 7, 2014 to December 7, 2020. Since March 10, 2016, Chair Cotter was appointed by the Board as Executive Vice President-Real Estate Management and Development, at which time Chair Cotter became a full-time employee of our Company. Prior to</w:t>
      </w:r>
    </w:p>
    <w:p>
      <w:pPr>
        <w:spacing w:after="0" w:line="1"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19"/>
          <w:szCs w:val="19"/>
          <w:color w:val="auto"/>
        </w:rPr>
        <w:t>2016, Chair Cotter was the owner and President of OBI, LLC (“OBI”), which from 2002 until her appointment as Executive Vice President-Real Estate Management and Development, managed our live theatre operations under a management agreement, served as President of</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9"/>
          <w:szCs w:val="19"/>
          <w:color w:val="auto"/>
        </w:rPr>
        <w:t>Liberty Theaters, LLC and provided management and various services regarding the development of our New York theatre and cinema properties. The OBI management agreement was terminated with the appointment of Chair Cotter as Executive Vice President-Real Estate Management and Development. In her position, Chair Cotter oversees the day-to-day development, management and leasing of our 44 Union</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20"/>
          <w:szCs w:val="20"/>
          <w:color w:val="auto"/>
        </w:rPr>
        <w:t>Square property and other New York and Pennsylvania real estate holdings. Chair Cotter is also the President of our Live Theatres business and manages our live theatre operations. Chair Cotter has produced theatrical shows in Chicago and New York and was a long-term board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 of the League of Off-Broadway Theaters and Producers.</w:t>
      </w:r>
    </w:p>
    <w:p>
      <w:pPr>
        <w:spacing w:after="0" w:line="180"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20"/>
          <w:szCs w:val="20"/>
          <w:color w:val="auto"/>
        </w:rPr>
        <w:t>Chair Cotter, a former prosecutor for the Brooklyn District Attorney in New York, graduated from Georgetown University and Georgetown University Law Center.</w:t>
      </w:r>
    </w:p>
    <w:p>
      <w:pPr>
        <w:spacing w:after="0" w:line="146"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She is the sister of Vice-Chair Ellen M. Cotter. Chair Cotter is a Co-Executor of her father's estate, which is the record owner of Class A Non-Voting Common Stock and Class B Voting Common Stock. Chair Cotter is also a Co-Trustee of the James J. Cotter Living Trust (“Cotter Trust”), a Co-Trustee of the James J. Cotter Foundation (“Cotter Foundation”), and the Sole Trustee of the James J. Cotter Education Trust #1, each of which is a record holder of shares of Class A Non-Voting Common Stock. Chair Cotter holds various positions in her family's agricultural enterprises. She is a director of Cecelia Packing Corporation (a Cotter family-owned citrus grower, packer and marketer). In her capacity as the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20"/>
          <w:szCs w:val="20"/>
          <w:color w:val="auto"/>
        </w:rPr>
        <w:t>Executor of the Estate of James J. Cotter (“Cotter Estate”), Chair Cotter (together with her sister and Co-Executor, Ellen M. Cotter) holds various positions in various real estate entities that are part of her father’s estate.</w:t>
      </w:r>
    </w:p>
    <w:p>
      <w:pPr>
        <w:spacing w:after="0" w:line="14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Chair Cotter brings to the Board her extensive experience as a live theatre operator, practical knowledge of managing unique entertainment properties, being an active member of the New York theatre community, and her insights into theatrical production trends. In addition, her oversight and management of our various real estate assets for over twenty-seven (27) years supports Chair Cotter’s ability to contribute to the strategic direction and operation of our assets.</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20"/>
          <w:szCs w:val="20"/>
          <w:color w:val="auto"/>
        </w:rPr>
        <w:t>Chair Cotter, a significant stakeholder in our Company, has sole voting control over 1,058,988 shares of Class B Stock and shared voting power with Ellen Cotter over 100,000 shares of Class B Stock, collectively representing 69% of the outstanding Class B stock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17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b w:val="1"/>
          <w:bCs w:val="1"/>
          <w:u w:val="single" w:color="auto"/>
          <w:color w:val="auto"/>
        </w:rPr>
        <w:t>Ellen M. Cotter</w:t>
      </w:r>
      <w:r>
        <w:rPr>
          <w:rFonts w:ascii="Times New Roman" w:cs="Times New Roman" w:eastAsia="Times New Roman" w:hAnsi="Times New Roman"/>
          <w:sz w:val="20"/>
          <w:szCs w:val="20"/>
          <w:color w:val="auto"/>
        </w:rPr>
        <w:t>. Vice-Chair Ellen M. Cotter joined our Board on March 13, 2013, and currently serves as a member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Committee. Vice-Chair Cotter served as Chair of our Board from August 7, 2014, until December 7, 2020. She served as our</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interim Chief Executive Officer and President from June 12, 2015, until January 8, 2016, when she was appointed our permanent Chief Executive Officer and President. She joined our Company in March 1998. Vice-Chair Cotter is the sister of Chair Margaret Cotter.</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Vice-Chair Cotter is also a director of Cecelia Packing Corporation. In her capacity as the Co-Executor of the Cotter Estate, Vice-Chair Cotter (together with her sister and Co-Executor, Margaret Cotter) holds various positions in various real estate entities that are part of her father’s estate.</w:t>
      </w:r>
    </w:p>
    <w:p>
      <w:pPr>
        <w:spacing w:after="0" w:line="16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Vice-Chair Cotter is a graduate of Smith College and holds a Juris Doctor from Georgetown University Law Center. Prior to joining our Company, Vice-Chair Cotter spent four years in private practice as a corporate attorney with the law firm White &amp; Case in New York City. Prior to being appointed as our Chief Executive Officer and President, Vice-Chair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w:t>
      </w:r>
    </w:p>
    <w:p>
      <w:pPr>
        <w:jc w:val="both"/>
        <w:spacing w:after="0" w:line="229" w:lineRule="auto"/>
        <w:rPr>
          <w:sz w:val="20"/>
          <w:szCs w:val="20"/>
          <w:color w:val="auto"/>
        </w:rPr>
      </w:pPr>
      <w:r>
        <w:rPr>
          <w:rFonts w:ascii="Times New Roman" w:cs="Times New Roman" w:eastAsia="Times New Roman" w:hAnsi="Times New Roman"/>
          <w:sz w:val="19"/>
          <w:szCs w:val="19"/>
          <w:color w:val="auto"/>
        </w:rPr>
        <w:t>Cinemas, she spent a year in Australia and New Zealand, working to develop our cinema and real estate assets in those countries. In recognition of her contributions to the independent film industry, Vice-Chair Cotter was awarded the first Gotham Appreciation Award at the</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2015 Gotham Independent Film Awards. She was also inducted into the Show East Hall of Fame that same year. In recognition of her contributions to the movie cinema exhibition industry, Vice-Chair Cotter was honored at The Motion Picture Club Charity Event in June 2023 in New York City.</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Vice-Chair Cotter has been a valuable liaison to the film industry. Vice-Chair Cotter brings to our Board more than twenty-eight (28) years of experience working in our Company's cinema operations, both in the United States and Australia. She has also served as the Chief</w:t>
      </w:r>
    </w:p>
    <w:p>
      <w:pPr>
        <w:spacing w:after="0" w:line="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Executive Officer of the subsidiary that operates substantially all of our cinemas in Hawaii and California. Vice-Chair Cotter is a significant stakeholder in our Company.</w:t>
      </w:r>
    </w:p>
    <w:p>
      <w:pPr>
        <w:spacing w:after="0" w:line="17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u w:val="single" w:color="auto"/>
          <w:color w:val="auto"/>
        </w:rPr>
        <w:t>Guy W. Adams</w:t>
      </w:r>
      <w:r>
        <w:rPr>
          <w:rFonts w:ascii="Times New Roman" w:cs="Times New Roman" w:eastAsia="Times New Roman" w:hAnsi="Times New Roman"/>
          <w:sz w:val="20"/>
          <w:szCs w:val="20"/>
          <w:color w:val="auto"/>
        </w:rPr>
        <w:t>. Director Guy W. Adams joined our Board on January 14, 2014, and currently serves as, (i) the Chair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Committee, (ii) a member of our Audit Committee, (iii) a member of our Compensation Committee and (iv) as our Lead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Technology and Cyber Risk Director.</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Since 2019, Director Adams has served as the Chairman of the Board of Avem Health Partners, Inc., a healthcare management company and since July 2024, has served as the Chief Executive Officer of that company. For more than the past twenty-four (24) years,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Director Adams has been, (i) a Managing Member of GWA Capital Partners, LLC, (ii) a Managing Member of GWA Advisors, LLC, making investments in and acting as an advisor to privately held companies, and (iii) has served as an independent director on the boards of directors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of Lone Star Steakhouse &amp; Saloon, Mercer International, Exar Corporation and Vitesse Semiconductor. At these companies, Director Adams has held a variety of board positions, including lead director, audit committee Chair and compensation committee Chair. Director Adams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 transactions.</w:t>
      </w:r>
    </w:p>
    <w:p>
      <w:pPr>
        <w:spacing w:after="0" w:line="1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Director Adams received his Bachelor of Science degree in Petroleum Engineering from Louisiana State University and his Master of Business Administration from Harvard Graduate School of Business Administration. Director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jc w:val="both"/>
        <w:spacing w:after="0" w:line="236" w:lineRule="auto"/>
        <w:rPr>
          <w:sz w:val="20"/>
          <w:szCs w:val="20"/>
          <w:color w:val="auto"/>
        </w:rPr>
      </w:pPr>
      <w:r>
        <w:rPr>
          <w:rFonts w:ascii="Times New Roman" w:cs="Times New Roman" w:eastAsia="Times New Roman" w:hAnsi="Times New Roman"/>
          <w:sz w:val="20"/>
          <w:szCs w:val="20"/>
          <w:color w:val="auto"/>
        </w:rPr>
        <w:t>brings many years of experience serving as an independent director on public company boards, and in investing and providing financial advice with respect to investments in public companies. In December 2017, Director Adams was recognized as a Governance Fellow for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National Association of Corporate Directors, The Gold Standard Director Credential®. In 2018, Director Adams completed the Cyber-Risk Oversight course presented by the National Association of Corporate Directors.</w:t>
      </w:r>
    </w:p>
    <w:p>
      <w:pPr>
        <w:spacing w:after="0" w:line="17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u w:val="single" w:color="auto"/>
          <w:color w:val="auto"/>
        </w:rPr>
        <w:t>Dr. Judy Codding.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Dr. Judy Codding joined our Board on October 5, 2015, and currently serves as (i) the Chair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Committee, (ii) a member of our Audit Committee and (iii) a member of our Executive Committee. Director Codding is a globally respected education leader. From October 2010 until October 2015, she served as the Managing Director of “The System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Courses”, a division of Pearson, PLC (NYSE: PSO), one of the largest education companies in the world that provides educational products and services to institutions, governments and individual learners.</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Prior to that time, Director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Director Codding received a Doctorate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in Education from the University of Massachusetts at Amherst, completed postdoctoral work and served as a teaching associate in Education at Harvard University, where she taught graduate-level courses focused on moral leadership. Director Codding has served on various boards,</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including the Board of Trustees of Curtis School, Los Angeles, CA and the Board of Trustees of Educational Development Center, Inc. (since 2012). Presently she is the Chief Executive Officer of a not-for-profit education company, Triangle Learning Community.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Through family entities, Director Codding has been and continues to be involved in the real estate business in Florida and the</w:t>
      </w:r>
    </w:p>
    <w:p>
      <w:pPr>
        <w:spacing w:after="0" w:line="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exploration of mineral, oil and gas rights in Maryland and Kentucky. Director Codding brings to our Board her experience as an entrepreneur, a chief executive officer, an author, advisor and researcher in the areas of leadership training and decision-making, as well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 experience in the real estate business.</w:t>
      </w:r>
    </w:p>
    <w:p>
      <w:pPr>
        <w:spacing w:after="0" w:line="1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u w:val="single" w:color="auto"/>
          <w:color w:val="auto"/>
        </w:rPr>
        <w:t>Douglas J. McEachern</w:t>
      </w:r>
      <w:r>
        <w:rPr>
          <w:rFonts w:ascii="Times New Roman" w:cs="Times New Roman" w:eastAsia="Times New Roman" w:hAnsi="Times New Roman"/>
          <w:sz w:val="20"/>
          <w:szCs w:val="20"/>
          <w:color w:val="auto"/>
        </w:rPr>
        <w:t>. Director Douglas J. McEachern joined our Board on May 17, 2012, and currently serves as (i) the Chair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Audit Committee, a position he has held since August 1, 2012, (ii) a member of our Compensation Committee, and (iii) as our Lead Independent Director (since December 2021).</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Director McEachern has served as a member of the board and the audit and compensation committees for Willdan Group, a Nasdaq-listed engineering company, from 2009 until June 2022. From June 2011 until October 2015, he was a director of Community Bank in Pasadena, California, and a member of its audit committee. Director McEachern served as the Chair of the board of Community Bank from October 2013 until October 2015 and was a member of the finance committee of the Methodist Hospital of Arcadia. From September 2009 to December 2015, he served as an instructor of auditing and accountancy at Claremont McKenna College.</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Director McEachern was an audit partner from July 1985 to May 2009 with the audit firm Deloitte &amp; Touche, LLP, with client concentrations in financial institutions and real estate. He was also a Professional Accounting Fellow with the Federal Home Loan Bank board in Washington DC from June 1983 to July 1985. From June 1976 to June 1983, Director McEachern was a staff member and</w:t>
      </w:r>
    </w:p>
    <w:p>
      <w:pPr>
        <w:jc w:val="both"/>
        <w:spacing w:after="0" w:line="218" w:lineRule="auto"/>
        <w:rPr>
          <w:sz w:val="20"/>
          <w:szCs w:val="20"/>
          <w:color w:val="auto"/>
        </w:rPr>
      </w:pPr>
      <w:r>
        <w:rPr>
          <w:rFonts w:ascii="Times New Roman" w:cs="Times New Roman" w:eastAsia="Times New Roman" w:hAnsi="Times New Roman"/>
          <w:sz w:val="20"/>
          <w:szCs w:val="20"/>
          <w:color w:val="auto"/>
        </w:rPr>
        <w:t>subsequently a manager with the audit firm of Touche Ross &amp; Co. (predecessor to Deloitte &amp; Touche, LLP). Presently, Director McEachern serves as a director and executive officer of Foothill Affordable Housing (since January 2025), a nonprofit organization dedicated to the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creation and preservation of affordable housing. Mr. McEachern also serves as a director and president of Bedford (since early 2026), a non-profit organization dedicated to acquiring apartment properties and transitioning them into income restricted housing for lower income residents.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Director McEachern received a B.S. in Business Administration in 1974 from the University of California, Berkeley, and an M.B.A. in 1976 from the University of Southern California. Director McEachern brings to our Board his more than forty-eight (48) years’</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experience meeting the accounting and auditing needs of financial institutions and real estate clients, including our Company. Director McEachern also brings his experience reporting as an independent auditor to the boards of directors of a variety of public reporting companies and as a board member himself for various companies and not-for-profit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Meeting Attendance</w:t>
      </w:r>
    </w:p>
    <w:p>
      <w:pPr>
        <w:spacing w:after="0" w:line="19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Our Board of Directors held seventeen (17) meetings in 2025. The Audit Committee held ten (10) meetings, the Compensation Committee held thirteen (13) meetings and the Executive Committee did not hold any meetings in 2025. Each Director attended at least 75% of these Board meetings and at least 75% of the above-referenced committee meetings on which he or she served. We encourage, but do not require, our Board members to attend our Annual Meeting. All of our incumbent Directors attended the 2025 Annual Meeting of Stockholders.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Officers</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The following table sets forth information regarding our current executive officers, other than Ellen M. Cotter and Margaret Cotter, whose information is set forth above under “Directors”.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440" w:type="dxa"/>
            <w:vAlign w:val="bottom"/>
          </w:tcPr>
          <w:p>
            <w:pPr>
              <w:jc w:val="center"/>
              <w:ind w:left="601"/>
              <w:spacing w:after="0"/>
              <w:rPr>
                <w:sz w:val="20"/>
                <w:szCs w:val="20"/>
                <w:color w:val="auto"/>
              </w:rPr>
            </w:pPr>
            <w:r>
              <w:rPr>
                <w:rFonts w:ascii="Times New Roman" w:cs="Times New Roman" w:eastAsia="Times New Roman" w:hAnsi="Times New Roman"/>
                <w:sz w:val="20"/>
                <w:szCs w:val="20"/>
                <w:b w:val="1"/>
                <w:bCs w:val="1"/>
                <w:color w:val="auto"/>
              </w:rPr>
              <w:t>Age</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Gilbert Avanes</w:t>
            </w:r>
          </w:p>
        </w:tc>
        <w:tc>
          <w:tcPr>
            <w:tcW w:w="144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52</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Executive Vice President, Chief Financial Officer and Treasurer</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Robert F. Smerling</w:t>
            </w:r>
          </w:p>
        </w:tc>
        <w:tc>
          <w:tcPr>
            <w:tcW w:w="144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91</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President, US Cinemas</w:t>
            </w: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S. Craig Tompkins</w:t>
            </w:r>
          </w:p>
        </w:tc>
        <w:tc>
          <w:tcPr>
            <w:tcW w:w="144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75</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Vice President, General Counsel</w:t>
            </w: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John Goeddel</w:t>
            </w:r>
          </w:p>
        </w:tc>
        <w:tc>
          <w:tcPr>
            <w:tcW w:w="144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63</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Vice President, Chief Information Officer</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Terri Moore</w:t>
            </w:r>
          </w:p>
        </w:tc>
        <w:tc>
          <w:tcPr>
            <w:tcW w:w="144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75</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Vice President, US Cinemas Operations</w:t>
            </w: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Steve Lucas</w:t>
            </w:r>
          </w:p>
        </w:tc>
        <w:tc>
          <w:tcPr>
            <w:tcW w:w="144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55</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Vice President, Chief Accounting Officer and Controller</w:t>
            </w:r>
          </w:p>
        </w:tc>
      </w:tr>
      <w:tr>
        <w:trPr>
          <w:trHeight w:val="25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Mark Douglas</w:t>
            </w:r>
          </w:p>
        </w:tc>
        <w:tc>
          <w:tcPr>
            <w:tcW w:w="144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56</w:t>
            </w:r>
          </w:p>
        </w:tc>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Managing Director, Australia and New Zealand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-1169035</wp:posOffset>
            </wp:positionV>
            <wp:extent cx="7140575" cy="1174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1174115"/>
                    </a:xfrm>
                    <a:prstGeom prst="rect">
                      <a:avLst/>
                    </a:prstGeom>
                    <a:noFill/>
                  </pic:spPr>
                </pic:pic>
              </a:graphicData>
            </a:graphic>
          </wp:anchor>
        </w:drawing>
      </w:r>
    </w:p>
    <w:p>
      <w:pPr>
        <w:spacing w:after="0" w:line="36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Gilbert Avanes</w:t>
      </w:r>
      <w:r>
        <w:rPr>
          <w:rFonts w:ascii="Times New Roman" w:cs="Times New Roman" w:eastAsia="Times New Roman" w:hAnsi="Times New Roman"/>
          <w:sz w:val="20"/>
          <w:szCs w:val="20"/>
          <w:color w:val="auto"/>
        </w:rPr>
        <w:t>. Mr. Avanes serves as the Executive Vice President, Chief Financial Officer and Treasurer; he was appointed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 on November 5, 2019. Mr. Avanes has been an employee of and consultant to our Company since August 2007, most recently serving as Interim Chief Financial Officer and Treasurer of our Company, from January 24, 2019 through November 4, 2019. Prior thereto, Mr. Avanes served as our Vice President of Financial Planning and Analysis (January 2016 to January 2019), Senior Director of Financial</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Planning and Analysis (January 2012 to December 2015), and as a consultant and then Senior Finance Manager (August 2007 to December 2011). Prior to joining Reading, Mr. Avanes served in various finance and accounting roles over the course of a decade at Toronto-Dominion</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Bank Financial Group located in Toronto, Canada. Mr. Avanes is a Certified Public Accountant (U.S.) and Chartered Professional Accountant (CPA, CGA) (Canada) and has a Master of Business Administration from Laurentian University and a Bachelor of Commerce (Major in Accounting and Minor in Finance) from Toronto Metropolitan University.</w:t>
      </w:r>
    </w:p>
    <w:p>
      <w:pPr>
        <w:spacing w:after="0" w:line="17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u w:val="single" w:color="auto"/>
          <w:color w:val="auto"/>
        </w:rPr>
        <w:t>Robert F. Smerling</w:t>
      </w:r>
      <w:r>
        <w:rPr>
          <w:rFonts w:ascii="Times New Roman" w:cs="Times New Roman" w:eastAsia="Times New Roman" w:hAnsi="Times New Roman"/>
          <w:sz w:val="20"/>
          <w:szCs w:val="20"/>
          <w:color w:val="auto"/>
        </w:rPr>
        <w:t>. Mr. Smerling has served as President of our US cinema operations since 1994. He has been involved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and/or development of all of our existing domestic cinemas. Prior to joining our Company, Mr. Smerling was the President of</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Loews Theatres,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grossing cinemas in the United States. Prior to Mr. Smerling's employment at Loews, he was Vice Chair of USA Cinemas in Boston, and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President of Cinemanational Theatres. Mr. Smerling, a recognized leader in our industry, has been a director of the National Association of Theatre Owners, the principal trade group representing the cinema exhibition industry. In recognition of his contributions to the movie</w:t>
      </w:r>
    </w:p>
    <w:p>
      <w:pPr>
        <w:spacing w:after="0" w:line="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cinema exhibition industry, Mr. Smerling was honored at The Motion Picture Club Charity Event in June 2023 in New York City and in 2024 he was further honored with the Bingham Ray Independent Spirit Award at the ShowEast Convention in Miami.</w:t>
      </w:r>
    </w:p>
    <w:p>
      <w:pPr>
        <w:spacing w:after="0" w:line="17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u w:val="single" w:color="auto"/>
          <w:color w:val="auto"/>
        </w:rPr>
        <w:t>S. Craig Tompkins</w:t>
      </w:r>
      <w:r>
        <w:rPr>
          <w:rFonts w:ascii="Times New Roman" w:cs="Times New Roman" w:eastAsia="Times New Roman" w:hAnsi="Times New Roman"/>
          <w:sz w:val="20"/>
          <w:szCs w:val="20"/>
          <w:color w:val="auto"/>
        </w:rPr>
        <w:t>. Mr. Tompkins has worked in various capacities for our Company and its predecessors for more than the past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thirty-two (32) years. He has served as Vice Chair of our Company and as the President of two of its predecessors’ public companies, as a</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consultant and outside counsel and, since 2017, as Executive Vice President and General Counsel. Prior to his employment at our Company, Mr. Tompkins was a partner at Gibson, Dunn &amp; Crutcher. Mr. Tompkins served on the Board of Directors of HomeStreet, Inc. and of its wholly owned subsidiary, Homestreet Bank from May 2023 until the company’s merger with Mechanic’s Bank in October 2025. Between 2007 and December 2022, Mr. Tompkins was a principal equity holder in and the Chair of Marshall &amp; Stevens, Incorporated, a privately held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valuation and consulting firm specializing in the valuation of real estate, business enterprises and alternative energy assets. In December 2022, Mr. Tompkins sold his interest in Marshall &amp; Stevens and retired from its Board of Directors.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20"/>
          <w:szCs w:val="20"/>
          <w:color w:val="auto"/>
        </w:rPr>
        <w:t>Tompkins currently continues to provide consulting services to Marshall &amp; Stevens, serving as the chair of its Fairness and Solvency Opinion Committee. From 1993 to 2006 (when the company went private), Mr. Tompkins served as a director and as the Chair of the Audit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Committee of G&amp;L Realty (an NYSE REIT specializing in medical properties), and from 1998 to 2001 (when the bank was sold) as a member of the Board of Directors, of the Compensation Committee, and of the Special Independent Committee of Fidelity Federal Bank,</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FSB. Mr. Tompkins is also the Chair and Chief Executive Officer of Kirtland Farms, Inc. (a Tompkins family-owned real estate operation (principally agricultural) in Southern Oregon). Mr. Tompkins holds a Bachelor of Arts (Magna Cum Laude) from Claremont McKenna College, and a Juris Doctorate (Magna Cum Laude) from the Harvard Law School, where he was on the Board of Student Advisors and served as research assistance to Professor James Casner (then serving as the Reporter to the Restatement of Property 2nd). Following</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Harvard Law School, Mr. Tompkins served as law clerk to the Honorable Justice Dean Bryson on the Oregon Supreme Court, before joining Gibson, Dunn &amp; Crutcher.</w:t>
      </w:r>
    </w:p>
    <w:p>
      <w:pPr>
        <w:spacing w:after="0" w:line="17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u w:val="single" w:color="auto"/>
          <w:color w:val="auto"/>
        </w:rPr>
        <w:t>John Goeddel</w:t>
      </w:r>
      <w:r>
        <w:rPr>
          <w:rFonts w:ascii="Times New Roman" w:cs="Times New Roman" w:eastAsia="Times New Roman" w:hAnsi="Times New Roman"/>
          <w:sz w:val="20"/>
          <w:szCs w:val="20"/>
          <w:color w:val="auto"/>
        </w:rPr>
        <w:t>. Mr. Goeddel serves as our Executive Vice President, Chief Information Officer; he was appointed to this position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8, 2021. Mr. Goeddel has been an employee of our Company since December 2003, most recently serving as Vice President, Chief Information Officer. Prior thereto, Mr. Goeddel served as our Chief Information Officer (2016), Director of Information Technology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(December 2003 to 2016). Mr. Goeddel brings over forty-two (42) years of information technology and cinema operations experience. Prior to joining Reading, Mr. Goeddel served in various information technology and cinema operation roles over the course of 26 years at</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Decurion located in Beverly Hills, CA. Mr. Goeddel has a Bachelors in Business Administration with an IT concentration from Colorado Technical University.</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Terri Moore.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Ms. Moore serves as the Executive Vice President, US Cinema Operations; she was appointed to this position on</w:t>
      </w:r>
    </w:p>
    <w:p>
      <w:pPr>
        <w:spacing w:after="0" w:line="1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December 8, 2021. Ms. Moore joined our Company in 2001 in New York as Director of Theatre Operations, and in 2008 moved to Los Angeles to become Vice President-US Cinema Operations. Ms. Moore started her career in the motion picture theatre business as an hourly</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concession employee in 1968. A year later she joined Pacific Theatres where she held many different executive positions, including general manager, district manager, HR training &amp; development and Special Project Manager for their theatre operations in Warsaw, Poland. Terri lived in Poland for three years and was responsible for the opening of one of Poland’s first modernized cinema circuits.</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b w:val="1"/>
          <w:bCs w:val="1"/>
          <w:u w:val="single" w:color="auto"/>
          <w:color w:val="auto"/>
        </w:rPr>
        <w:t>Steven J. Lucas</w:t>
      </w:r>
      <w:r>
        <w:rPr>
          <w:rFonts w:ascii="Times New Roman" w:cs="Times New Roman" w:eastAsia="Times New Roman" w:hAnsi="Times New Roman"/>
          <w:sz w:val="19"/>
          <w:szCs w:val="19"/>
          <w:color w:val="auto"/>
        </w:rPr>
        <w:t>. Mr. Lucas serves as our Vice President, Controller and Chief Accounting Officer; he was appointed to this position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2015. From 2011 to 2015, Mr. Lucas worked in our accounting group holding the role of Asia Pacific Controller. Prior to joining our</w:t>
      </w:r>
    </w:p>
    <w:p>
      <w:pPr>
        <w:jc w:val="both"/>
        <w:spacing w:after="0" w:line="230" w:lineRule="auto"/>
        <w:rPr>
          <w:sz w:val="20"/>
          <w:szCs w:val="20"/>
          <w:color w:val="auto"/>
        </w:rPr>
      </w:pPr>
      <w:r>
        <w:rPr>
          <w:rFonts w:ascii="Times New Roman" w:cs="Times New Roman" w:eastAsia="Times New Roman" w:hAnsi="Times New Roman"/>
          <w:sz w:val="20"/>
          <w:szCs w:val="20"/>
          <w:color w:val="auto"/>
        </w:rPr>
        <w:t>Company, Mr. Lucas worked for Arthur Andersen and Ernst &amp; Young for more than sixteen (16) years. He is a Chartered Accountant and has been a member of Chartered Accountants Australia and New Zealand for over twenty-eight (28) years. He holds a Bachelor’s Degree in English Literature and History from Victoria University of Wellington, and a Post Graduate Diploma in Accounting from the Graduate School of Business and Government Administration of Victoria University of Wellington.</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Mark D. Douglas.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Mr. Douglas serves as our Managing Director, Australia and New Zealand, overseeing our international cinema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real estate operations. Mr. Douglas first joined our Company in 1999, and was appointed as 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finance team, moving into the role of National Operations Manager for our cinema division in 2001. Prior to joining our Company, Mr. Douglas worked for Myer Stores, a retail department store chain, in various business management and administration roles. Mr. Douglas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earned a Master’s Degree in Business Administration from Deakin University, Geelong Victoria and is a registered Certified Practicing Accountant with CPA Australia.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Section 16(a) Reports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filings. Based solely on our review of the copies received by us and on the written representations of certain reporting persons, we believe that all of our executive officers and Directors, and greater than 10% beneficial owners, complied with the reporting requirements of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16(a)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Code of Business Conduct and Ethics</w:t>
      </w:r>
    </w:p>
    <w:p>
      <w:pPr>
        <w:spacing w:after="0" w:line="19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Our Board has adopted a Code of Business Conduct and Ethics (the “Code of Conduct”) designed to help our Directors and employees resolve ethical issues. Our Code of Conduct applies to all Directors and employees, including the Chief Executive Officer, the Chief Financial Officer, Chief Accounting Officer and Controller and persons performing similar functions. Our Code of Conduct is posted on our website at </w:t>
      </w:r>
      <w:r>
        <w:rPr>
          <w:rFonts w:ascii="Times New Roman" w:cs="Times New Roman" w:eastAsia="Times New Roman" w:hAnsi="Times New Roman"/>
          <w:sz w:val="20"/>
          <w:szCs w:val="20"/>
          <w:u w:val="single" w:color="auto"/>
          <w:color w:val="0000FF"/>
        </w:rPr>
        <w:t>Investor Relations - Corporate Governance - Code of Conduct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Our Board has established a means for employees to report a violation or suspected violation of the Code of Conduct anonymously. In addition, we have adopted the “Amended and Restated Whistleblower Policy and Procedures”, which establishes a process by which</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employees may anonymously disclose alleged fraud or violations of accounting, internal accounting controls or auditing matters. The Amended and Restated Whistleblower Policy and Procedures can be found on our website at </w:t>
      </w:r>
      <w:r>
        <w:rPr>
          <w:rFonts w:ascii="Times New Roman" w:cs="Times New Roman" w:eastAsia="Times New Roman" w:hAnsi="Times New Roman"/>
          <w:sz w:val="20"/>
          <w:szCs w:val="20"/>
          <w:u w:val="single" w:color="auto"/>
          <w:color w:val="0000FF"/>
        </w:rPr>
        <w:t>Investor Relations - Corporate Governance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Whistleblower Policy</w:t>
      </w:r>
      <w:r>
        <w:rPr>
          <w:rFonts w:ascii="Times New Roman" w:cs="Times New Roman" w:eastAsia="Times New Roman" w:hAnsi="Times New Roman"/>
          <w:sz w:val="20"/>
          <w:szCs w:val="20"/>
          <w:color w:val="000000"/>
        </w:rPr>
        <w: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Our Board has also adopted an Anti-Discrimination, Anti-Harassment and Anti-Bullying Policy, which can also be found on our website at </w:t>
      </w:r>
      <w:r>
        <w:rPr>
          <w:rFonts w:ascii="Times New Roman" w:cs="Times New Roman" w:eastAsia="Times New Roman" w:hAnsi="Times New Roman"/>
          <w:sz w:val="20"/>
          <w:szCs w:val="20"/>
          <w:u w:val="single" w:color="auto"/>
          <w:color w:val="0000FF"/>
        </w:rPr>
        <w:t>Investor Relations - Corporate Governance - Anti-Discrimination, Anti-Harassment and Anti-Bulling Policy</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Nomination Procedures</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There have been no material changes to the procedures by which stockholders may recommend nominees to our Board since we last disclosed this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Audit and Conflicts Committee</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The Audit Committee operates pursuant to a Charter adopted by our Board that is available on our website at </w:t>
      </w:r>
      <w:r>
        <w:rPr>
          <w:rFonts w:ascii="Times New Roman" w:cs="Times New Roman" w:eastAsia="Times New Roman" w:hAnsi="Times New Roman"/>
          <w:sz w:val="20"/>
          <w:szCs w:val="20"/>
          <w:u w:val="single" w:color="auto"/>
          <w:color w:val="0000FF"/>
        </w:rPr>
        <w:t>Investor Relations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Corporate Governance - Audit and Conflicts Committee Charter</w:t>
      </w:r>
      <w:r>
        <w:rPr>
          <w:rFonts w:ascii="Times New Roman" w:cs="Times New Roman" w:eastAsia="Times New Roman" w:hAnsi="Times New Roman"/>
          <w:sz w:val="20"/>
          <w:szCs w:val="20"/>
          <w:color w:val="000000"/>
        </w:rPr>
        <w:t>. The Audit Committee reviews, considers, negotiates and approves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disapproves related party transactions (see the discussion in the section entitled “Certain Relationships and Related Party Transactions” below). In addition, the Audit Committee is responsible for, among other things: (i) reviewing and discussing with management our</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Company's financial statements, earnings press releases and all internal controls reports, (ii) appointing, compensating and overseeing the work performed by our Company's independent auditors, and (iii) reviewing with the independent auditors the findings of their audits.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Our Board has determined that the Audit Committee is composed entirely of Independent Directors (as defined in section 5605(a)(2)</w:t>
      </w:r>
    </w:p>
    <w:p>
      <w:pPr>
        <w:spacing w:after="0" w:line="2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of the Nasdaq Listing Rules and Rule 10A-3(b)(1) of the Exchange Act), and that Mr. Douglas McEachern, the Chair of our Audit Committee, is qualified as an Audit Committee Financial Expert. Our Audit Committee is currently composed of Directors Douglas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McEachern, who serves as Chair, Guy W. Adams and Dr. Judy Codding. The Audit Committee held ten (10) meetings during 2025. All members attended at least 75% of such meetings.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 and Stock Options Committee</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 xml:space="preserve">The Compensation Committee operates pursuant to a Charter adopted by our Board that is available on our website at </w:t>
      </w:r>
      <w:r>
        <w:rPr>
          <w:rFonts w:ascii="Times New Roman" w:cs="Times New Roman" w:eastAsia="Times New Roman" w:hAnsi="Times New Roman"/>
          <w:sz w:val="19"/>
          <w:szCs w:val="19"/>
          <w:u w:val="single" w:color="auto"/>
          <w:color w:val="0000FF"/>
        </w:rPr>
        <w:t>Investor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Relations - Corporate Governance - Compensation and Stock Options Committee Charter</w:t>
      </w:r>
      <w:r>
        <w:rPr>
          <w:rFonts w:ascii="Times New Roman" w:cs="Times New Roman" w:eastAsia="Times New Roman" w:hAnsi="Times New Roman"/>
          <w:sz w:val="19"/>
          <w:szCs w:val="19"/>
          <w:color w:val="000000"/>
        </w:rPr>
        <w:t>. As a “controlled company”, we are exempt from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Nasdaq Listing Rules requiring the determination of executive compensation solely by independent directors. Notwithstanding such exemption, our Board has established a standing Compensation Committee consisting of three (3) of our Independent Directors (as defined in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section 5605(a)(2) of the Nasdaq Listing Rules and Rule 10C-1(b)(1) of the Exchange Act), and is currently composed of Directors Dr. Judy Codding, who serves as Chair, Guy W. Adams and Mr. Douglas McEachern. For more information on our Compensation Committee, see</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Item 11 – Executive Compensation – Compensation Overview below. Our Compensation Committee held thirteen (13) meetings during 2025. All members attended at least 75% of such meetings.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Insider Trading Policy</w:t>
      </w:r>
    </w:p>
    <w:p>
      <w:pPr>
        <w:spacing w:after="0" w:line="19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We have adopted an Insider Trading Policy and an Amended and Restated Supplemental Policy Concerning Trading in Company Securities by Designated Persons which govern the purchase, sale and other dispositions of our securities by our directors, executive officers, and certain employees that we believe are reasonably designed to promote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 w:name="page9"/>
    <w:bookmarkEnd w:id="8"/>
    <w:p>
      <w:pPr>
        <w:jc w:val="both"/>
        <w:spacing w:after="0"/>
        <w:rPr>
          <w:sz w:val="20"/>
          <w:szCs w:val="20"/>
          <w:color w:val="auto"/>
        </w:rPr>
      </w:pPr>
      <w:r>
        <w:rPr>
          <w:rFonts w:ascii="Times New Roman" w:cs="Times New Roman" w:eastAsia="Times New Roman" w:hAnsi="Times New Roman"/>
          <w:sz w:val="20"/>
          <w:szCs w:val="20"/>
          <w:color w:val="auto"/>
        </w:rPr>
        <w:t>with insider trading laws, rules and regulations and listing standards applicable to us. The Insider Trading Policy is filed with the SEC as Exhibit 19.1 to the 2025 Form 10-K. The Amended and Restated Supplemental Policy Concerning Trading in Company Securities by Designated Persons is filed with the SEC as Exhibit 19.2 to the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Item 11 – 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Overview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and Authority of the Compensation Committee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19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As a “controlled company,” we are exempt from the requirement under the Nasdaq Listing Rules requiring the determination of executive compensation solely by independent directors. Notwithstanding such exemption, our Board established a standing Compensation Committee consisting of three (3) of our Independent Directors. Our Compensation Committee discharges the Board’s responsibilities relating to the compensation of our CEO and other identified executive officers, administers our equity-based compensation plans and reviews certain disclosures, including this one. Committee members must meet the independence rules and regulations of the SEC and the Nasdaq Stock Market (“Nasdaq”).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Our Executive Compensation Philosophy</w:t>
      </w:r>
    </w:p>
    <w:p>
      <w:pPr>
        <w:spacing w:after="0" w:line="206"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19"/>
          <w:szCs w:val="19"/>
          <w:color w:val="auto"/>
        </w:rPr>
        <w:t>Our Compensation Committee historically executed based on an executive compensation philosophy that was intended to: (1) attract and retain talented and dedicated management team members; (2) provide overall compensation competitive with our industry peers; (3)</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correlate annual cash bonuses to the achievement of our business and financial objectives; and (4) provide management team members with appropriate long-term incentives aligned with stockholder value. Our Compensation Committee believed that the entire executive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compensation package contributed to these goals: our base salaries generally supported goals 1 and 2 above, our short-term incentive (“STI”) bonuses generally supported goals 1, 2 and 3 above, and our long-term incentives (“LTI”) historically generally supported goals 1, 2 and 4 above.</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However, the global pandemic and other factors mentioned below have materially impacted our Company’s business operations. Our Compensation Committee, with the support of our Chair and CEO, have modified the execution of our executive compensation approach. In</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addition to the long-lasting effects of the global pandemic which began in early 2020, our business has been materially impacted by, among other factors, the 2023 Hollywood Strikes, material inflation increases, and higher interest rates, as well as other factors described in more detail in our Annual Report on Form 10-K. These factors, including our need to reduce maturing indebtedness, have impacted our liquidity.</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Our Compensation Committee has endeavored to be responsible stewards of our cash and to align executive compensation with our Company’s stockholders. For these reasons, our Compensation Committee has continued to consider and approve management recommended</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goals for our senior executive team, but, in alignment with the best interest of our Company, our Compensation Committee has not paid cash bonuses (STIs) to our senior executive team since 2022. Instead, our Compensation Committee has relied exclusively on equity-based grants under our approved equity compensation plans in lieu of cash bonuses. Further, our Compensation Committee has not granted new LTI</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awards since 2023. From a dilution point of view, the Compensation Committee believes that the increase in equity based grants to satisfy the STI component on our overall compensation plan has been offset by the decision not to grant LTI awards.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As our Company’s business operations and liquidity recover and strengthen, our Compensation Committee hopes to return to the pre-pandemic structure of executive compensation approaches.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 Committee Charter</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20"/>
          <w:szCs w:val="20"/>
          <w:color w:val="auto"/>
        </w:rPr>
        <w:t>Our Compensation Committee Charter delegates significant executive compensation responsibilities to our Compensation Committee, including:</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to establish our compensation philosophy and objectives;</w:t>
      </w:r>
    </w:p>
    <w:p>
      <w:pPr>
        <w:spacing w:after="0" w:line="28" w:lineRule="exact"/>
        <w:rPr>
          <w:sz w:val="20"/>
          <w:szCs w:val="20"/>
          <w:color w:val="auto"/>
        </w:rPr>
      </w:pPr>
    </w:p>
    <w:p>
      <w:pPr>
        <w:ind w:left="340"/>
        <w:spacing w:after="0" w:line="182" w:lineRule="auto"/>
        <w:rPr>
          <w:sz w:val="20"/>
          <w:szCs w:val="20"/>
          <w:color w:val="auto"/>
        </w:rPr>
      </w:pPr>
      <w:r>
        <w:rPr>
          <w:rFonts w:ascii="Times New Roman" w:cs="Times New Roman" w:eastAsia="Times New Roman" w:hAnsi="Times New Roman"/>
          <w:sz w:val="19"/>
          <w:szCs w:val="19"/>
          <w:color w:val="auto"/>
        </w:rPr>
        <w:t>to review and approve all compensation for our CEO and our executive officers</w:t>
      </w: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9"/>
          <w:szCs w:val="19"/>
          <w:color w:val="auto"/>
        </w:rPr>
        <w:t>;</w:t>
      </w:r>
    </w:p>
    <w:p>
      <w:pPr>
        <w:spacing w:after="0" w:line="233" w:lineRule="auto"/>
        <w:rPr>
          <w:sz w:val="20"/>
          <w:szCs w:val="20"/>
          <w:color w:val="auto"/>
        </w:rPr>
      </w:pPr>
      <w:r>
        <w:rPr>
          <w:rFonts w:ascii="Times New Roman" w:cs="Times New Roman" w:eastAsia="Times New Roman" w:hAnsi="Times New Roman"/>
          <w:sz w:val="14"/>
          <w:szCs w:val="14"/>
          <w:b w:val="1"/>
          <w:bCs w:val="1"/>
          <w:u w:val="single" w:color="auto"/>
          <w:color w:val="auto"/>
        </w:rPr>
        <w:t>______________________</w:t>
      </w:r>
    </w:p>
    <w:p>
      <w:pPr>
        <w:spacing w:after="0" w:line="17" w:lineRule="exact"/>
        <w:rPr>
          <w:sz w:val="20"/>
          <w:szCs w:val="20"/>
          <w:color w:val="auto"/>
        </w:rPr>
      </w:pPr>
    </w:p>
    <w:p>
      <w:pPr>
        <w:ind w:right="20" w:firstLine="8"/>
        <w:spacing w:after="0" w:line="192" w:lineRule="auto"/>
        <w:tabs>
          <w:tab w:leader="none" w:pos="103"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0" w:name="page11"/>
    <w:bookmarkEnd w:id="10"/>
    <w:p>
      <w:pPr>
        <w:ind w:left="660"/>
        <w:spacing w:after="0" w:line="236" w:lineRule="auto"/>
        <w:rPr>
          <w:sz w:val="20"/>
          <w:szCs w:val="20"/>
          <w:color w:val="auto"/>
        </w:rPr>
      </w:pPr>
      <w:r>
        <w:rPr>
          <w:rFonts w:ascii="Times New Roman" w:cs="Times New Roman" w:eastAsia="Times New Roman" w:hAnsi="Times New Roman"/>
          <w:sz w:val="20"/>
          <w:szCs w:val="20"/>
          <w:color w:val="auto"/>
        </w:rPr>
        <w:t>to approve all employment agreements, severance arrangements, change in control provisions and agreements and any special or supplemental benefits applicable to our CEO and other executive officers;</w:t>
      </w:r>
    </w:p>
    <w:p>
      <w:pPr>
        <w:spacing w:after="0" w:line="2" w:lineRule="exact"/>
        <w:rPr>
          <w:sz w:val="20"/>
          <w:szCs w:val="20"/>
          <w:color w:val="auto"/>
        </w:rPr>
      </w:pPr>
    </w:p>
    <w:p>
      <w:pPr>
        <w:ind w:left="660"/>
        <w:spacing w:after="0" w:line="232" w:lineRule="auto"/>
        <w:rPr>
          <w:sz w:val="20"/>
          <w:szCs w:val="20"/>
          <w:color w:val="auto"/>
        </w:rPr>
      </w:pPr>
      <w:r>
        <w:rPr>
          <w:rFonts w:ascii="Times New Roman" w:cs="Times New Roman" w:eastAsia="Times New Roman" w:hAnsi="Times New Roman"/>
          <w:sz w:val="20"/>
          <w:szCs w:val="20"/>
          <w:color w:val="auto"/>
        </w:rPr>
        <w:t>to approve and adopt, on behalf of our Board, incentive compensation and equity-based compensation plans, or, in the case of plans requiring stockholder approval, to review and recommend such plan to the stockholders;</w:t>
      </w:r>
    </w:p>
    <w:p>
      <w:pPr>
        <w:ind w:left="660"/>
        <w:spacing w:after="0" w:line="232" w:lineRule="auto"/>
        <w:rPr>
          <w:sz w:val="20"/>
          <w:szCs w:val="20"/>
          <w:color w:val="auto"/>
        </w:rPr>
      </w:pPr>
      <w:r>
        <w:rPr>
          <w:rFonts w:ascii="Times New Roman" w:cs="Times New Roman" w:eastAsia="Times New Roman" w:hAnsi="Times New Roman"/>
          <w:sz w:val="20"/>
          <w:szCs w:val="20"/>
          <w:color w:val="auto"/>
        </w:rPr>
        <w:t>to review the disclosures made in the Compensation Overview and advise our Board whether the Compensation Overview is satisfactory for inclusion in our annual report on Form 10-K and proxy statement;</w:t>
      </w:r>
    </w:p>
    <w:p>
      <w:pPr>
        <w:ind w:left="340"/>
        <w:spacing w:after="0"/>
        <w:rPr>
          <w:sz w:val="20"/>
          <w:szCs w:val="20"/>
          <w:color w:val="auto"/>
        </w:rPr>
      </w:pPr>
      <w:r>
        <w:rPr>
          <w:rFonts w:ascii="Times New Roman" w:cs="Times New Roman" w:eastAsia="Times New Roman" w:hAnsi="Times New Roman"/>
          <w:sz w:val="20"/>
          <w:szCs w:val="20"/>
          <w:color w:val="auto"/>
        </w:rPr>
        <w:t>to prepare an annual compensation committee report for inclusion in our proxy statement for the annual meeting of stockholders;</w:t>
      </w:r>
    </w:p>
    <w:p>
      <w:pPr>
        <w:ind w:left="660"/>
        <w:spacing w:after="0" w:line="225" w:lineRule="auto"/>
        <w:rPr>
          <w:sz w:val="20"/>
          <w:szCs w:val="20"/>
          <w:color w:val="auto"/>
        </w:rPr>
      </w:pPr>
      <w:r>
        <w:rPr>
          <w:rFonts w:ascii="Times New Roman" w:cs="Times New Roman" w:eastAsia="Times New Roman" w:hAnsi="Times New Roman"/>
          <w:sz w:val="20"/>
          <w:szCs w:val="20"/>
          <w:color w:val="auto"/>
        </w:rPr>
        <w:t>to administer our equity-based compensation plans, including the grant of stock options and other equity awards under such plans; and</w:t>
      </w:r>
    </w:p>
    <w:p>
      <w:pPr>
        <w:ind w:left="660"/>
        <w:spacing w:after="0" w:line="236" w:lineRule="auto"/>
        <w:rPr>
          <w:sz w:val="20"/>
          <w:szCs w:val="20"/>
          <w:color w:val="auto"/>
        </w:rPr>
      </w:pPr>
      <w:r>
        <w:rPr>
          <w:rFonts w:ascii="Times New Roman" w:cs="Times New Roman" w:eastAsia="Times New Roman" w:hAnsi="Times New Roman"/>
          <w:sz w:val="20"/>
          <w:szCs w:val="20"/>
          <w:color w:val="auto"/>
        </w:rPr>
        <w:t>to consider the results of the most recent stockholder advisory vote on executive compensation when determining compensation policies and making decisions on executive compensation.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Under our Compensation Committee Charter, any compensation determinations pertaining to Ellen M. Cotter and Margaret Cotter are</w:t>
      </w:r>
    </w:p>
    <w:p>
      <w:pPr>
        <w:spacing w:after="0" w:line="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subject to review and approval by our Board, excluding, in each case, the votes of Ellen M. Cotter or Margaret Cotter. Further, our Compensation Committee periodically reviews and makes recommendations to our Board regarding Director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 Setting Process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Considering the Company’s 2025 liquidity condition, the continuing headwinds faced by our global cinema business and our efforts</w:t>
      </w:r>
    </w:p>
    <w:p>
      <w:pPr>
        <w:spacing w:after="0" w:line="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to manage and utilize our real estate business for cash flow and liquidity sources, our Compensation Committee continued to execute Named Executive Officers (“NEOs”) compensation decisions in a conservative and prudent manner for 2025. Our Compensation Committee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reviewed the potential for base salary adjustments, STI cash bonuses and LTI equity grants. In its analysis, our Compensation Committee relied on, among other things, input from our Chief Executive Officer, review of Company financial data, review of historical NEO compensation data and the 2025 performance of the Company and individuals against certain goals set by the Compensation Committee in early 2025.</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2025 year, our Compensation Committee:</w:t>
      </w:r>
    </w:p>
    <w:p>
      <w:pPr>
        <w:spacing w:after="0" w:line="202" w:lineRule="exact"/>
        <w:rPr>
          <w:sz w:val="20"/>
          <w:szCs w:val="20"/>
          <w:color w:val="auto"/>
        </w:rPr>
      </w:pPr>
    </w:p>
    <w:p>
      <w:pPr>
        <w:ind w:left="1300" w:right="20" w:hanging="320"/>
        <w:spacing w:after="0" w:line="255"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Maintained, without base salary increases, existing annual base salaries through 2025 for our NEOs (such salary compensation has been flat since 2023);</w:t>
      </w:r>
    </w:p>
    <w:p>
      <w:pPr>
        <w:spacing w:after="0" w:line="159" w:lineRule="exact"/>
        <w:rPr>
          <w:rFonts w:ascii="Times New Roman" w:cs="Times New Roman" w:eastAsia="Times New Roman" w:hAnsi="Times New Roman"/>
          <w:sz w:val="20"/>
          <w:szCs w:val="20"/>
          <w:color w:val="auto"/>
        </w:rPr>
      </w:pPr>
    </w:p>
    <w:p>
      <w:pPr>
        <w:jc w:val="both"/>
        <w:ind w:left="1300" w:hanging="320"/>
        <w:spacing w:after="0" w:line="227"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it does annually, approved in early 2025 objective performance goals for each NEO based on target Company performance and individual NEO performance goals. In early 2026, our Compensation Committee evaluated such Company and individual NEO performance goals against 2025 results. Following its review of the 2025 performance of the Company Goal and NEO performance goals, and, taking into account, the Company’s trading and liquidity conditions, the Compensation Committee did not issue cash bonuses under our STI program, rather it issued Class A Non-Voting Common Stock Restricted Stock Units with a one year vesting period in lieu of cash in amounts tied to the percentage goal attainment by executive.</w:t>
      </w:r>
    </w:p>
    <w:p>
      <w:pPr>
        <w:spacing w:after="0" w:line="17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Did not issue new LTI awards.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 addition, for the 2025 year, our Compensation Committee reviewed certain objective corporate performance criteria (i.e. Total</w:t>
      </w:r>
    </w:p>
    <w:p>
      <w:pPr>
        <w:spacing w:after="0" w:line="8"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Revenues and Adjusted EBITDA) and determined the percentage attainment for each criteria. The portion of outstanding Performance Restricted Stock Units (“PRSUs”) issued to NEOs prior to 2025 that were based on 2025 performance were evaluated and determined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been vested.</w:t>
      </w:r>
    </w:p>
    <w:p>
      <w:pPr>
        <w:spacing w:after="0" w:line="18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20"/>
          <w:szCs w:val="20"/>
          <w:color w:val="auto"/>
        </w:rPr>
        <w:t>Our Compensation Committee expects that it will continue to evaluate both executive performance and compensation to maintain our ability to attract and retain highly qualified executives in key positions and to assure that compensation provided to executives remains</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competitive when compared to the compensation paid to similarly situated executives of companies with whom we compete for executive talent or that we consider comparable to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Officer Clawback Policy</w:t>
      </w:r>
    </w:p>
    <w:p>
      <w:pPr>
        <w:spacing w:after="0" w:line="19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On November 29, 2023, our Board adopted an Executive Officer Clawback Policy, in compliance with Nasdaq Stock Market Listing Rules (the “2023 Clawback Policy”).</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Any STI cash payment made to our NEOs is subject to forfeiture, recovery by our Company or other action pursuant to any agreement evidencing any incentive compensation or any clawback or recoupment policy which our Company may adopt from time to time,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including, without limitation, our 2023 Clawback Policy or any other such policy which our Company may be required to adopt under the listing rules of The Nasdaq Capital Market, the Dodd-Frank Wall Street Reform and Consumer Protection Act or any successor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replacement law, and implementing rules and regulations thereunder, or as otherwise required by law.</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Under our 2020 Stock Plan, described in greater detail under the caption “2020 Stock Incentive Plan” below, all LTIs or shares issued in respect thereof and cash or other proceeds in respect thereof issued to our NEOs are subject to clawback, reduction, cancelation, forfeiture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and recoupment to the extent necessary to comply with applicable law or the listing rules of Nasdaq or other principal stock exchange on which our Common Stock is then listed. In accepting an award under our 2020 Stock Plan, a participant agrees to be bound by any such</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clawback. Our 2023 Clawback Policy implements the Nasdaq Listing Rules in this regard. A copy of our policy has been filed as Exhibit 97.1 to Amendment No. 1 to our Report on Form 10-K for the year ended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Anti-Put/Call/Short Sale Policy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NEOs may not trade in puts or calls or engage in short sales with respect to our Company’s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Anti-Hedging Policy</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Our NEOs may not engage in certain hedging transactions with respect to our Company’s securities, such as zero-cost collars, equity swaps, prepaid variable forward contracts and exchange funds.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Compensation</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This section discusses the material components of the compensation program for our NEOs named in the Summary Compensation Table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Summary Compensation Table</w:t>
      </w:r>
    </w:p>
    <w:p>
      <w:pPr>
        <w:spacing w:after="0" w:line="20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The following table shows the compensation paid or accrued during the last two fiscal years ended December 31, 2024 and December 31, 2025, to (i) Vice-Chair Ellen Cotter, who has served as our principal executive officer, and (ii) the other two most highly compensated persons who served as executive officers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0"/>
          <w:szCs w:val="20"/>
          <w:color w:val="auto"/>
        </w:rPr>
        <w:t>The following executives are herein referred to as our “NEOs.”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740" w:type="dxa"/>
            <w:vAlign w:val="bottom"/>
            <w:tcBorders>
              <w:top w:val="single" w:sz="8" w:color="auto"/>
              <w:left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jc w:val="center"/>
              <w:ind w:right="92"/>
              <w:spacing w:after="0" w:line="180" w:lineRule="exact"/>
              <w:rPr>
                <w:sz w:val="20"/>
                <w:szCs w:val="20"/>
                <w:color w:val="auto"/>
              </w:rPr>
            </w:pPr>
            <w:r>
              <w:rPr>
                <w:rFonts w:ascii="Times New Roman" w:cs="Times New Roman" w:eastAsia="Times New Roman" w:hAnsi="Times New Roman"/>
                <w:sz w:val="18"/>
                <w:szCs w:val="18"/>
                <w:b w:val="1"/>
                <w:bCs w:val="1"/>
                <w:color w:val="auto"/>
                <w:w w:val="98"/>
              </w:rPr>
              <w:t>Restricted</w:t>
            </w:r>
          </w:p>
        </w:tc>
        <w:tc>
          <w:tcPr>
            <w:tcW w:w="1100" w:type="dxa"/>
            <w:vAlign w:val="bottom"/>
            <w:tcBorders>
              <w:top w:val="single" w:sz="8" w:color="auto"/>
              <w:right w:val="single" w:sz="8" w:color="auto"/>
            </w:tcBorders>
          </w:tcPr>
          <w:p>
            <w:pPr>
              <w:jc w:val="center"/>
              <w:ind w:right="72"/>
              <w:spacing w:after="0" w:line="180"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520" w:type="dxa"/>
            <w:vAlign w:val="bottom"/>
            <w:tcBorders>
              <w:top w:val="single" w:sz="8" w:color="auto"/>
              <w:right w:val="single" w:sz="8" w:color="auto"/>
            </w:tcBorders>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Non-Equity</w:t>
            </w:r>
          </w:p>
        </w:tc>
        <w:tc>
          <w:tcPr>
            <w:tcW w:w="1560" w:type="dxa"/>
            <w:vAlign w:val="bottom"/>
            <w:tcBorders>
              <w:top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ind w:right="92"/>
              <w:spacing w:after="0" w:line="189"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tcBorders>
              <w:right w:val="single" w:sz="8" w:color="auto"/>
            </w:tcBorders>
          </w:tcPr>
          <w:p>
            <w:pPr>
              <w:jc w:val="center"/>
              <w:ind w:right="52"/>
              <w:spacing w:after="0" w:line="189" w:lineRule="exact"/>
              <w:rPr>
                <w:sz w:val="20"/>
                <w:szCs w:val="20"/>
                <w:color w:val="auto"/>
              </w:rPr>
            </w:pPr>
            <w:r>
              <w:rPr>
                <w:rFonts w:ascii="Times New Roman" w:cs="Times New Roman" w:eastAsia="Times New Roman" w:hAnsi="Times New Roman"/>
                <w:sz w:val="18"/>
                <w:szCs w:val="18"/>
                <w:b w:val="1"/>
                <w:bCs w:val="1"/>
                <w:color w:val="auto"/>
                <w:w w:val="98"/>
              </w:rPr>
              <w:t>Awards ($)</w:t>
            </w:r>
          </w:p>
        </w:tc>
        <w:tc>
          <w:tcPr>
            <w:tcW w:w="1520" w:type="dxa"/>
            <w:vAlign w:val="bottom"/>
            <w:tcBorders>
              <w:right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5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20" w:type="dxa"/>
            <w:vAlign w:val="bottom"/>
            <w:tcBorders>
              <w:right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100" w:type="dxa"/>
            <w:vAlign w:val="bottom"/>
            <w:tcBorders>
              <w:right w:val="single" w:sz="8" w:color="auto"/>
            </w:tcBorders>
          </w:tcPr>
          <w:p>
            <w:pPr>
              <w:jc w:val="center"/>
              <w:ind w:right="32"/>
              <w:spacing w:after="0"/>
              <w:rPr>
                <w:sz w:val="20"/>
                <w:szCs w:val="20"/>
                <w:color w:val="auto"/>
              </w:rPr>
            </w:pPr>
            <w:r>
              <w:rPr>
                <w:rFonts w:ascii="Times New Roman" w:cs="Times New Roman" w:eastAsia="Times New Roman" w:hAnsi="Times New Roman"/>
                <w:sz w:val="15"/>
                <w:szCs w:val="15"/>
                <w:b w:val="1"/>
                <w:bCs w:val="1"/>
                <w:color w:val="auto"/>
              </w:rPr>
              <w:t>(1)</w:t>
            </w:r>
          </w:p>
        </w:tc>
        <w:tc>
          <w:tcPr>
            <w:tcW w:w="15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Compensation ($)</w:t>
            </w:r>
          </w:p>
        </w:tc>
        <w:tc>
          <w:tcPr>
            <w:tcW w:w="156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4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(1)</w:t>
            </w:r>
          </w:p>
        </w:tc>
        <w:tc>
          <w:tcPr>
            <w:tcW w:w="11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Compensation ($)</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Benefit ($)</w:t>
            </w:r>
          </w:p>
        </w:tc>
        <w:tc>
          <w:tcPr>
            <w:tcW w:w="10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shd w:val="clear" w:color="auto" w:fill="CEEEFA"/>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Ellen M. Cotter</w:t>
            </w:r>
          </w:p>
        </w:tc>
        <w:tc>
          <w:tcPr>
            <w:tcW w:w="740" w:type="dxa"/>
            <w:vAlign w:val="bottom"/>
            <w:tcBorders>
              <w:right w:val="single" w:sz="8" w:color="auto"/>
            </w:tcBorders>
            <w:shd w:val="clear" w:color="auto" w:fill="CEEEFA"/>
          </w:tcPr>
          <w:p>
            <w:pPr>
              <w:ind w:left="120"/>
              <w:spacing w:after="0" w:line="184" w:lineRule="exact"/>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right w:val="single" w:sz="8" w:color="auto"/>
            </w:tcBorders>
            <w:shd w:val="clear" w:color="auto" w:fill="CEEEFA"/>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618,000</w:t>
            </w:r>
          </w:p>
        </w:tc>
        <w:tc>
          <w:tcPr>
            <w:tcW w:w="1120" w:type="dxa"/>
            <w:vAlign w:val="bottom"/>
            <w:tcBorders>
              <w:right w:val="single" w:sz="8" w:color="auto"/>
            </w:tcBorders>
            <w:shd w:val="clear" w:color="auto" w:fill="CEEEFA"/>
          </w:tcPr>
          <w:p>
            <w:pPr>
              <w:jc w:val="center"/>
              <w:ind w:right="52"/>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shd w:val="clear" w:color="auto" w:fill="CEEEFA"/>
          </w:tcPr>
          <w:p>
            <w:pPr>
              <w:jc w:val="center"/>
              <w:ind w:right="32"/>
              <w:spacing w:after="0" w:line="184" w:lineRule="exact"/>
              <w:rPr>
                <w:sz w:val="20"/>
                <w:szCs w:val="20"/>
                <w:color w:val="auto"/>
              </w:rPr>
            </w:pPr>
            <w:r>
              <w:rPr>
                <w:rFonts w:ascii="Times New Roman" w:cs="Times New Roman" w:eastAsia="Times New Roman" w:hAnsi="Times New Roman"/>
                <w:sz w:val="18"/>
                <w:szCs w:val="18"/>
                <w:color w:val="auto"/>
                <w:w w:val="99"/>
              </w:rPr>
              <w:t>432,600</w:t>
            </w:r>
          </w:p>
        </w:tc>
        <w:tc>
          <w:tcPr>
            <w:tcW w:w="1520" w:type="dxa"/>
            <w:vAlign w:val="bottom"/>
            <w:tcBorders>
              <w:right w:val="single" w:sz="8" w:color="auto"/>
            </w:tcBorders>
            <w:shd w:val="clear" w:color="auto" w:fill="CEEEFA"/>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shd w:val="clear" w:color="auto" w:fill="CEEEFA"/>
          </w:tcPr>
          <w:p>
            <w:pPr>
              <w:jc w:val="center"/>
              <w:ind w:right="39"/>
              <w:spacing w:after="0" w:line="185" w:lineRule="exact"/>
              <w:rPr>
                <w:sz w:val="20"/>
                <w:szCs w:val="20"/>
                <w:color w:val="auto"/>
              </w:rPr>
            </w:pPr>
            <w:r>
              <w:rPr>
                <w:rFonts w:ascii="Times New Roman" w:cs="Times New Roman" w:eastAsia="Times New Roman" w:hAnsi="Times New Roman"/>
                <w:sz w:val="14"/>
                <w:szCs w:val="14"/>
                <w:color w:val="auto"/>
              </w:rPr>
              <w:t>4578</w:t>
            </w:r>
            <w:r>
              <w:rPr>
                <w:rFonts w:ascii="Times New Roman" w:cs="Times New Roman" w:eastAsia="Times New Roman" w:hAnsi="Times New Roman"/>
                <w:sz w:val="21"/>
                <w:szCs w:val="21"/>
                <w:color w:val="auto"/>
                <w:vertAlign w:val="superscript"/>
              </w:rPr>
              <w:t>(2)</w:t>
            </w:r>
          </w:p>
        </w:tc>
        <w:tc>
          <w:tcPr>
            <w:tcW w:w="1360" w:type="dxa"/>
            <w:vAlign w:val="bottom"/>
            <w:tcBorders>
              <w:right w:val="single" w:sz="8" w:color="auto"/>
            </w:tcBorders>
            <w:shd w:val="clear" w:color="auto" w:fill="CEEEFA"/>
          </w:tcPr>
          <w:p>
            <w:pPr>
              <w:jc w:val="right"/>
              <w:ind w:right="6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EEEFA"/>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9"/>
              </w:rPr>
              <w:t>1,055,178</w:t>
            </w:r>
          </w:p>
        </w:tc>
        <w:tc>
          <w:tcPr>
            <w:tcW w:w="0" w:type="dxa"/>
            <w:vAlign w:val="bottom"/>
          </w:tcPr>
          <w:p>
            <w:pPr>
              <w:spacing w:after="0"/>
              <w:rPr>
                <w:sz w:val="1"/>
                <w:szCs w:val="1"/>
                <w:color w:val="auto"/>
              </w:rPr>
            </w:pPr>
          </w:p>
        </w:tc>
      </w:tr>
      <w:tr>
        <w:trPr>
          <w:trHeight w:val="93"/>
        </w:trPr>
        <w:tc>
          <w:tcPr>
            <w:tcW w:w="1740" w:type="dxa"/>
            <w:vAlign w:val="bottom"/>
            <w:tcBorders>
              <w:left w:val="single" w:sz="8" w:color="auto"/>
              <w:bottom w:val="single" w:sz="8" w:color="CEEEFA"/>
              <w:right w:val="single" w:sz="8" w:color="auto"/>
            </w:tcBorders>
            <w:vMerge w:val="restart"/>
            <w:shd w:val="clear" w:color="auto" w:fill="CEEEFA"/>
          </w:tcPr>
          <w:p>
            <w:pPr>
              <w:ind w:left="120"/>
              <w:spacing w:after="0" w:line="169" w:lineRule="exact"/>
              <w:rPr>
                <w:sz w:val="20"/>
                <w:szCs w:val="20"/>
                <w:color w:val="auto"/>
              </w:rPr>
            </w:pPr>
            <w:r>
              <w:rPr>
                <w:rFonts w:ascii="Times New Roman" w:cs="Times New Roman" w:eastAsia="Times New Roman" w:hAnsi="Times New Roman"/>
                <w:sz w:val="18"/>
                <w:szCs w:val="18"/>
                <w:color w:val="auto"/>
              </w:rPr>
              <w:t>Chief Executive</w:t>
            </w:r>
          </w:p>
        </w:tc>
        <w:tc>
          <w:tcPr>
            <w:tcW w:w="740" w:type="dxa"/>
            <w:vAlign w:val="bottom"/>
            <w:tcBorders>
              <w:bottom w:val="single" w:sz="8" w:color="auto"/>
              <w:right w:val="single" w:sz="8" w:color="auto"/>
            </w:tcBorders>
            <w:shd w:val="clear" w:color="auto" w:fill="CEEEFA"/>
          </w:tcPr>
          <w:p>
            <w:pPr>
              <w:spacing w:after="0"/>
              <w:rPr>
                <w:sz w:val="8"/>
                <w:szCs w:val="8"/>
                <w:color w:val="auto"/>
              </w:rPr>
            </w:pPr>
          </w:p>
        </w:tc>
        <w:tc>
          <w:tcPr>
            <w:tcW w:w="1040" w:type="dxa"/>
            <w:vAlign w:val="bottom"/>
            <w:tcBorders>
              <w:bottom w:val="single" w:sz="8" w:color="auto"/>
              <w:right w:val="single" w:sz="8" w:color="auto"/>
            </w:tcBorders>
            <w:shd w:val="clear" w:color="auto" w:fill="CEEEFA"/>
          </w:tcPr>
          <w:p>
            <w:pPr>
              <w:spacing w:after="0"/>
              <w:rPr>
                <w:sz w:val="8"/>
                <w:szCs w:val="8"/>
                <w:color w:val="auto"/>
              </w:rPr>
            </w:pPr>
          </w:p>
        </w:tc>
        <w:tc>
          <w:tcPr>
            <w:tcW w:w="1120" w:type="dxa"/>
            <w:vAlign w:val="bottom"/>
            <w:tcBorders>
              <w:bottom w:val="single" w:sz="8" w:color="auto"/>
              <w:right w:val="single" w:sz="8" w:color="auto"/>
            </w:tcBorders>
            <w:shd w:val="clear" w:color="auto" w:fill="CEEEFA"/>
          </w:tcPr>
          <w:p>
            <w:pPr>
              <w:spacing w:after="0"/>
              <w:rPr>
                <w:sz w:val="8"/>
                <w:szCs w:val="8"/>
                <w:color w:val="auto"/>
              </w:rPr>
            </w:pPr>
          </w:p>
        </w:tc>
        <w:tc>
          <w:tcPr>
            <w:tcW w:w="1100" w:type="dxa"/>
            <w:vAlign w:val="bottom"/>
            <w:tcBorders>
              <w:bottom w:val="single" w:sz="8" w:color="auto"/>
              <w:right w:val="single" w:sz="8" w:color="auto"/>
            </w:tcBorders>
            <w:shd w:val="clear" w:color="auto" w:fill="CEEEFA"/>
          </w:tcPr>
          <w:p>
            <w:pPr>
              <w:spacing w:after="0"/>
              <w:rPr>
                <w:sz w:val="8"/>
                <w:szCs w:val="8"/>
                <w:color w:val="auto"/>
              </w:rPr>
            </w:pPr>
          </w:p>
        </w:tc>
        <w:tc>
          <w:tcPr>
            <w:tcW w:w="1520" w:type="dxa"/>
            <w:vAlign w:val="bottom"/>
            <w:tcBorders>
              <w:bottom w:val="single" w:sz="8" w:color="auto"/>
              <w:right w:val="single" w:sz="8" w:color="auto"/>
            </w:tcBorders>
            <w:shd w:val="clear" w:color="auto" w:fill="CEEEFA"/>
          </w:tcPr>
          <w:p>
            <w:pPr>
              <w:spacing w:after="0"/>
              <w:rPr>
                <w:sz w:val="8"/>
                <w:szCs w:val="8"/>
                <w:color w:val="auto"/>
              </w:rPr>
            </w:pPr>
          </w:p>
        </w:tc>
        <w:tc>
          <w:tcPr>
            <w:tcW w:w="1560" w:type="dxa"/>
            <w:vAlign w:val="bottom"/>
            <w:tcBorders>
              <w:bottom w:val="single" w:sz="8" w:color="auto"/>
              <w:right w:val="single" w:sz="8" w:color="auto"/>
            </w:tcBorders>
            <w:shd w:val="clear" w:color="auto" w:fill="CEEEFA"/>
          </w:tcPr>
          <w:p>
            <w:pPr>
              <w:spacing w:after="0"/>
              <w:rPr>
                <w:sz w:val="8"/>
                <w:szCs w:val="8"/>
                <w:color w:val="auto"/>
              </w:rPr>
            </w:pPr>
          </w:p>
        </w:tc>
        <w:tc>
          <w:tcPr>
            <w:tcW w:w="1360" w:type="dxa"/>
            <w:vAlign w:val="bottom"/>
            <w:tcBorders>
              <w:bottom w:val="single" w:sz="8" w:color="auto"/>
              <w:right w:val="single" w:sz="8" w:color="auto"/>
            </w:tcBorders>
            <w:shd w:val="clear" w:color="auto" w:fill="CEEEFA"/>
          </w:tcPr>
          <w:p>
            <w:pPr>
              <w:spacing w:after="0"/>
              <w:rPr>
                <w:sz w:val="8"/>
                <w:szCs w:val="8"/>
                <w:color w:val="auto"/>
              </w:rPr>
            </w:pPr>
          </w:p>
        </w:tc>
        <w:tc>
          <w:tcPr>
            <w:tcW w:w="1060" w:type="dxa"/>
            <w:vAlign w:val="bottom"/>
            <w:tcBorders>
              <w:bottom w:val="single" w:sz="8" w:color="auto"/>
              <w:right w:val="single" w:sz="8" w:color="auto"/>
            </w:tcBorders>
            <w:shd w:val="clear" w:color="auto" w:fill="CEEEFA"/>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740" w:type="dxa"/>
            <w:vAlign w:val="bottom"/>
            <w:tcBorders>
              <w:left w:val="single" w:sz="8" w:color="auto"/>
              <w:right w:val="single" w:sz="8" w:color="auto"/>
            </w:tcBorders>
            <w:vMerge w:val="continue"/>
            <w:shd w:val="clear" w:color="auto" w:fill="CEEEFA"/>
          </w:tcPr>
          <w:p>
            <w:pPr>
              <w:spacing w:after="0"/>
              <w:rPr>
                <w:sz w:val="4"/>
                <w:szCs w:val="4"/>
                <w:color w:val="auto"/>
              </w:rPr>
            </w:pPr>
          </w:p>
        </w:tc>
        <w:tc>
          <w:tcPr>
            <w:tcW w:w="740" w:type="dxa"/>
            <w:vAlign w:val="bottom"/>
            <w:tcBorders>
              <w:right w:val="single" w:sz="8" w:color="auto"/>
            </w:tcBorders>
            <w:vMerge w:val="restart"/>
            <w:shd w:val="clear" w:color="auto" w:fill="CEEEFA"/>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right w:val="single" w:sz="8" w:color="auto"/>
            </w:tcBorders>
            <w:vMerge w:val="restart"/>
            <w:shd w:val="clear" w:color="auto" w:fill="CEEEFA"/>
          </w:tcPr>
          <w:p>
            <w:pPr>
              <w:jc w:val="center"/>
              <w:ind w:right="50"/>
              <w:spacing w:after="0"/>
              <w:rPr>
                <w:sz w:val="20"/>
                <w:szCs w:val="20"/>
                <w:color w:val="auto"/>
              </w:rPr>
            </w:pPr>
            <w:r>
              <w:rPr>
                <w:rFonts w:ascii="Times New Roman" w:cs="Times New Roman" w:eastAsia="Times New Roman" w:hAnsi="Times New Roman"/>
                <w:sz w:val="18"/>
                <w:szCs w:val="18"/>
                <w:color w:val="auto"/>
                <w:w w:val="99"/>
              </w:rPr>
              <w:t>618,000</w:t>
            </w:r>
          </w:p>
        </w:tc>
        <w:tc>
          <w:tcPr>
            <w:tcW w:w="1120" w:type="dxa"/>
            <w:vAlign w:val="bottom"/>
            <w:tcBorders>
              <w:right w:val="single" w:sz="8" w:color="auto"/>
            </w:tcBorders>
            <w:vMerge w:val="restart"/>
            <w:shd w:val="clear" w:color="auto" w:fill="CEEEFA"/>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vMerge w:val="restart"/>
            <w:shd w:val="clear" w:color="auto" w:fill="CEEEFA"/>
          </w:tcPr>
          <w:p>
            <w:pPr>
              <w:jc w:val="center"/>
              <w:ind w:right="32"/>
              <w:spacing w:after="0"/>
              <w:rPr>
                <w:sz w:val="20"/>
                <w:szCs w:val="20"/>
                <w:color w:val="auto"/>
              </w:rPr>
            </w:pPr>
            <w:r>
              <w:rPr>
                <w:rFonts w:ascii="Times New Roman" w:cs="Times New Roman" w:eastAsia="Times New Roman" w:hAnsi="Times New Roman"/>
                <w:sz w:val="18"/>
                <w:szCs w:val="18"/>
                <w:color w:val="auto"/>
                <w:w w:val="99"/>
              </w:rPr>
              <w:t>384,180</w:t>
            </w:r>
          </w:p>
        </w:tc>
        <w:tc>
          <w:tcPr>
            <w:tcW w:w="1520" w:type="dxa"/>
            <w:vAlign w:val="bottom"/>
            <w:tcBorders>
              <w:right w:val="single" w:sz="8" w:color="auto"/>
            </w:tcBorders>
            <w:vMerge w:val="restart"/>
            <w:shd w:val="clear" w:color="auto" w:fill="CEEEFA"/>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vMerge w:val="restart"/>
            <w:shd w:val="clear" w:color="auto" w:fill="CEEEFA"/>
          </w:tcPr>
          <w:p>
            <w:pPr>
              <w:jc w:val="center"/>
              <w:ind w:right="39"/>
              <w:spacing w:after="0" w:line="277" w:lineRule="exact"/>
              <w:rPr>
                <w:sz w:val="20"/>
                <w:szCs w:val="20"/>
                <w:color w:val="auto"/>
              </w:rPr>
            </w:pPr>
            <w:r>
              <w:rPr>
                <w:rFonts w:ascii="Times New Roman" w:cs="Times New Roman" w:eastAsia="Times New Roman" w:hAnsi="Times New Roman"/>
                <w:sz w:val="18"/>
                <w:szCs w:val="18"/>
                <w:color w:val="auto"/>
                <w:w w:val="88"/>
              </w:rPr>
              <w:t>2580</w:t>
            </w:r>
            <w:r>
              <w:rPr>
                <w:rFonts w:ascii="Times New Roman" w:cs="Times New Roman" w:eastAsia="Times New Roman" w:hAnsi="Times New Roman"/>
                <w:sz w:val="29"/>
                <w:szCs w:val="29"/>
                <w:color w:val="auto"/>
                <w:w w:val="88"/>
                <w:vertAlign w:val="superscript"/>
              </w:rPr>
              <w:t>(2)</w:t>
            </w:r>
          </w:p>
        </w:tc>
        <w:tc>
          <w:tcPr>
            <w:tcW w:w="1360" w:type="dxa"/>
            <w:vAlign w:val="bottom"/>
            <w:tcBorders>
              <w:right w:val="single" w:sz="8" w:color="auto"/>
            </w:tcBorders>
            <w:vMerge w:val="restart"/>
            <w:shd w:val="clear" w:color="auto" w:fill="CEEEFA"/>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vMerge w:val="restart"/>
            <w:shd w:val="clear" w:color="auto" w:fill="CEEEFA"/>
          </w:tcPr>
          <w:p>
            <w:pPr>
              <w:jc w:val="center"/>
              <w:ind w:right="10"/>
              <w:spacing w:after="0"/>
              <w:rPr>
                <w:sz w:val="20"/>
                <w:szCs w:val="20"/>
                <w:color w:val="auto"/>
              </w:rPr>
            </w:pPr>
            <w:r>
              <w:rPr>
                <w:rFonts w:ascii="Times New Roman" w:cs="Times New Roman" w:eastAsia="Times New Roman" w:hAnsi="Times New Roman"/>
                <w:sz w:val="18"/>
                <w:szCs w:val="18"/>
                <w:color w:val="auto"/>
                <w:w w:val="99"/>
              </w:rPr>
              <w:t>1,004,760</w:t>
            </w:r>
          </w:p>
        </w:tc>
        <w:tc>
          <w:tcPr>
            <w:tcW w:w="0" w:type="dxa"/>
            <w:vAlign w:val="bottom"/>
          </w:tcPr>
          <w:p>
            <w:pPr>
              <w:spacing w:after="0"/>
              <w:rPr>
                <w:sz w:val="1"/>
                <w:szCs w:val="1"/>
                <w:color w:val="auto"/>
              </w:rPr>
            </w:pPr>
          </w:p>
        </w:tc>
      </w:tr>
      <w:tr>
        <w:trPr>
          <w:trHeight w:val="221"/>
        </w:trPr>
        <w:tc>
          <w:tcPr>
            <w:tcW w:w="1740" w:type="dxa"/>
            <w:vAlign w:val="bottom"/>
            <w:tcBorders>
              <w:left w:val="single" w:sz="8" w:color="auto"/>
              <w:bottom w:val="single" w:sz="8" w:color="auto"/>
              <w:right w:val="single" w:sz="8" w:color="auto"/>
            </w:tcBorders>
            <w:shd w:val="clear" w:color="auto" w:fill="CEEEFA"/>
          </w:tcPr>
          <w:p>
            <w:pPr>
              <w:ind w:left="120"/>
              <w:spacing w:after="0"/>
              <w:rPr>
                <w:sz w:val="20"/>
                <w:szCs w:val="20"/>
                <w:color w:val="auto"/>
              </w:rPr>
            </w:pPr>
            <w:r>
              <w:rPr>
                <w:rFonts w:ascii="Times New Roman" w:cs="Times New Roman" w:eastAsia="Times New Roman" w:hAnsi="Times New Roman"/>
                <w:sz w:val="18"/>
                <w:szCs w:val="18"/>
                <w:color w:val="auto"/>
              </w:rPr>
              <w:t>Officer &amp; President</w:t>
            </w:r>
          </w:p>
        </w:tc>
        <w:tc>
          <w:tcPr>
            <w:tcW w:w="74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04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10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52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56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36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06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Margaret Cotter</w:t>
            </w:r>
          </w:p>
        </w:tc>
        <w:tc>
          <w:tcPr>
            <w:tcW w:w="740" w:type="dxa"/>
            <w:vAlign w:val="bottom"/>
            <w:tcBorders>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right w:val="single" w:sz="8" w:color="auto"/>
            </w:tcBorders>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479,250</w:t>
            </w:r>
          </w:p>
        </w:tc>
        <w:tc>
          <w:tcPr>
            <w:tcW w:w="1120" w:type="dxa"/>
            <w:vAlign w:val="bottom"/>
            <w:tcBorders>
              <w:right w:val="single" w:sz="8" w:color="auto"/>
            </w:tcBorders>
          </w:tcPr>
          <w:p>
            <w:pPr>
              <w:jc w:val="center"/>
              <w:ind w:right="52"/>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tcPr>
          <w:p>
            <w:pPr>
              <w:jc w:val="center"/>
              <w:ind w:right="32"/>
              <w:spacing w:after="0" w:line="184" w:lineRule="exact"/>
              <w:rPr>
                <w:sz w:val="20"/>
                <w:szCs w:val="20"/>
                <w:color w:val="auto"/>
              </w:rPr>
            </w:pPr>
            <w:r>
              <w:rPr>
                <w:rFonts w:ascii="Times New Roman" w:cs="Times New Roman" w:eastAsia="Times New Roman" w:hAnsi="Times New Roman"/>
                <w:sz w:val="18"/>
                <w:szCs w:val="18"/>
                <w:color w:val="auto"/>
              </w:rPr>
              <w:t>89,734</w:t>
            </w:r>
          </w:p>
        </w:tc>
        <w:tc>
          <w:tcPr>
            <w:tcW w:w="1520" w:type="dxa"/>
            <w:vAlign w:val="bottom"/>
            <w:tcBorders>
              <w:right w:val="single" w:sz="8" w:color="auto"/>
            </w:tcBorders>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ind w:right="39"/>
              <w:spacing w:after="0" w:line="185" w:lineRule="exact"/>
              <w:rPr>
                <w:sz w:val="20"/>
                <w:szCs w:val="20"/>
                <w:color w:val="auto"/>
              </w:rPr>
            </w:pPr>
            <w:r>
              <w:rPr>
                <w:rFonts w:ascii="Times New Roman" w:cs="Times New Roman" w:eastAsia="Times New Roman" w:hAnsi="Times New Roman"/>
                <w:sz w:val="14"/>
                <w:szCs w:val="14"/>
                <w:color w:val="auto"/>
              </w:rPr>
              <w:t>18060</w:t>
            </w:r>
            <w:r>
              <w:rPr>
                <w:rFonts w:ascii="Times New Roman" w:cs="Times New Roman" w:eastAsia="Times New Roman" w:hAnsi="Times New Roman"/>
                <w:sz w:val="21"/>
                <w:szCs w:val="21"/>
                <w:color w:val="auto"/>
                <w:vertAlign w:val="superscript"/>
              </w:rPr>
              <w:t>(2)</w:t>
            </w:r>
          </w:p>
        </w:tc>
        <w:tc>
          <w:tcPr>
            <w:tcW w:w="1360" w:type="dxa"/>
            <w:vAlign w:val="bottom"/>
            <w:tcBorders>
              <w:right w:val="single" w:sz="8" w:color="auto"/>
            </w:tcBorders>
          </w:tcPr>
          <w:p>
            <w:pPr>
              <w:jc w:val="right"/>
              <w:ind w:right="6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9"/>
              </w:rPr>
              <w:t>587,044</w:t>
            </w:r>
          </w:p>
        </w:tc>
        <w:tc>
          <w:tcPr>
            <w:tcW w:w="0" w:type="dxa"/>
            <w:vAlign w:val="bottom"/>
          </w:tcPr>
          <w:p>
            <w:pPr>
              <w:spacing w:after="0"/>
              <w:rPr>
                <w:sz w:val="1"/>
                <w:szCs w:val="1"/>
                <w:color w:val="auto"/>
              </w:rPr>
            </w:pPr>
          </w:p>
        </w:tc>
      </w:tr>
      <w:tr>
        <w:trPr>
          <w:trHeight w:val="187"/>
        </w:trPr>
        <w:tc>
          <w:tcPr>
            <w:tcW w:w="174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color w:val="auto"/>
              </w:rPr>
              <w:t>EVP, Real Estate</w:t>
            </w:r>
          </w:p>
        </w:tc>
        <w:tc>
          <w:tcPr>
            <w:tcW w:w="7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color w:val="auto"/>
              </w:rPr>
              <w:t>Management &amp;</w:t>
            </w:r>
          </w:p>
        </w:tc>
        <w:tc>
          <w:tcPr>
            <w:tcW w:w="740" w:type="dxa"/>
            <w:vAlign w:val="bottom"/>
            <w:tcBorders>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right w:val="single" w:sz="8" w:color="auto"/>
            </w:tcBorders>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479,250</w:t>
            </w:r>
          </w:p>
        </w:tc>
        <w:tc>
          <w:tcPr>
            <w:tcW w:w="1120" w:type="dxa"/>
            <w:vAlign w:val="bottom"/>
            <w:tcBorders>
              <w:right w:val="single" w:sz="8" w:color="auto"/>
            </w:tcBorders>
          </w:tcPr>
          <w:p>
            <w:pPr>
              <w:jc w:val="center"/>
              <w:ind w:right="52"/>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tcPr>
          <w:p>
            <w:pPr>
              <w:jc w:val="center"/>
              <w:ind w:right="32"/>
              <w:spacing w:after="0" w:line="184" w:lineRule="exact"/>
              <w:rPr>
                <w:sz w:val="20"/>
                <w:szCs w:val="20"/>
                <w:color w:val="auto"/>
              </w:rPr>
            </w:pPr>
            <w:r>
              <w:rPr>
                <w:rFonts w:ascii="Times New Roman" w:cs="Times New Roman" w:eastAsia="Times New Roman" w:hAnsi="Times New Roman"/>
                <w:sz w:val="18"/>
                <w:szCs w:val="18"/>
                <w:color w:val="auto"/>
                <w:w w:val="99"/>
              </w:rPr>
              <w:t>102,991</w:t>
            </w:r>
          </w:p>
        </w:tc>
        <w:tc>
          <w:tcPr>
            <w:tcW w:w="1520" w:type="dxa"/>
            <w:vAlign w:val="bottom"/>
            <w:tcBorders>
              <w:right w:val="single" w:sz="8" w:color="auto"/>
            </w:tcBorders>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ind w:right="39"/>
              <w:spacing w:after="0" w:line="185" w:lineRule="exact"/>
              <w:rPr>
                <w:sz w:val="20"/>
                <w:szCs w:val="20"/>
                <w:color w:val="auto"/>
              </w:rPr>
            </w:pPr>
            <w:r>
              <w:rPr>
                <w:rFonts w:ascii="Times New Roman" w:cs="Times New Roman" w:eastAsia="Times New Roman" w:hAnsi="Times New Roman"/>
                <w:sz w:val="14"/>
                <w:szCs w:val="14"/>
                <w:color w:val="auto"/>
              </w:rPr>
              <w:t>14830</w:t>
            </w:r>
            <w:r>
              <w:rPr>
                <w:rFonts w:ascii="Times New Roman" w:cs="Times New Roman" w:eastAsia="Times New Roman" w:hAnsi="Times New Roman"/>
                <w:sz w:val="21"/>
                <w:szCs w:val="21"/>
                <w:color w:val="auto"/>
                <w:vertAlign w:val="superscript"/>
              </w:rPr>
              <w:t>(2)</w:t>
            </w:r>
          </w:p>
        </w:tc>
        <w:tc>
          <w:tcPr>
            <w:tcW w:w="1360" w:type="dxa"/>
            <w:vAlign w:val="bottom"/>
            <w:tcBorders>
              <w:right w:val="single" w:sz="8" w:color="auto"/>
            </w:tcBorders>
          </w:tcPr>
          <w:p>
            <w:pPr>
              <w:jc w:val="right"/>
              <w:ind w:right="6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9"/>
              </w:rPr>
              <w:t>597,071</w:t>
            </w: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bottom w:val="single" w:sz="8" w:color="auto"/>
              <w:right w:val="single" w:sz="8" w:color="auto"/>
            </w:tcBorders>
          </w:tcPr>
          <w:p>
            <w:pPr>
              <w:ind w:left="120"/>
              <w:spacing w:after="0" w:line="201" w:lineRule="exact"/>
              <w:rPr>
                <w:sz w:val="20"/>
                <w:szCs w:val="20"/>
                <w:color w:val="auto"/>
              </w:rPr>
            </w:pPr>
            <w:r>
              <w:rPr>
                <w:rFonts w:ascii="Times New Roman" w:cs="Times New Roman" w:eastAsia="Times New Roman" w:hAnsi="Times New Roman"/>
                <w:sz w:val="18"/>
                <w:szCs w:val="18"/>
                <w:color w:val="auto"/>
              </w:rPr>
              <w:t>Development</w:t>
            </w:r>
          </w:p>
        </w:tc>
        <w:tc>
          <w:tcPr>
            <w:tcW w:w="7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right w:val="single" w:sz="8" w:color="auto"/>
            </w:tcBorders>
            <w:shd w:val="clear" w:color="auto" w:fill="CEEEFA"/>
          </w:tcPr>
          <w:p>
            <w:pPr>
              <w:ind w:left="120"/>
              <w:spacing w:after="0"/>
              <w:rPr>
                <w:sz w:val="20"/>
                <w:szCs w:val="20"/>
                <w:color w:val="auto"/>
              </w:rPr>
            </w:pPr>
            <w:r>
              <w:rPr>
                <w:rFonts w:ascii="Times New Roman" w:cs="Times New Roman" w:eastAsia="Times New Roman" w:hAnsi="Times New Roman"/>
                <w:sz w:val="18"/>
                <w:szCs w:val="18"/>
                <w:b w:val="1"/>
                <w:bCs w:val="1"/>
                <w:color w:val="auto"/>
              </w:rPr>
              <w:t>S. Craig Tompkins</w:t>
            </w:r>
          </w:p>
        </w:tc>
        <w:tc>
          <w:tcPr>
            <w:tcW w:w="740" w:type="dxa"/>
            <w:vAlign w:val="bottom"/>
            <w:tcBorders>
              <w:right w:val="single" w:sz="8" w:color="auto"/>
            </w:tcBorders>
            <w:shd w:val="clear" w:color="auto" w:fill="CEEEFA"/>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right w:val="single" w:sz="8" w:color="auto"/>
            </w:tcBorders>
            <w:shd w:val="clear" w:color="auto" w:fill="CEEEFA"/>
          </w:tcPr>
          <w:p>
            <w:pPr>
              <w:jc w:val="center"/>
              <w:ind w:right="50"/>
              <w:spacing w:after="0"/>
              <w:rPr>
                <w:sz w:val="20"/>
                <w:szCs w:val="20"/>
                <w:color w:val="auto"/>
              </w:rPr>
            </w:pPr>
            <w:r>
              <w:rPr>
                <w:rFonts w:ascii="Times New Roman" w:cs="Times New Roman" w:eastAsia="Times New Roman" w:hAnsi="Times New Roman"/>
                <w:sz w:val="18"/>
                <w:szCs w:val="18"/>
                <w:color w:val="auto"/>
                <w:w w:val="99"/>
              </w:rPr>
              <w:t>450,883</w:t>
            </w:r>
          </w:p>
        </w:tc>
        <w:tc>
          <w:tcPr>
            <w:tcW w:w="1120" w:type="dxa"/>
            <w:vAlign w:val="bottom"/>
            <w:tcBorders>
              <w:right w:val="single" w:sz="8" w:color="auto"/>
            </w:tcBorders>
            <w:shd w:val="clear" w:color="auto" w:fill="CEEEFA"/>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shd w:val="clear" w:color="auto" w:fill="CEEEFA"/>
          </w:tcPr>
          <w:p>
            <w:pPr>
              <w:jc w:val="center"/>
              <w:ind w:right="32"/>
              <w:spacing w:after="0"/>
              <w:rPr>
                <w:sz w:val="20"/>
                <w:szCs w:val="20"/>
                <w:color w:val="auto"/>
              </w:rPr>
            </w:pPr>
            <w:r>
              <w:rPr>
                <w:rFonts w:ascii="Times New Roman" w:cs="Times New Roman" w:eastAsia="Times New Roman" w:hAnsi="Times New Roman"/>
                <w:sz w:val="18"/>
                <w:szCs w:val="18"/>
                <w:color w:val="auto"/>
              </w:rPr>
              <w:t>96,264</w:t>
            </w:r>
          </w:p>
        </w:tc>
        <w:tc>
          <w:tcPr>
            <w:tcW w:w="1520" w:type="dxa"/>
            <w:vAlign w:val="bottom"/>
            <w:tcBorders>
              <w:right w:val="single" w:sz="8" w:color="auto"/>
            </w:tcBorders>
            <w:shd w:val="clear" w:color="auto" w:fill="CEEEFA"/>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shd w:val="clear" w:color="auto" w:fill="CEEEFA"/>
          </w:tcPr>
          <w:p>
            <w:pPr>
              <w:jc w:val="center"/>
              <w:ind w:right="39"/>
              <w:spacing w:after="0" w:line="210" w:lineRule="exact"/>
              <w:rPr>
                <w:sz w:val="20"/>
                <w:szCs w:val="20"/>
                <w:color w:val="auto"/>
              </w:rPr>
            </w:pPr>
            <w:r>
              <w:rPr>
                <w:rFonts w:ascii="Times New Roman" w:cs="Times New Roman" w:eastAsia="Times New Roman" w:hAnsi="Times New Roman"/>
                <w:sz w:val="15"/>
                <w:szCs w:val="15"/>
                <w:color w:val="auto"/>
              </w:rPr>
              <w:t>29685</w:t>
            </w:r>
            <w:r>
              <w:rPr>
                <w:rFonts w:ascii="Times New Roman" w:cs="Times New Roman" w:eastAsia="Times New Roman" w:hAnsi="Times New Roman"/>
                <w:sz w:val="24"/>
                <w:szCs w:val="24"/>
                <w:color w:val="auto"/>
                <w:vertAlign w:val="superscript"/>
              </w:rPr>
              <w:t>(2)</w:t>
            </w:r>
          </w:p>
        </w:tc>
        <w:tc>
          <w:tcPr>
            <w:tcW w:w="1360" w:type="dxa"/>
            <w:vAlign w:val="bottom"/>
            <w:tcBorders>
              <w:right w:val="single" w:sz="8" w:color="auto"/>
            </w:tcBorders>
            <w:shd w:val="clear" w:color="auto" w:fill="CEEEFA"/>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EEEFA"/>
          </w:tcPr>
          <w:p>
            <w:pPr>
              <w:jc w:val="center"/>
              <w:ind w:right="30"/>
              <w:spacing w:after="0"/>
              <w:rPr>
                <w:sz w:val="20"/>
                <w:szCs w:val="20"/>
                <w:color w:val="auto"/>
              </w:rPr>
            </w:pPr>
            <w:r>
              <w:rPr>
                <w:rFonts w:ascii="Times New Roman" w:cs="Times New Roman" w:eastAsia="Times New Roman" w:hAnsi="Times New Roman"/>
                <w:sz w:val="18"/>
                <w:szCs w:val="18"/>
                <w:color w:val="auto"/>
                <w:w w:val="99"/>
              </w:rPr>
              <w:t>576,832</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bottom w:val="single" w:sz="8" w:color="CEEEFA"/>
              <w:right w:val="single" w:sz="8" w:color="auto"/>
            </w:tcBorders>
            <w:vMerge w:val="restart"/>
            <w:shd w:val="clear" w:color="auto" w:fill="CEEEFA"/>
          </w:tcPr>
          <w:p>
            <w:pPr>
              <w:ind w:left="120"/>
              <w:spacing w:after="0" w:line="144" w:lineRule="exact"/>
              <w:rPr>
                <w:sz w:val="20"/>
                <w:szCs w:val="20"/>
                <w:color w:val="auto"/>
              </w:rPr>
            </w:pPr>
            <w:r>
              <w:rPr>
                <w:rFonts w:ascii="Times New Roman" w:cs="Times New Roman" w:eastAsia="Times New Roman" w:hAnsi="Times New Roman"/>
                <w:sz w:val="16"/>
                <w:szCs w:val="16"/>
                <w:color w:val="auto"/>
              </w:rPr>
              <w:t>EVP, General</w:t>
            </w:r>
          </w:p>
        </w:tc>
        <w:tc>
          <w:tcPr>
            <w:tcW w:w="740" w:type="dxa"/>
            <w:vAlign w:val="bottom"/>
            <w:tcBorders>
              <w:bottom w:val="single" w:sz="8" w:color="auto"/>
              <w:right w:val="single" w:sz="8" w:color="auto"/>
            </w:tcBorders>
            <w:shd w:val="clear" w:color="auto" w:fill="CEEEFA"/>
          </w:tcPr>
          <w:p>
            <w:pPr>
              <w:spacing w:after="0"/>
              <w:rPr>
                <w:sz w:val="5"/>
                <w:szCs w:val="5"/>
                <w:color w:val="auto"/>
              </w:rPr>
            </w:pPr>
          </w:p>
        </w:tc>
        <w:tc>
          <w:tcPr>
            <w:tcW w:w="1040" w:type="dxa"/>
            <w:vAlign w:val="bottom"/>
            <w:tcBorders>
              <w:bottom w:val="single" w:sz="8" w:color="auto"/>
              <w:right w:val="single" w:sz="8" w:color="auto"/>
            </w:tcBorders>
            <w:shd w:val="clear" w:color="auto" w:fill="CEEEFA"/>
          </w:tcPr>
          <w:p>
            <w:pPr>
              <w:spacing w:after="0"/>
              <w:rPr>
                <w:sz w:val="5"/>
                <w:szCs w:val="5"/>
                <w:color w:val="auto"/>
              </w:rPr>
            </w:pPr>
          </w:p>
        </w:tc>
        <w:tc>
          <w:tcPr>
            <w:tcW w:w="1120" w:type="dxa"/>
            <w:vAlign w:val="bottom"/>
            <w:tcBorders>
              <w:bottom w:val="single" w:sz="8" w:color="auto"/>
              <w:right w:val="single" w:sz="8" w:color="auto"/>
            </w:tcBorders>
            <w:shd w:val="clear" w:color="auto" w:fill="CEEEFA"/>
          </w:tcPr>
          <w:p>
            <w:pPr>
              <w:spacing w:after="0"/>
              <w:rPr>
                <w:sz w:val="5"/>
                <w:szCs w:val="5"/>
                <w:color w:val="auto"/>
              </w:rPr>
            </w:pPr>
          </w:p>
        </w:tc>
        <w:tc>
          <w:tcPr>
            <w:tcW w:w="1100" w:type="dxa"/>
            <w:vAlign w:val="bottom"/>
            <w:tcBorders>
              <w:bottom w:val="single" w:sz="8" w:color="auto"/>
              <w:right w:val="single" w:sz="8" w:color="auto"/>
            </w:tcBorders>
            <w:shd w:val="clear" w:color="auto" w:fill="CEEEFA"/>
          </w:tcPr>
          <w:p>
            <w:pPr>
              <w:spacing w:after="0"/>
              <w:rPr>
                <w:sz w:val="5"/>
                <w:szCs w:val="5"/>
                <w:color w:val="auto"/>
              </w:rPr>
            </w:pPr>
          </w:p>
        </w:tc>
        <w:tc>
          <w:tcPr>
            <w:tcW w:w="1520" w:type="dxa"/>
            <w:vAlign w:val="bottom"/>
            <w:tcBorders>
              <w:bottom w:val="single" w:sz="8" w:color="auto"/>
              <w:right w:val="single" w:sz="8" w:color="auto"/>
            </w:tcBorders>
            <w:shd w:val="clear" w:color="auto" w:fill="CEEEFA"/>
          </w:tcPr>
          <w:p>
            <w:pPr>
              <w:spacing w:after="0"/>
              <w:rPr>
                <w:sz w:val="5"/>
                <w:szCs w:val="5"/>
                <w:color w:val="auto"/>
              </w:rPr>
            </w:pPr>
          </w:p>
        </w:tc>
        <w:tc>
          <w:tcPr>
            <w:tcW w:w="1560" w:type="dxa"/>
            <w:vAlign w:val="bottom"/>
            <w:tcBorders>
              <w:bottom w:val="single" w:sz="8" w:color="auto"/>
              <w:right w:val="single" w:sz="8" w:color="auto"/>
            </w:tcBorders>
            <w:shd w:val="clear" w:color="auto" w:fill="CEEEFA"/>
          </w:tcPr>
          <w:p>
            <w:pPr>
              <w:spacing w:after="0"/>
              <w:rPr>
                <w:sz w:val="5"/>
                <w:szCs w:val="5"/>
                <w:color w:val="auto"/>
              </w:rPr>
            </w:pPr>
          </w:p>
        </w:tc>
        <w:tc>
          <w:tcPr>
            <w:tcW w:w="1360" w:type="dxa"/>
            <w:vAlign w:val="bottom"/>
            <w:tcBorders>
              <w:bottom w:val="single" w:sz="8" w:color="auto"/>
              <w:right w:val="single" w:sz="8" w:color="auto"/>
            </w:tcBorders>
            <w:shd w:val="clear" w:color="auto" w:fill="CEEEFA"/>
          </w:tcPr>
          <w:p>
            <w:pPr>
              <w:spacing w:after="0"/>
              <w:rPr>
                <w:sz w:val="5"/>
                <w:szCs w:val="5"/>
                <w:color w:val="auto"/>
              </w:rPr>
            </w:pPr>
          </w:p>
        </w:tc>
        <w:tc>
          <w:tcPr>
            <w:tcW w:w="1060" w:type="dxa"/>
            <w:vAlign w:val="bottom"/>
            <w:tcBorders>
              <w:bottom w:val="single" w:sz="8" w:color="auto"/>
              <w:right w:val="single" w:sz="8" w:color="auto"/>
            </w:tcBorders>
            <w:shd w:val="clear" w:color="auto" w:fill="CEEEFA"/>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740" w:type="dxa"/>
            <w:vAlign w:val="bottom"/>
            <w:tcBorders>
              <w:left w:val="single" w:sz="8" w:color="auto"/>
              <w:right w:val="single" w:sz="8" w:color="auto"/>
            </w:tcBorders>
            <w:vMerge w:val="continue"/>
            <w:shd w:val="clear" w:color="auto" w:fill="CEEEFA"/>
          </w:tcPr>
          <w:p>
            <w:pPr>
              <w:spacing w:after="0"/>
              <w:rPr>
                <w:sz w:val="4"/>
                <w:szCs w:val="4"/>
                <w:color w:val="auto"/>
              </w:rPr>
            </w:pPr>
          </w:p>
        </w:tc>
        <w:tc>
          <w:tcPr>
            <w:tcW w:w="740" w:type="dxa"/>
            <w:vAlign w:val="bottom"/>
            <w:tcBorders>
              <w:right w:val="single" w:sz="8" w:color="auto"/>
            </w:tcBorders>
            <w:vMerge w:val="restart"/>
            <w:shd w:val="clear" w:color="auto" w:fill="CEEEFA"/>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right w:val="single" w:sz="8" w:color="auto"/>
            </w:tcBorders>
            <w:vMerge w:val="restart"/>
            <w:shd w:val="clear" w:color="auto" w:fill="CEEEFA"/>
          </w:tcPr>
          <w:p>
            <w:pPr>
              <w:jc w:val="center"/>
              <w:ind w:right="50"/>
              <w:spacing w:after="0"/>
              <w:rPr>
                <w:sz w:val="20"/>
                <w:szCs w:val="20"/>
                <w:color w:val="auto"/>
              </w:rPr>
            </w:pPr>
            <w:r>
              <w:rPr>
                <w:rFonts w:ascii="Times New Roman" w:cs="Times New Roman" w:eastAsia="Times New Roman" w:hAnsi="Times New Roman"/>
                <w:sz w:val="18"/>
                <w:szCs w:val="18"/>
                <w:color w:val="auto"/>
                <w:w w:val="99"/>
              </w:rPr>
              <w:t>450,883</w:t>
            </w:r>
          </w:p>
        </w:tc>
        <w:tc>
          <w:tcPr>
            <w:tcW w:w="1120" w:type="dxa"/>
            <w:vAlign w:val="bottom"/>
            <w:tcBorders>
              <w:right w:val="single" w:sz="8" w:color="auto"/>
            </w:tcBorders>
            <w:vMerge w:val="restart"/>
            <w:shd w:val="clear" w:color="auto" w:fill="CEEEFA"/>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vMerge w:val="restart"/>
            <w:shd w:val="clear" w:color="auto" w:fill="CEEEFA"/>
          </w:tcPr>
          <w:p>
            <w:pPr>
              <w:jc w:val="center"/>
              <w:ind w:right="32"/>
              <w:spacing w:after="0"/>
              <w:rPr>
                <w:sz w:val="20"/>
                <w:szCs w:val="20"/>
                <w:color w:val="auto"/>
              </w:rPr>
            </w:pPr>
            <w:r>
              <w:rPr>
                <w:rFonts w:ascii="Times New Roman" w:cs="Times New Roman" w:eastAsia="Times New Roman" w:hAnsi="Times New Roman"/>
                <w:sz w:val="18"/>
                <w:szCs w:val="18"/>
                <w:color w:val="auto"/>
                <w:w w:val="99"/>
              </w:rPr>
              <w:t>101,392</w:t>
            </w:r>
          </w:p>
        </w:tc>
        <w:tc>
          <w:tcPr>
            <w:tcW w:w="1520" w:type="dxa"/>
            <w:vAlign w:val="bottom"/>
            <w:tcBorders>
              <w:right w:val="single" w:sz="8" w:color="auto"/>
            </w:tcBorders>
            <w:vMerge w:val="restart"/>
            <w:shd w:val="clear" w:color="auto" w:fill="CEEEFA"/>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vMerge w:val="restart"/>
            <w:shd w:val="clear" w:color="auto" w:fill="CEEEFA"/>
          </w:tcPr>
          <w:p>
            <w:pPr>
              <w:jc w:val="center"/>
              <w:ind w:right="39"/>
              <w:spacing w:after="0" w:line="277" w:lineRule="exact"/>
              <w:rPr>
                <w:sz w:val="20"/>
                <w:szCs w:val="20"/>
                <w:color w:val="auto"/>
              </w:rPr>
            </w:pPr>
            <w:r>
              <w:rPr>
                <w:rFonts w:ascii="Times New Roman" w:cs="Times New Roman" w:eastAsia="Times New Roman" w:hAnsi="Times New Roman"/>
                <w:sz w:val="18"/>
                <w:szCs w:val="18"/>
                <w:color w:val="auto"/>
                <w:w w:val="94"/>
              </w:rPr>
              <w:t>21570</w:t>
            </w:r>
            <w:r>
              <w:rPr>
                <w:rFonts w:ascii="Times New Roman" w:cs="Times New Roman" w:eastAsia="Times New Roman" w:hAnsi="Times New Roman"/>
                <w:sz w:val="29"/>
                <w:szCs w:val="29"/>
                <w:color w:val="auto"/>
                <w:w w:val="94"/>
                <w:vertAlign w:val="superscript"/>
              </w:rPr>
              <w:t>(2)</w:t>
            </w:r>
          </w:p>
        </w:tc>
        <w:tc>
          <w:tcPr>
            <w:tcW w:w="1360" w:type="dxa"/>
            <w:vAlign w:val="bottom"/>
            <w:tcBorders>
              <w:right w:val="single" w:sz="8" w:color="auto"/>
            </w:tcBorders>
            <w:vMerge w:val="restart"/>
            <w:shd w:val="clear" w:color="auto" w:fill="CEEEFA"/>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vMerge w:val="restart"/>
            <w:shd w:val="clear" w:color="auto" w:fill="CEEEFA"/>
          </w:tcPr>
          <w:p>
            <w:pPr>
              <w:jc w:val="center"/>
              <w:ind w:right="30"/>
              <w:spacing w:after="0"/>
              <w:rPr>
                <w:sz w:val="20"/>
                <w:szCs w:val="20"/>
                <w:color w:val="auto"/>
              </w:rPr>
            </w:pPr>
            <w:r>
              <w:rPr>
                <w:rFonts w:ascii="Times New Roman" w:cs="Times New Roman" w:eastAsia="Times New Roman" w:hAnsi="Times New Roman"/>
                <w:sz w:val="18"/>
                <w:szCs w:val="18"/>
                <w:color w:val="auto"/>
                <w:w w:val="99"/>
              </w:rPr>
              <w:t>573,845</w:t>
            </w:r>
          </w:p>
        </w:tc>
        <w:tc>
          <w:tcPr>
            <w:tcW w:w="0" w:type="dxa"/>
            <w:vAlign w:val="bottom"/>
          </w:tcPr>
          <w:p>
            <w:pPr>
              <w:spacing w:after="0"/>
              <w:rPr>
                <w:sz w:val="1"/>
                <w:szCs w:val="1"/>
                <w:color w:val="auto"/>
              </w:rPr>
            </w:pPr>
          </w:p>
        </w:tc>
      </w:tr>
      <w:tr>
        <w:trPr>
          <w:trHeight w:val="221"/>
        </w:trPr>
        <w:tc>
          <w:tcPr>
            <w:tcW w:w="1740" w:type="dxa"/>
            <w:vAlign w:val="bottom"/>
            <w:tcBorders>
              <w:left w:val="single" w:sz="8" w:color="auto"/>
              <w:bottom w:val="single" w:sz="8" w:color="auto"/>
              <w:right w:val="single" w:sz="8" w:color="auto"/>
            </w:tcBorders>
            <w:shd w:val="clear" w:color="auto" w:fill="CEEEFA"/>
          </w:tcPr>
          <w:p>
            <w:pPr>
              <w:ind w:left="120"/>
              <w:spacing w:after="0"/>
              <w:rPr>
                <w:sz w:val="20"/>
                <w:szCs w:val="20"/>
                <w:color w:val="auto"/>
              </w:rPr>
            </w:pPr>
            <w:r>
              <w:rPr>
                <w:rFonts w:ascii="Times New Roman" w:cs="Times New Roman" w:eastAsia="Times New Roman" w:hAnsi="Times New Roman"/>
                <w:sz w:val="18"/>
                <w:szCs w:val="18"/>
                <w:color w:val="auto"/>
              </w:rPr>
              <w:t>Counsel</w:t>
            </w:r>
          </w:p>
        </w:tc>
        <w:tc>
          <w:tcPr>
            <w:tcW w:w="74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04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10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52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56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36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1060" w:type="dxa"/>
            <w:vAlign w:val="bottom"/>
            <w:tcBorders>
              <w:bottom w:val="single" w:sz="8" w:color="auto"/>
              <w:right w:val="single" w:sz="8" w:color="auto"/>
            </w:tcBorders>
            <w:vMerge w:val="continue"/>
            <w:shd w:val="clear" w:color="auto" w:fill="CEEEFA"/>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980" w:right="320" w:hanging="324"/>
        <w:spacing w:after="0" w:line="239" w:lineRule="auto"/>
        <w:tabs>
          <w:tab w:leader="none" w:pos="9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awards granted as a component of the 2025 and 2024 annual STI program are reported in this column as 2025 and 2024 compensation, respectively, to reflect the applicable service period for such awards. Amounts represent the aggregate grant date fair value of awards computed in accordance with ASC Topic 718. The assumptions used in the valuation of these awards are discussed in Notes 15 to our consolidated financial statements. For a discussion of the material terms of each outstanding stock award, see “Compensation Discussion and Analysis – Long-Term Incentives” and the table below entitled “Outstanding Equity Awards at Year Ended December 31, 2025.”</w:t>
      </w:r>
    </w:p>
    <w:p>
      <w:pPr>
        <w:spacing w:after="0" w:line="140" w:lineRule="exact"/>
        <w:rPr>
          <w:rFonts w:ascii="Times New Roman" w:cs="Times New Roman" w:eastAsia="Times New Roman" w:hAnsi="Times New Roman"/>
          <w:sz w:val="15"/>
          <w:szCs w:val="15"/>
          <w:color w:val="auto"/>
        </w:rPr>
      </w:pPr>
    </w:p>
    <w:p>
      <w:pPr>
        <w:ind w:left="980" w:hanging="324"/>
        <w:spacing w:after="0"/>
        <w:tabs>
          <w:tab w:leader="none" w:pos="9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our matching employer contributions under our 401(k) Plan and the dollar value of the key person life insurance premium.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2020 Stock Incentive Plan</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On November 4, 2020, our Board adopted the Reading International, Inc. 2020 Stock Incentive Plan (as amended the (“2020 Stock Incentive Plan”) and recommended to our stockholders the adoption of that plan. The 2020 Stock Incentive Plan was adopted by our stockholders on December 8, 2020. Our Board adopted and recommended the 2020 Stock Incentive Plan to provide a means by which employees, directors and consultants of our Company and its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Incentive Plan. On October 26, 2023, our Board adopted the First Amendment to the 2020 Stock Incentive Plan (the “First Amendment”) to increase the number of shares available for issuance under our 2020 Stock Incentive Plan by an additional 971,807 shares of Class A Non-Voting Common Stock and recommended to our stockholders the adoption of that amendment. The First Amendment was adopted by our stockholders on December 7, 2023. On October 18, 2024, our Board adopted the Second Amendment to the 2020 Stock Incentive Plan (the “Second Amendment” and together with the First Amendment, the “Plan Amendments”) to increase the number of shares available for issuance under our 2020 Stock Incentive Plan by an additional 3,500,000 shares of Class A Non-Voting Common Stock and recommended to our stockholders the adoption of that amendment. The Second Amendment was adopted by our stockholders on December 5, 2024.</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addition to the above increases in the shares available or issuance under our 2020 Stock Incentive Plan, awards that were outstanding under the now expired 2010 Stock Incentive Plan as of the day before the date on which the Board approved the 2020 Stock Incentive Plan that were subsequently forfeited or if the related shares are repurchased, a corresponding number of shares automatically became available for issuance under the 2020 Stock Incentive Plan, thus resulting in an increase in the number of shares available for issuance under the 2020 Stock Incentive Plan of 834,246 shares of Class A Stock. If awards granted under the 2020 Stock Incentive Plan expire or otherwise terminate without being exercised in full, the shares of Common Stock not acquired pursuant to such awards will again become available for issuance under the 2020 Stock Incentive Plan. If shares of Common Stock issued pursuant to awards under the 2020 Stock Incentive Plan are forfeited to or repurchased by us, the forfeited or repurchased stock will again become available for issuance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 w:name="page14"/>
    <w:bookmarkEnd w:id="13"/>
    <w:p>
      <w:pPr>
        <w:jc w:val="both"/>
        <w:spacing w:after="0" w:line="249" w:lineRule="auto"/>
        <w:rPr>
          <w:sz w:val="20"/>
          <w:szCs w:val="20"/>
          <w:color w:val="auto"/>
        </w:rPr>
      </w:pPr>
      <w:r>
        <w:rPr>
          <w:rFonts w:ascii="Times New Roman" w:cs="Times New Roman" w:eastAsia="Times New Roman" w:hAnsi="Times New Roman"/>
          <w:sz w:val="20"/>
          <w:szCs w:val="20"/>
          <w:color w:val="auto"/>
        </w:rPr>
        <w:t>the 2020 Stock Incentive Plan. If shares of Common Stock subject to an award under the 2020 Stock Incentive Plan are not delivered to a participant because such shares are withheld for payment of taxes incurred in connection with the exercise of an award, or because the award is exercised through a reduction of shares subject to the award (“net exercised”), the undelivered shares will no longer be available for issuance under the 2020 Stock Incentive Plan.</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April 27, 2026, our Compensation Committee awarded RSUs covering 702,016 shares of Class A Stock. As of the date of this Report, we have 6,556,053 shares of Class A Stock available for issuance under our 2020 Stock Incentive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Outstanding Equity Awards at 2025 Fiscal Year-End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outstanding equity awards held by our NEOs as of December 31, 2025, under the 2020 Stock Incentive Plan:</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6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228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9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right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9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92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6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right="74"/>
              <w:spacing w:after="0" w:line="138" w:lineRule="exact"/>
              <w:rPr>
                <w:sz w:val="20"/>
                <w:szCs w:val="20"/>
                <w:color w:val="auto"/>
              </w:rPr>
            </w:pPr>
            <w:r>
              <w:rPr>
                <w:rFonts w:ascii="Times New Roman" w:cs="Times New Roman" w:eastAsia="Times New Roman" w:hAnsi="Times New Roman"/>
                <w:sz w:val="15"/>
                <w:szCs w:val="15"/>
                <w:color w:val="auto"/>
              </w:rPr>
              <w:t>No. of</w:t>
            </w: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5"/>
                <w:szCs w:val="15"/>
                <w:color w:val="auto"/>
              </w:rPr>
              <w:t>No. of</w:t>
            </w:r>
          </w:p>
        </w:tc>
        <w:tc>
          <w:tcPr>
            <w:tcW w:w="920" w:type="dxa"/>
            <w:vAlign w:val="bottom"/>
            <w:tcBorders>
              <w:right w:val="single" w:sz="8" w:color="auto"/>
            </w:tcBorders>
          </w:tcPr>
          <w:p>
            <w:pPr>
              <w:jc w:val="center"/>
              <w:ind w:right="54"/>
              <w:spacing w:after="0" w:line="138" w:lineRule="exact"/>
              <w:rPr>
                <w:sz w:val="20"/>
                <w:szCs w:val="20"/>
                <w:color w:val="auto"/>
              </w:rPr>
            </w:pPr>
            <w:r>
              <w:rPr>
                <w:rFonts w:ascii="Times New Roman" w:cs="Times New Roman" w:eastAsia="Times New Roman" w:hAnsi="Times New Roman"/>
                <w:sz w:val="15"/>
                <w:szCs w:val="15"/>
                <w:color w:val="auto"/>
              </w:rPr>
              <w:t>Market or</w:t>
            </w:r>
          </w:p>
        </w:tc>
        <w:tc>
          <w:tcPr>
            <w:tcW w:w="0" w:type="dxa"/>
            <w:vAlign w:val="bottom"/>
          </w:tcPr>
          <w:p>
            <w:pPr>
              <w:spacing w:after="0"/>
              <w:rPr>
                <w:sz w:val="1"/>
                <w:szCs w:val="1"/>
                <w:color w:val="auto"/>
              </w:rPr>
            </w:pPr>
          </w:p>
        </w:tc>
      </w:tr>
      <w:tr>
        <w:trPr>
          <w:trHeight w:val="81"/>
        </w:trPr>
        <w:tc>
          <w:tcPr>
            <w:tcW w:w="1160" w:type="dxa"/>
            <w:vAlign w:val="bottom"/>
            <w:tcBorders>
              <w:left w:val="single" w:sz="8" w:color="auto"/>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ind w:right="76"/>
              <w:spacing w:after="0" w:line="162" w:lineRule="exact"/>
              <w:rPr>
                <w:sz w:val="20"/>
                <w:szCs w:val="20"/>
                <w:color w:val="auto"/>
              </w:rPr>
            </w:pPr>
            <w:r>
              <w:rPr>
                <w:rFonts w:ascii="Times New Roman" w:cs="Times New Roman" w:eastAsia="Times New Roman" w:hAnsi="Times New Roman"/>
                <w:sz w:val="15"/>
                <w:szCs w:val="15"/>
                <w:color w:val="auto"/>
                <w:w w:val="99"/>
              </w:rPr>
              <w:t>No. of Shares</w:t>
            </w:r>
          </w:p>
        </w:tc>
        <w:tc>
          <w:tcPr>
            <w:tcW w:w="1200" w:type="dxa"/>
            <w:vAlign w:val="bottom"/>
            <w:tcBorders>
              <w:right w:val="single" w:sz="8" w:color="auto"/>
            </w:tcBorders>
            <w:vMerge w:val="restart"/>
          </w:tcPr>
          <w:p>
            <w:pPr>
              <w:jc w:val="center"/>
              <w:ind w:right="74"/>
              <w:spacing w:after="0" w:line="162" w:lineRule="exact"/>
              <w:rPr>
                <w:sz w:val="20"/>
                <w:szCs w:val="20"/>
                <w:color w:val="auto"/>
              </w:rPr>
            </w:pPr>
            <w:r>
              <w:rPr>
                <w:rFonts w:ascii="Times New Roman" w:cs="Times New Roman" w:eastAsia="Times New Roman" w:hAnsi="Times New Roman"/>
                <w:sz w:val="15"/>
                <w:szCs w:val="15"/>
                <w:color w:val="auto"/>
              </w:rPr>
              <w:t>No. of Shares</w:t>
            </w:r>
          </w:p>
        </w:tc>
        <w:tc>
          <w:tcPr>
            <w:tcW w:w="1080" w:type="dxa"/>
            <w:vAlign w:val="bottom"/>
            <w:tcBorders>
              <w:right w:val="single" w:sz="8" w:color="auto"/>
            </w:tcBorders>
            <w:vMerge w:val="restart"/>
          </w:tcPr>
          <w:p>
            <w:pPr>
              <w:jc w:val="center"/>
              <w:ind w:right="74"/>
              <w:spacing w:after="0" w:line="162"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restart"/>
          </w:tcPr>
          <w:p>
            <w:pPr>
              <w:jc w:val="center"/>
              <w:ind w:right="79"/>
              <w:spacing w:after="0"/>
              <w:rPr>
                <w:sz w:val="20"/>
                <w:szCs w:val="20"/>
                <w:color w:val="auto"/>
              </w:rPr>
            </w:pPr>
            <w:r>
              <w:rPr>
                <w:rFonts w:ascii="Times New Roman" w:cs="Times New Roman" w:eastAsia="Times New Roman" w:hAnsi="Times New Roman"/>
                <w:sz w:val="15"/>
                <w:szCs w:val="15"/>
                <w:color w:val="auto"/>
              </w:rPr>
              <w:t>Market Value</w:t>
            </w:r>
          </w:p>
        </w:tc>
        <w:tc>
          <w:tcPr>
            <w:tcW w:w="9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center"/>
              <w:ind w:right="54"/>
              <w:spacing w:after="0" w:line="162" w:lineRule="exact"/>
              <w:rPr>
                <w:sz w:val="20"/>
                <w:szCs w:val="20"/>
                <w:color w:val="auto"/>
              </w:rPr>
            </w:pPr>
            <w:r>
              <w:rPr>
                <w:rFonts w:ascii="Times New Roman" w:cs="Times New Roman" w:eastAsia="Times New Roman" w:hAnsi="Times New Roman"/>
                <w:sz w:val="15"/>
                <w:szCs w:val="15"/>
                <w:color w:val="auto"/>
              </w:rPr>
              <w:t>Payout</w:t>
            </w:r>
          </w:p>
        </w:tc>
        <w:tc>
          <w:tcPr>
            <w:tcW w:w="0" w:type="dxa"/>
            <w:vAlign w:val="bottom"/>
          </w:tcPr>
          <w:p>
            <w:pPr>
              <w:spacing w:after="0"/>
              <w:rPr>
                <w:sz w:val="1"/>
                <w:szCs w:val="1"/>
                <w:color w:val="auto"/>
              </w:rPr>
            </w:pPr>
          </w:p>
        </w:tc>
      </w:tr>
      <w:tr>
        <w:trPr>
          <w:trHeight w:val="81"/>
        </w:trPr>
        <w:tc>
          <w:tcPr>
            <w:tcW w:w="1160" w:type="dxa"/>
            <w:vAlign w:val="bottom"/>
            <w:tcBorders>
              <w:left w:val="single" w:sz="8" w:color="auto"/>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jc w:val="center"/>
              <w:ind w:right="100"/>
              <w:spacing w:after="0" w:line="152" w:lineRule="exact"/>
              <w:rPr>
                <w:sz w:val="20"/>
                <w:szCs w:val="20"/>
                <w:color w:val="auto"/>
              </w:rPr>
            </w:pPr>
            <w:r>
              <w:rPr>
                <w:rFonts w:ascii="Times New Roman" w:cs="Times New Roman" w:eastAsia="Times New Roman" w:hAnsi="Times New Roman"/>
                <w:sz w:val="15"/>
                <w:szCs w:val="15"/>
                <w:color w:val="auto"/>
              </w:rPr>
              <w:t>No. of Shares</w:t>
            </w:r>
          </w:p>
        </w:tc>
        <w:tc>
          <w:tcPr>
            <w:tcW w:w="10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restart"/>
          </w:tcPr>
          <w:p>
            <w:pPr>
              <w:jc w:val="center"/>
              <w:ind w:right="54"/>
              <w:spacing w:after="0" w:line="152" w:lineRule="exact"/>
              <w:rPr>
                <w:sz w:val="20"/>
                <w:szCs w:val="20"/>
                <w:color w:val="auto"/>
              </w:rPr>
            </w:pPr>
            <w:r>
              <w:rPr>
                <w:rFonts w:ascii="Times New Roman" w:cs="Times New Roman" w:eastAsia="Times New Roman" w:hAnsi="Times New Roman"/>
                <w:sz w:val="15"/>
                <w:szCs w:val="15"/>
                <w:color w:val="auto"/>
              </w:rPr>
              <w:t>Unearned</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60" w:type="dxa"/>
            <w:vAlign w:val="bottom"/>
            <w:tcBorders>
              <w:left w:val="single" w:sz="8" w:color="auto"/>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center"/>
              <w:ind w:right="76"/>
              <w:spacing w:after="0" w:line="162" w:lineRule="exact"/>
              <w:rPr>
                <w:sz w:val="20"/>
                <w:szCs w:val="20"/>
                <w:color w:val="auto"/>
              </w:rPr>
            </w:pPr>
            <w:r>
              <w:rPr>
                <w:rFonts w:ascii="Times New Roman" w:cs="Times New Roman" w:eastAsia="Times New Roman" w:hAnsi="Times New Roman"/>
                <w:sz w:val="15"/>
                <w:szCs w:val="15"/>
                <w:color w:val="auto"/>
              </w:rPr>
              <w:t>Underlying</w:t>
            </w:r>
          </w:p>
        </w:tc>
        <w:tc>
          <w:tcPr>
            <w:tcW w:w="1200" w:type="dxa"/>
            <w:vAlign w:val="bottom"/>
            <w:tcBorders>
              <w:right w:val="single" w:sz="8" w:color="auto"/>
            </w:tcBorders>
            <w:vMerge w:val="restart"/>
          </w:tcPr>
          <w:p>
            <w:pPr>
              <w:jc w:val="center"/>
              <w:ind w:right="54"/>
              <w:spacing w:after="0" w:line="162" w:lineRule="exact"/>
              <w:rPr>
                <w:sz w:val="20"/>
                <w:szCs w:val="20"/>
                <w:color w:val="auto"/>
              </w:rPr>
            </w:pPr>
            <w:r>
              <w:rPr>
                <w:rFonts w:ascii="Times New Roman" w:cs="Times New Roman" w:eastAsia="Times New Roman" w:hAnsi="Times New Roman"/>
                <w:sz w:val="15"/>
                <w:szCs w:val="15"/>
                <w:color w:val="auto"/>
              </w:rPr>
              <w:t>Underlying</w:t>
            </w:r>
          </w:p>
        </w:tc>
        <w:tc>
          <w:tcPr>
            <w:tcW w:w="1080" w:type="dxa"/>
            <w:vAlign w:val="bottom"/>
            <w:tcBorders>
              <w:right w:val="single" w:sz="8" w:color="auto"/>
            </w:tcBorders>
            <w:vMerge w:val="restart"/>
          </w:tcPr>
          <w:p>
            <w:pPr>
              <w:jc w:val="center"/>
              <w:ind w:right="74"/>
              <w:spacing w:after="0" w:line="162" w:lineRule="exact"/>
              <w:rPr>
                <w:sz w:val="20"/>
                <w:szCs w:val="20"/>
                <w:color w:val="auto"/>
              </w:rPr>
            </w:pPr>
            <w:r>
              <w:rPr>
                <w:rFonts w:ascii="Times New Roman" w:cs="Times New Roman" w:eastAsia="Times New Roman" w:hAnsi="Times New Roman"/>
                <w:sz w:val="15"/>
                <w:szCs w:val="15"/>
                <w:color w:val="auto"/>
                <w:w w:val="99"/>
              </w:rPr>
              <w:t>Shares</w:t>
            </w:r>
          </w:p>
        </w:tc>
        <w:tc>
          <w:tcPr>
            <w:tcW w:w="900" w:type="dxa"/>
            <w:vAlign w:val="bottom"/>
            <w:tcBorders>
              <w:right w:val="single" w:sz="8" w:color="auto"/>
            </w:tcBorders>
            <w:vMerge w:val="restart"/>
          </w:tcPr>
          <w:p>
            <w:pPr>
              <w:jc w:val="center"/>
              <w:ind w:right="75"/>
              <w:spacing w:after="0" w:line="162" w:lineRule="exact"/>
              <w:rPr>
                <w:sz w:val="20"/>
                <w:szCs w:val="20"/>
                <w:color w:val="auto"/>
              </w:rPr>
            </w:pPr>
            <w:r>
              <w:rPr>
                <w:rFonts w:ascii="Times New Roman" w:cs="Times New Roman" w:eastAsia="Times New Roman" w:hAnsi="Times New Roman"/>
                <w:sz w:val="15"/>
                <w:szCs w:val="15"/>
                <w:color w:val="auto"/>
              </w:rPr>
              <w:t>Option</w:t>
            </w:r>
          </w:p>
        </w:tc>
        <w:tc>
          <w:tcPr>
            <w:tcW w:w="1080" w:type="dxa"/>
            <w:vAlign w:val="bottom"/>
            <w:tcBorders>
              <w:right w:val="single" w:sz="8" w:color="auto"/>
            </w:tcBorders>
            <w:vMerge w:val="restart"/>
          </w:tcPr>
          <w:p>
            <w:pPr>
              <w:jc w:val="center"/>
              <w:ind w:right="95"/>
              <w:spacing w:after="0" w:line="162" w:lineRule="exact"/>
              <w:rPr>
                <w:sz w:val="20"/>
                <w:szCs w:val="20"/>
                <w:color w:val="auto"/>
              </w:rPr>
            </w:pPr>
            <w:r>
              <w:rPr>
                <w:rFonts w:ascii="Times New Roman" w:cs="Times New Roman" w:eastAsia="Times New Roman" w:hAnsi="Times New Roman"/>
                <w:sz w:val="15"/>
                <w:szCs w:val="15"/>
                <w:color w:val="auto"/>
              </w:rPr>
              <w:t>Option</w:t>
            </w:r>
          </w:p>
        </w:tc>
        <w:tc>
          <w:tcPr>
            <w:tcW w:w="110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ind w:right="74"/>
              <w:spacing w:after="0" w:line="162" w:lineRule="exact"/>
              <w:rPr>
                <w:sz w:val="20"/>
                <w:szCs w:val="20"/>
                <w:color w:val="auto"/>
              </w:rPr>
            </w:pPr>
            <w:r>
              <w:rPr>
                <w:rFonts w:ascii="Times New Roman" w:cs="Times New Roman" w:eastAsia="Times New Roman" w:hAnsi="Times New Roman"/>
                <w:sz w:val="15"/>
                <w:szCs w:val="15"/>
                <w:color w:val="auto"/>
                <w:w w:val="99"/>
              </w:rPr>
              <w:t>Value of</w:t>
            </w:r>
          </w:p>
        </w:tc>
        <w:tc>
          <w:tcPr>
            <w:tcW w:w="0" w:type="dxa"/>
            <w:vAlign w:val="bottom"/>
          </w:tcPr>
          <w:p>
            <w:pPr>
              <w:spacing w:after="0"/>
              <w:rPr>
                <w:sz w:val="1"/>
                <w:szCs w:val="1"/>
                <w:color w:val="auto"/>
              </w:rPr>
            </w:pPr>
          </w:p>
        </w:tc>
      </w:tr>
      <w:tr>
        <w:trPr>
          <w:trHeight w:val="91"/>
        </w:trPr>
        <w:tc>
          <w:tcPr>
            <w:tcW w:w="1160" w:type="dxa"/>
            <w:vAlign w:val="bottom"/>
            <w:tcBorders>
              <w:left w:val="single" w:sz="8" w:color="auto"/>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or Units of</w:t>
            </w:r>
          </w:p>
        </w:tc>
        <w:tc>
          <w:tcPr>
            <w:tcW w:w="1080" w:type="dxa"/>
            <w:vAlign w:val="bottom"/>
            <w:tcBorders>
              <w:right w:val="single" w:sz="8" w:color="auto"/>
            </w:tcBorders>
            <w:vMerge w:val="restart"/>
          </w:tcPr>
          <w:p>
            <w:pPr>
              <w:jc w:val="center"/>
              <w:ind w:right="99"/>
              <w:spacing w:after="0"/>
              <w:rPr>
                <w:sz w:val="20"/>
                <w:szCs w:val="20"/>
                <w:color w:val="auto"/>
              </w:rPr>
            </w:pPr>
            <w:r>
              <w:rPr>
                <w:rFonts w:ascii="Times New Roman" w:cs="Times New Roman" w:eastAsia="Times New Roman" w:hAnsi="Times New Roman"/>
                <w:sz w:val="15"/>
                <w:szCs w:val="15"/>
                <w:color w:val="auto"/>
              </w:rPr>
              <w:t>of Shares or</w:t>
            </w:r>
          </w:p>
        </w:tc>
        <w:tc>
          <w:tcPr>
            <w:tcW w:w="900" w:type="dxa"/>
            <w:vAlign w:val="bottom"/>
            <w:tcBorders>
              <w:right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5"/>
                <w:szCs w:val="15"/>
                <w:color w:val="auto"/>
              </w:rPr>
              <w:t>Common</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Name</w:t>
            </w:r>
          </w:p>
        </w:tc>
        <w:tc>
          <w:tcPr>
            <w:tcW w:w="60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5"/>
                <w:szCs w:val="15"/>
                <w:color w:val="auto"/>
                <w:w w:val="98"/>
              </w:rPr>
              <w:t>Class</w:t>
            </w:r>
          </w:p>
        </w:tc>
        <w:tc>
          <w:tcPr>
            <w:tcW w:w="1220" w:type="dxa"/>
            <w:vAlign w:val="bottom"/>
            <w:tcBorders>
              <w:right w:val="single" w:sz="8" w:color="auto"/>
            </w:tcBorders>
            <w:vMerge w:val="restart"/>
          </w:tcPr>
          <w:p>
            <w:pPr>
              <w:jc w:val="center"/>
              <w:ind w:right="76"/>
              <w:spacing w:after="0"/>
              <w:rPr>
                <w:sz w:val="20"/>
                <w:szCs w:val="20"/>
                <w:color w:val="auto"/>
              </w:rPr>
            </w:pPr>
            <w:r>
              <w:rPr>
                <w:rFonts w:ascii="Times New Roman" w:cs="Times New Roman" w:eastAsia="Times New Roman" w:hAnsi="Times New Roman"/>
                <w:sz w:val="15"/>
                <w:szCs w:val="15"/>
                <w:color w:val="auto"/>
              </w:rPr>
              <w:t>Unexercised</w:t>
            </w:r>
          </w:p>
        </w:tc>
        <w:tc>
          <w:tcPr>
            <w:tcW w:w="1200" w:type="dxa"/>
            <w:vAlign w:val="bottom"/>
            <w:tcBorders>
              <w:right w:val="single" w:sz="8" w:color="auto"/>
            </w:tcBorders>
            <w:vMerge w:val="restart"/>
          </w:tcPr>
          <w:p>
            <w:pPr>
              <w:jc w:val="center"/>
              <w:ind w:right="74"/>
              <w:spacing w:after="0"/>
              <w:rPr>
                <w:sz w:val="20"/>
                <w:szCs w:val="20"/>
                <w:color w:val="auto"/>
              </w:rPr>
            </w:pPr>
            <w:r>
              <w:rPr>
                <w:rFonts w:ascii="Times New Roman" w:cs="Times New Roman" w:eastAsia="Times New Roman" w:hAnsi="Times New Roman"/>
                <w:sz w:val="15"/>
                <w:szCs w:val="15"/>
                <w:color w:val="auto"/>
              </w:rPr>
              <w:t>Unexercised</w:t>
            </w:r>
          </w:p>
        </w:tc>
        <w:tc>
          <w:tcPr>
            <w:tcW w:w="1080" w:type="dxa"/>
            <w:vAlign w:val="bottom"/>
            <w:tcBorders>
              <w:right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5"/>
                <w:szCs w:val="15"/>
                <w:color w:val="auto"/>
              </w:rPr>
              <w:t>Underlying</w:t>
            </w:r>
          </w:p>
        </w:tc>
        <w:tc>
          <w:tcPr>
            <w:tcW w:w="900" w:type="dxa"/>
            <w:vAlign w:val="bottom"/>
            <w:tcBorders>
              <w:right w:val="single" w:sz="8" w:color="auto"/>
            </w:tcBorders>
            <w:vMerge w:val="restart"/>
          </w:tcPr>
          <w:p>
            <w:pPr>
              <w:jc w:val="center"/>
              <w:ind w:right="75"/>
              <w:spacing w:after="0"/>
              <w:rPr>
                <w:sz w:val="20"/>
                <w:szCs w:val="20"/>
                <w:color w:val="auto"/>
              </w:rPr>
            </w:pPr>
            <w:r>
              <w:rPr>
                <w:rFonts w:ascii="Times New Roman" w:cs="Times New Roman" w:eastAsia="Times New Roman" w:hAnsi="Times New Roman"/>
                <w:sz w:val="15"/>
                <w:szCs w:val="15"/>
                <w:color w:val="auto"/>
              </w:rPr>
              <w:t>Exercise</w:t>
            </w:r>
          </w:p>
        </w:tc>
        <w:tc>
          <w:tcPr>
            <w:tcW w:w="1080" w:type="dxa"/>
            <w:vAlign w:val="bottom"/>
            <w:tcBorders>
              <w:right w:val="single" w:sz="8" w:color="auto"/>
            </w:tcBorders>
            <w:vMerge w:val="restart"/>
          </w:tcPr>
          <w:p>
            <w:pPr>
              <w:jc w:val="center"/>
              <w:ind w:right="75"/>
              <w:spacing w:after="0"/>
              <w:rPr>
                <w:sz w:val="20"/>
                <w:szCs w:val="20"/>
                <w:color w:val="auto"/>
              </w:rPr>
            </w:pPr>
            <w:r>
              <w:rPr>
                <w:rFonts w:ascii="Times New Roman" w:cs="Times New Roman" w:eastAsia="Times New Roman" w:hAnsi="Times New Roman"/>
                <w:sz w:val="15"/>
                <w:szCs w:val="15"/>
                <w:color w:val="auto"/>
              </w:rPr>
              <w:t>Expiration</w:t>
            </w:r>
          </w:p>
        </w:tc>
        <w:tc>
          <w:tcPr>
            <w:tcW w:w="11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center"/>
              <w:ind w:right="74"/>
              <w:spacing w:after="0"/>
              <w:rPr>
                <w:sz w:val="20"/>
                <w:szCs w:val="20"/>
                <w:color w:val="auto"/>
              </w:rPr>
            </w:pPr>
            <w:r>
              <w:rPr>
                <w:rFonts w:ascii="Times New Roman" w:cs="Times New Roman" w:eastAsia="Times New Roman" w:hAnsi="Times New Roman"/>
                <w:sz w:val="15"/>
                <w:szCs w:val="15"/>
                <w:color w:val="auto"/>
              </w:rPr>
              <w:t>Unearned</w:t>
            </w:r>
          </w:p>
        </w:tc>
        <w:tc>
          <w:tcPr>
            <w:tcW w:w="0" w:type="dxa"/>
            <w:vAlign w:val="bottom"/>
          </w:tcPr>
          <w:p>
            <w:pPr>
              <w:spacing w:after="0"/>
              <w:rPr>
                <w:sz w:val="1"/>
                <w:szCs w:val="1"/>
                <w:color w:val="auto"/>
              </w:rPr>
            </w:pPr>
          </w:p>
        </w:tc>
      </w:tr>
      <w:tr>
        <w:trPr>
          <w:trHeight w:val="91"/>
        </w:trPr>
        <w:tc>
          <w:tcPr>
            <w:tcW w:w="1160" w:type="dxa"/>
            <w:vAlign w:val="bottom"/>
            <w:tcBorders>
              <w:left w:val="single" w:sz="8" w:color="auto"/>
              <w:right w:val="single" w:sz="8" w:color="auto"/>
            </w:tcBorders>
            <w:vMerge w:val="continue"/>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spacing w:after="0" w:line="169" w:lineRule="exact"/>
              <w:rPr>
                <w:sz w:val="20"/>
                <w:szCs w:val="20"/>
                <w:color w:val="auto"/>
              </w:rPr>
            </w:pPr>
            <w:r>
              <w:rPr>
                <w:rFonts w:ascii="Times New Roman" w:cs="Times New Roman" w:eastAsia="Times New Roman" w:hAnsi="Times New Roman"/>
                <w:sz w:val="15"/>
                <w:szCs w:val="15"/>
                <w:color w:val="auto"/>
              </w:rPr>
              <w:t>Stock that Have</w:t>
            </w:r>
          </w:p>
        </w:tc>
        <w:tc>
          <w:tcPr>
            <w:tcW w:w="1080" w:type="dxa"/>
            <w:vAlign w:val="bottom"/>
            <w:tcBorders>
              <w:right w:val="single" w:sz="8" w:color="auto"/>
            </w:tcBorders>
            <w:vMerge w:val="restart"/>
          </w:tcPr>
          <w:p>
            <w:pPr>
              <w:jc w:val="center"/>
              <w:ind w:right="59"/>
              <w:spacing w:after="0" w:line="169" w:lineRule="exact"/>
              <w:rPr>
                <w:sz w:val="20"/>
                <w:szCs w:val="20"/>
                <w:color w:val="auto"/>
              </w:rPr>
            </w:pPr>
            <w:r>
              <w:rPr>
                <w:rFonts w:ascii="Times New Roman" w:cs="Times New Roman" w:eastAsia="Times New Roman" w:hAnsi="Times New Roman"/>
                <w:sz w:val="15"/>
                <w:szCs w:val="15"/>
                <w:color w:val="auto"/>
                <w:w w:val="99"/>
              </w:rPr>
              <w:t>Units that Have</w:t>
            </w:r>
          </w:p>
        </w:tc>
        <w:tc>
          <w:tcPr>
            <w:tcW w:w="900" w:type="dxa"/>
            <w:vAlign w:val="bottom"/>
            <w:tcBorders>
              <w:right w:val="single" w:sz="8" w:color="auto"/>
            </w:tcBorders>
            <w:vMerge w:val="restart"/>
          </w:tcPr>
          <w:p>
            <w:pPr>
              <w:jc w:val="center"/>
              <w:ind w:right="54"/>
              <w:spacing w:after="0" w:line="169" w:lineRule="exact"/>
              <w:rPr>
                <w:sz w:val="20"/>
                <w:szCs w:val="20"/>
                <w:color w:val="auto"/>
              </w:rPr>
            </w:pPr>
            <w:r>
              <w:rPr>
                <w:rFonts w:ascii="Times New Roman" w:cs="Times New Roman" w:eastAsia="Times New Roman" w:hAnsi="Times New Roman"/>
                <w:sz w:val="15"/>
                <w:szCs w:val="15"/>
                <w:color w:val="auto"/>
              </w:rPr>
              <w:t>Shares That</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160" w:type="dxa"/>
            <w:vAlign w:val="bottom"/>
            <w:tcBorders>
              <w:left w:val="single" w:sz="8" w:color="auto"/>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center"/>
              <w:ind w:right="36"/>
              <w:spacing w:after="0" w:line="162" w:lineRule="exact"/>
              <w:rPr>
                <w:sz w:val="20"/>
                <w:szCs w:val="20"/>
                <w:color w:val="auto"/>
              </w:rPr>
            </w:pPr>
            <w:r>
              <w:rPr>
                <w:rFonts w:ascii="Times New Roman" w:cs="Times New Roman" w:eastAsia="Times New Roman" w:hAnsi="Times New Roman"/>
                <w:sz w:val="15"/>
                <w:szCs w:val="15"/>
                <w:color w:val="auto"/>
              </w:rPr>
              <w:t>Options‎</w:t>
            </w:r>
          </w:p>
        </w:tc>
        <w:tc>
          <w:tcPr>
            <w:tcW w:w="1200" w:type="dxa"/>
            <w:vAlign w:val="bottom"/>
            <w:tcBorders>
              <w:right w:val="single" w:sz="8" w:color="auto"/>
            </w:tcBorders>
            <w:vMerge w:val="restart"/>
          </w:tcPr>
          <w:p>
            <w:pPr>
              <w:jc w:val="center"/>
              <w:ind w:right="74"/>
              <w:spacing w:after="0" w:line="162" w:lineRule="exact"/>
              <w:rPr>
                <w:sz w:val="20"/>
                <w:szCs w:val="20"/>
                <w:color w:val="auto"/>
              </w:rPr>
            </w:pPr>
            <w:r>
              <w:rPr>
                <w:rFonts w:ascii="Times New Roman" w:cs="Times New Roman" w:eastAsia="Times New Roman" w:hAnsi="Times New Roman"/>
                <w:sz w:val="15"/>
                <w:szCs w:val="15"/>
                <w:color w:val="auto"/>
              </w:rPr>
              <w:t>Options</w:t>
            </w:r>
          </w:p>
        </w:tc>
        <w:tc>
          <w:tcPr>
            <w:tcW w:w="1080" w:type="dxa"/>
            <w:vAlign w:val="bottom"/>
            <w:tcBorders>
              <w:right w:val="single" w:sz="8" w:color="auto"/>
            </w:tcBorders>
            <w:vMerge w:val="restart"/>
          </w:tcPr>
          <w:p>
            <w:pPr>
              <w:jc w:val="center"/>
              <w:ind w:right="74"/>
              <w:spacing w:after="0" w:line="162" w:lineRule="exact"/>
              <w:rPr>
                <w:sz w:val="20"/>
                <w:szCs w:val="20"/>
                <w:color w:val="auto"/>
              </w:rPr>
            </w:pPr>
            <w:r>
              <w:rPr>
                <w:rFonts w:ascii="Times New Roman" w:cs="Times New Roman" w:eastAsia="Times New Roman" w:hAnsi="Times New Roman"/>
                <w:sz w:val="15"/>
                <w:szCs w:val="15"/>
                <w:color w:val="auto"/>
              </w:rPr>
              <w:t>Unexercised</w:t>
            </w:r>
          </w:p>
        </w:tc>
        <w:tc>
          <w:tcPr>
            <w:tcW w:w="900" w:type="dxa"/>
            <w:vAlign w:val="bottom"/>
            <w:tcBorders>
              <w:right w:val="single" w:sz="8" w:color="auto"/>
            </w:tcBorders>
            <w:vMerge w:val="restart"/>
          </w:tcPr>
          <w:p>
            <w:pPr>
              <w:jc w:val="center"/>
              <w:ind w:right="35"/>
              <w:spacing w:after="0" w:line="162" w:lineRule="exact"/>
              <w:rPr>
                <w:sz w:val="20"/>
                <w:szCs w:val="20"/>
                <w:color w:val="auto"/>
              </w:rPr>
            </w:pPr>
            <w:r>
              <w:rPr>
                <w:rFonts w:ascii="Times New Roman" w:cs="Times New Roman" w:eastAsia="Times New Roman" w:hAnsi="Times New Roman"/>
                <w:sz w:val="15"/>
                <w:szCs w:val="15"/>
                <w:color w:val="auto"/>
              </w:rPr>
              <w:t>Price ($)</w:t>
            </w:r>
          </w:p>
        </w:tc>
        <w:tc>
          <w:tcPr>
            <w:tcW w:w="1080" w:type="dxa"/>
            <w:vAlign w:val="bottom"/>
            <w:tcBorders>
              <w:right w:val="single" w:sz="8" w:color="auto"/>
            </w:tcBorders>
            <w:vMerge w:val="restart"/>
          </w:tcPr>
          <w:p>
            <w:pPr>
              <w:jc w:val="center"/>
              <w:ind w:right="35"/>
              <w:spacing w:after="0" w:line="162" w:lineRule="exact"/>
              <w:rPr>
                <w:sz w:val="20"/>
                <w:szCs w:val="20"/>
                <w:color w:val="auto"/>
              </w:rPr>
            </w:pPr>
            <w:r>
              <w:rPr>
                <w:rFonts w:ascii="Times New Roman" w:cs="Times New Roman" w:eastAsia="Times New Roman" w:hAnsi="Times New Roman"/>
                <w:sz w:val="15"/>
                <w:szCs w:val="15"/>
                <w:color w:val="auto"/>
                <w:w w:val="98"/>
              </w:rPr>
              <w:t>Date</w:t>
            </w:r>
          </w:p>
        </w:tc>
        <w:tc>
          <w:tcPr>
            <w:tcW w:w="110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ind w:right="74"/>
              <w:spacing w:after="0" w:line="162" w:lineRule="exact"/>
              <w:rPr>
                <w:sz w:val="20"/>
                <w:szCs w:val="20"/>
                <w:color w:val="auto"/>
              </w:rPr>
            </w:pPr>
            <w:r>
              <w:rPr>
                <w:rFonts w:ascii="Times New Roman" w:cs="Times New Roman" w:eastAsia="Times New Roman" w:hAnsi="Times New Roman"/>
                <w:sz w:val="15"/>
                <w:szCs w:val="15"/>
                <w:color w:val="auto"/>
              </w:rPr>
              <w:t>Shares That</w:t>
            </w:r>
          </w:p>
        </w:tc>
        <w:tc>
          <w:tcPr>
            <w:tcW w:w="0" w:type="dxa"/>
            <w:vAlign w:val="bottom"/>
          </w:tcPr>
          <w:p>
            <w:pPr>
              <w:spacing w:after="0"/>
              <w:rPr>
                <w:sz w:val="1"/>
                <w:szCs w:val="1"/>
                <w:color w:val="auto"/>
              </w:rPr>
            </w:pPr>
          </w:p>
        </w:tc>
      </w:tr>
      <w:tr>
        <w:trPr>
          <w:trHeight w:val="83"/>
        </w:trPr>
        <w:tc>
          <w:tcPr>
            <w:tcW w:w="1160" w:type="dxa"/>
            <w:vAlign w:val="bottom"/>
            <w:tcBorders>
              <w:left w:val="single" w:sz="8" w:color="auto"/>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15"/>
                <w:szCs w:val="15"/>
                <w:color w:val="auto"/>
              </w:rPr>
              <w:t>Not Vested</w:t>
            </w:r>
          </w:p>
        </w:tc>
        <w:tc>
          <w:tcPr>
            <w:tcW w:w="1080" w:type="dxa"/>
            <w:vAlign w:val="bottom"/>
            <w:tcBorders>
              <w:right w:val="single" w:sz="8" w:color="auto"/>
            </w:tcBorders>
            <w:vMerge w:val="restart"/>
          </w:tcPr>
          <w:p>
            <w:pPr>
              <w:jc w:val="center"/>
              <w:ind w:right="59"/>
              <w:spacing w:after="0" w:line="182" w:lineRule="exact"/>
              <w:rPr>
                <w:sz w:val="20"/>
                <w:szCs w:val="20"/>
                <w:color w:val="auto"/>
              </w:rPr>
            </w:pPr>
            <w:r>
              <w:rPr>
                <w:rFonts w:ascii="Times New Roman" w:cs="Times New Roman" w:eastAsia="Times New Roman" w:hAnsi="Times New Roman"/>
                <w:sz w:val="13"/>
                <w:szCs w:val="13"/>
                <w:color w:val="auto"/>
              </w:rPr>
              <w:t xml:space="preserve">Not Vested </w:t>
            </w:r>
            <w:r>
              <w:rPr>
                <w:rFonts w:ascii="Times New Roman" w:cs="Times New Roman" w:eastAsia="Times New Roman" w:hAnsi="Times New Roman"/>
                <w:sz w:val="21"/>
                <w:szCs w:val="21"/>
                <w:color w:val="auto"/>
                <w:vertAlign w:val="superscript"/>
              </w:rPr>
              <w:t>(1)</w:t>
            </w:r>
          </w:p>
        </w:tc>
        <w:tc>
          <w:tcPr>
            <w:tcW w:w="900" w:type="dxa"/>
            <w:vAlign w:val="bottom"/>
            <w:tcBorders>
              <w:right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5"/>
                <w:szCs w:val="15"/>
                <w:color w:val="auto"/>
              </w:rPr>
              <w:t>Have Not</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160" w:type="dxa"/>
            <w:vAlign w:val="bottom"/>
            <w:tcBorders>
              <w:left w:val="single" w:sz="8" w:color="auto"/>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5"/>
                <w:szCs w:val="15"/>
                <w:color w:val="auto"/>
                <w:w w:val="99"/>
              </w:rPr>
              <w:t>Exercisable‎</w:t>
            </w:r>
          </w:p>
        </w:tc>
        <w:tc>
          <w:tcPr>
            <w:tcW w:w="120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5"/>
                <w:szCs w:val="15"/>
                <w:color w:val="auto"/>
              </w:rPr>
              <w:t>Unexercisable</w:t>
            </w:r>
          </w:p>
        </w:tc>
        <w:tc>
          <w:tcPr>
            <w:tcW w:w="1080" w:type="dxa"/>
            <w:vAlign w:val="bottom"/>
            <w:tcBorders>
              <w:right w:val="single" w:sz="8" w:color="auto"/>
            </w:tcBorders>
            <w:vMerge w:val="restart"/>
          </w:tcPr>
          <w:p>
            <w:pPr>
              <w:jc w:val="center"/>
              <w:ind w:right="74"/>
              <w:spacing w:after="0"/>
              <w:rPr>
                <w:sz w:val="20"/>
                <w:szCs w:val="20"/>
                <w:color w:val="auto"/>
              </w:rPr>
            </w:pPr>
            <w:r>
              <w:rPr>
                <w:rFonts w:ascii="Times New Roman" w:cs="Times New Roman" w:eastAsia="Times New Roman" w:hAnsi="Times New Roman"/>
                <w:sz w:val="15"/>
                <w:szCs w:val="15"/>
                <w:color w:val="auto"/>
              </w:rPr>
              <w:t>Unearned</w:t>
            </w:r>
          </w:p>
        </w:tc>
        <w:tc>
          <w:tcPr>
            <w:tcW w:w="9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5"/>
                <w:szCs w:val="15"/>
                <w:color w:val="auto"/>
              </w:rPr>
              <w:t>Have Not</w:t>
            </w:r>
          </w:p>
        </w:tc>
        <w:tc>
          <w:tcPr>
            <w:tcW w:w="0" w:type="dxa"/>
            <w:vAlign w:val="bottom"/>
          </w:tcPr>
          <w:p>
            <w:pPr>
              <w:spacing w:after="0"/>
              <w:rPr>
                <w:sz w:val="1"/>
                <w:szCs w:val="1"/>
                <w:color w:val="auto"/>
              </w:rPr>
            </w:pPr>
          </w:p>
        </w:tc>
      </w:tr>
      <w:tr>
        <w:trPr>
          <w:trHeight w:val="77"/>
        </w:trPr>
        <w:tc>
          <w:tcPr>
            <w:tcW w:w="1160" w:type="dxa"/>
            <w:vAlign w:val="bottom"/>
            <w:tcBorders>
              <w:left w:val="single" w:sz="8" w:color="auto"/>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5"/>
                <w:szCs w:val="15"/>
                <w:color w:val="auto"/>
                <w:w w:val="95"/>
              </w:rPr>
              <w:t>Vested</w:t>
            </w: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5"/>
                <w:szCs w:val="15"/>
                <w:color w:val="auto"/>
              </w:rPr>
              <w:t>Options</w:t>
            </w: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5"/>
                <w:szCs w:val="15"/>
                <w:color w:val="auto"/>
                <w:w w:val="95"/>
              </w:rPr>
              <w:t>Vested</w:t>
            </w:r>
          </w:p>
        </w:tc>
        <w:tc>
          <w:tcPr>
            <w:tcW w:w="0" w:type="dxa"/>
            <w:vAlign w:val="bottom"/>
          </w:tcPr>
          <w:p>
            <w:pPr>
              <w:spacing w:after="0"/>
              <w:rPr>
                <w:sz w:val="1"/>
                <w:szCs w:val="1"/>
                <w:color w:val="auto"/>
              </w:rPr>
            </w:pPr>
          </w:p>
        </w:tc>
      </w:tr>
      <w:tr>
        <w:trPr>
          <w:trHeight w:val="58"/>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vMerge w:val="continue"/>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bottom w:val="single" w:sz="8" w:color="CEEEFA"/>
              <w:right w:val="single" w:sz="8" w:color="auto"/>
            </w:tcBorders>
            <w:shd w:val="clear" w:color="auto" w:fill="CEEEFA"/>
          </w:tcPr>
          <w:p>
            <w:pPr>
              <w:spacing w:after="0"/>
              <w:rPr>
                <w:sz w:val="15"/>
                <w:szCs w:val="15"/>
                <w:color w:val="auto"/>
              </w:rPr>
            </w:pPr>
          </w:p>
        </w:tc>
        <w:tc>
          <w:tcPr>
            <w:tcW w:w="600" w:type="dxa"/>
            <w:vAlign w:val="bottom"/>
            <w:tcBorders>
              <w:bottom w:val="single" w:sz="8" w:color="auto"/>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shd w:val="clear" w:color="auto" w:fill="CEEEFA"/>
          </w:tcPr>
          <w:p>
            <w:pPr>
              <w:jc w:val="center"/>
              <w:ind w:right="36"/>
              <w:spacing w:after="0" w:line="183" w:lineRule="exact"/>
              <w:rPr>
                <w:sz w:val="20"/>
                <w:szCs w:val="20"/>
                <w:color w:val="auto"/>
              </w:rPr>
            </w:pPr>
            <w:r>
              <w:rPr>
                <w:rFonts w:ascii="Times New Roman" w:cs="Times New Roman" w:eastAsia="Times New Roman" w:hAnsi="Times New Roman"/>
                <w:sz w:val="16"/>
                <w:szCs w:val="16"/>
                <w:color w:val="auto"/>
              </w:rPr>
              <w:t>484,499</w:t>
            </w:r>
          </w:p>
        </w:tc>
        <w:tc>
          <w:tcPr>
            <w:tcW w:w="120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5"/>
              <w:spacing w:after="0" w:line="183" w:lineRule="exact"/>
              <w:rPr>
                <w:sz w:val="20"/>
                <w:szCs w:val="20"/>
                <w:color w:val="auto"/>
              </w:rPr>
            </w:pPr>
            <w:r>
              <w:rPr>
                <w:rFonts w:ascii="Times New Roman" w:cs="Times New Roman" w:eastAsia="Times New Roman" w:hAnsi="Times New Roman"/>
                <w:sz w:val="16"/>
                <w:szCs w:val="16"/>
                <w:color w:val="auto"/>
              </w:rPr>
              <w:t>$1.47</w:t>
            </w:r>
          </w:p>
        </w:tc>
        <w:tc>
          <w:tcPr>
            <w:tcW w:w="1080" w:type="dxa"/>
            <w:vAlign w:val="bottom"/>
            <w:tcBorders>
              <w:bottom w:val="single" w:sz="8" w:color="auto"/>
              <w:right w:val="single" w:sz="8" w:color="auto"/>
            </w:tcBorders>
            <w:shd w:val="clear" w:color="auto" w:fill="CEEEFA"/>
          </w:tcPr>
          <w:p>
            <w:pPr>
              <w:jc w:val="center"/>
              <w:ind w:right="55"/>
              <w:spacing w:after="0" w:line="183" w:lineRule="exact"/>
              <w:rPr>
                <w:sz w:val="20"/>
                <w:szCs w:val="20"/>
                <w:color w:val="auto"/>
              </w:rPr>
            </w:pPr>
            <w:r>
              <w:rPr>
                <w:rFonts w:ascii="Times New Roman" w:cs="Times New Roman" w:eastAsia="Times New Roman" w:hAnsi="Times New Roman"/>
                <w:sz w:val="16"/>
                <w:szCs w:val="16"/>
                <w:color w:val="auto"/>
              </w:rPr>
              <w:t>6/5/2034</w:t>
            </w:r>
          </w:p>
        </w:tc>
        <w:tc>
          <w:tcPr>
            <w:tcW w:w="1100" w:type="dxa"/>
            <w:vAlign w:val="bottom"/>
            <w:tcBorders>
              <w:bottom w:val="single" w:sz="8" w:color="auto"/>
              <w:right w:val="single" w:sz="8" w:color="auto"/>
            </w:tcBorders>
            <w:shd w:val="clear" w:color="auto" w:fill="CEEEFA"/>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59"/>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bottom w:val="single" w:sz="8" w:color="CEEEFA"/>
              <w:right w:val="single" w:sz="8" w:color="auto"/>
            </w:tcBorders>
            <w:vMerge w:val="restart"/>
            <w:shd w:val="clear" w:color="auto" w:fill="CEEEFA"/>
          </w:tcPr>
          <w:p>
            <w:pPr>
              <w:jc w:val="center"/>
              <w:spacing w:after="0"/>
              <w:rPr>
                <w:sz w:val="20"/>
                <w:szCs w:val="20"/>
                <w:color w:val="auto"/>
              </w:rPr>
            </w:pPr>
            <w:r>
              <w:rPr>
                <w:rFonts w:ascii="Times New Roman" w:cs="Times New Roman" w:eastAsia="Times New Roman" w:hAnsi="Times New Roman"/>
                <w:sz w:val="16"/>
                <w:szCs w:val="16"/>
                <w:b w:val="1"/>
                <w:bCs w:val="1"/>
                <w:color w:val="auto"/>
              </w:rPr>
              <w:t>Ellen M.</w:t>
            </w:r>
          </w:p>
        </w:tc>
        <w:tc>
          <w:tcPr>
            <w:tcW w:w="600" w:type="dxa"/>
            <w:vAlign w:val="bottom"/>
            <w:tcBorders>
              <w:bottom w:val="single" w:sz="8" w:color="auto"/>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shd w:val="clear" w:color="auto" w:fill="CEEEFA"/>
          </w:tcPr>
          <w:p>
            <w:pPr>
              <w:jc w:val="center"/>
              <w:ind w:right="36"/>
              <w:spacing w:after="0" w:line="183" w:lineRule="exact"/>
              <w:rPr>
                <w:sz w:val="20"/>
                <w:szCs w:val="20"/>
                <w:color w:val="auto"/>
              </w:rPr>
            </w:pPr>
            <w:r>
              <w:rPr>
                <w:rFonts w:ascii="Times New Roman" w:cs="Times New Roman" w:eastAsia="Times New Roman" w:hAnsi="Times New Roman"/>
                <w:sz w:val="16"/>
                <w:szCs w:val="16"/>
                <w:color w:val="auto"/>
              </w:rPr>
              <w:t>772,500</w:t>
            </w:r>
          </w:p>
        </w:tc>
        <w:tc>
          <w:tcPr>
            <w:tcW w:w="120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5"/>
              <w:spacing w:after="0" w:line="183" w:lineRule="exact"/>
              <w:rPr>
                <w:sz w:val="20"/>
                <w:szCs w:val="20"/>
                <w:color w:val="auto"/>
              </w:rPr>
            </w:pPr>
            <w:r>
              <w:rPr>
                <w:rFonts w:ascii="Times New Roman" w:cs="Times New Roman" w:eastAsia="Times New Roman" w:hAnsi="Times New Roman"/>
                <w:sz w:val="16"/>
                <w:szCs w:val="16"/>
                <w:color w:val="auto"/>
              </w:rPr>
              <w:t>$1.43</w:t>
            </w:r>
          </w:p>
        </w:tc>
        <w:tc>
          <w:tcPr>
            <w:tcW w:w="1080" w:type="dxa"/>
            <w:vAlign w:val="bottom"/>
            <w:tcBorders>
              <w:bottom w:val="single" w:sz="8" w:color="auto"/>
              <w:right w:val="single" w:sz="8" w:color="auto"/>
            </w:tcBorders>
            <w:shd w:val="clear" w:color="auto" w:fill="CEEEFA"/>
          </w:tcPr>
          <w:p>
            <w:pPr>
              <w:jc w:val="center"/>
              <w:ind w:right="55"/>
              <w:spacing w:after="0" w:line="183" w:lineRule="exact"/>
              <w:rPr>
                <w:sz w:val="20"/>
                <w:szCs w:val="20"/>
                <w:color w:val="auto"/>
              </w:rPr>
            </w:pPr>
            <w:r>
              <w:rPr>
                <w:rFonts w:ascii="Times New Roman" w:cs="Times New Roman" w:eastAsia="Times New Roman" w:hAnsi="Times New Roman"/>
                <w:sz w:val="16"/>
                <w:szCs w:val="16"/>
                <w:color w:val="auto"/>
              </w:rPr>
              <w:t>6/10/2030</w:t>
            </w:r>
          </w:p>
        </w:tc>
        <w:tc>
          <w:tcPr>
            <w:tcW w:w="1100" w:type="dxa"/>
            <w:vAlign w:val="bottom"/>
            <w:tcBorders>
              <w:bottom w:val="single" w:sz="8" w:color="auto"/>
              <w:right w:val="single" w:sz="8" w:color="auto"/>
            </w:tcBorders>
            <w:shd w:val="clear" w:color="auto" w:fill="CEEEFA"/>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59"/>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8"/>
        </w:trPr>
        <w:tc>
          <w:tcPr>
            <w:tcW w:w="1160" w:type="dxa"/>
            <w:vAlign w:val="bottom"/>
            <w:tcBorders>
              <w:left w:val="single" w:sz="8" w:color="auto"/>
              <w:bottom w:val="single" w:sz="8" w:color="CEEEFA"/>
              <w:right w:val="single" w:sz="8" w:color="auto"/>
            </w:tcBorders>
            <w:vMerge w:val="continue"/>
            <w:shd w:val="clear" w:color="auto" w:fill="CEEEFA"/>
          </w:tcPr>
          <w:p>
            <w:pPr>
              <w:spacing w:after="0"/>
              <w:rPr>
                <w:sz w:val="19"/>
                <w:szCs w:val="19"/>
                <w:color w:val="auto"/>
              </w:rPr>
            </w:pPr>
          </w:p>
        </w:tc>
        <w:tc>
          <w:tcPr>
            <w:tcW w:w="600" w:type="dxa"/>
            <w:vAlign w:val="bottom"/>
            <w:tcBorders>
              <w:bottom w:val="single" w:sz="8" w:color="CEEEFA"/>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CEEEFA"/>
              <w:right w:val="single" w:sz="8" w:color="auto"/>
            </w:tcBorders>
            <w:shd w:val="clear" w:color="auto" w:fill="CEEEFA"/>
          </w:tcPr>
          <w:p>
            <w:pPr>
              <w:jc w:val="center"/>
              <w:ind w:right="36"/>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EEEFA"/>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CEEEFA"/>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EEEFA"/>
              <w:right w:val="single" w:sz="8" w:color="auto"/>
            </w:tcBorders>
            <w:shd w:val="clear" w:color="auto" w:fill="CEEEFA"/>
          </w:tcPr>
          <w:p>
            <w:pPr>
              <w:jc w:val="center"/>
              <w:ind w:right="35"/>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CEEEFA"/>
              <w:right w:val="single" w:sz="8" w:color="auto"/>
            </w:tcBorders>
            <w:shd w:val="clear" w:color="auto" w:fill="CEEEFA"/>
          </w:tcPr>
          <w:p>
            <w:pPr>
              <w:jc w:val="center"/>
              <w:ind w:right="55"/>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CEEEFA"/>
              <w:right w:val="single" w:sz="8" w:color="auto"/>
            </w:tcBorders>
            <w:shd w:val="clear" w:color="auto" w:fill="CEEEFA"/>
          </w:tcPr>
          <w:p>
            <w:pPr>
              <w:jc w:val="center"/>
              <w:ind w:right="60"/>
              <w:spacing w:after="0" w:line="183" w:lineRule="exact"/>
              <w:rPr>
                <w:sz w:val="20"/>
                <w:szCs w:val="20"/>
                <w:color w:val="auto"/>
              </w:rPr>
            </w:pPr>
            <w:r>
              <w:rPr>
                <w:rFonts w:ascii="Times New Roman" w:cs="Times New Roman" w:eastAsia="Times New Roman" w:hAnsi="Times New Roman"/>
                <w:sz w:val="14"/>
                <w:szCs w:val="14"/>
                <w:color w:val="auto"/>
              </w:rPr>
              <w:t>11,990</w:t>
            </w:r>
            <w:r>
              <w:rPr>
                <w:rFonts w:ascii="Times New Roman" w:cs="Times New Roman" w:eastAsia="Times New Roman" w:hAnsi="Times New Roman"/>
                <w:sz w:val="21"/>
                <w:szCs w:val="21"/>
                <w:color w:val="auto"/>
                <w:vertAlign w:val="superscript"/>
              </w:rPr>
              <w:t>(2)</w:t>
            </w:r>
          </w:p>
        </w:tc>
        <w:tc>
          <w:tcPr>
            <w:tcW w:w="1080" w:type="dxa"/>
            <w:vAlign w:val="bottom"/>
            <w:tcBorders>
              <w:bottom w:val="single" w:sz="8" w:color="CEEEFA"/>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w w:val="99"/>
              </w:rPr>
              <w:t>$12,543</w:t>
            </w:r>
          </w:p>
        </w:tc>
        <w:tc>
          <w:tcPr>
            <w:tcW w:w="900" w:type="dxa"/>
            <w:vAlign w:val="bottom"/>
            <w:tcBorders>
              <w:bottom w:val="single" w:sz="8" w:color="CEEEFA"/>
              <w:right w:val="single" w:sz="8" w:color="auto"/>
            </w:tcBorders>
            <w:shd w:val="clear" w:color="auto" w:fill="CEEEFA"/>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EEEFA"/>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2"/>
        </w:trPr>
        <w:tc>
          <w:tcPr>
            <w:tcW w:w="1160" w:type="dxa"/>
            <w:vAlign w:val="bottom"/>
            <w:tcBorders>
              <w:top w:val="single" w:sz="8" w:color="CEEEFA"/>
              <w:left w:val="single" w:sz="8" w:color="auto"/>
              <w:right w:val="single" w:sz="8" w:color="auto"/>
            </w:tcBorders>
            <w:shd w:val="clear" w:color="auto" w:fill="CEEEFA"/>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Cotter</w:t>
            </w:r>
          </w:p>
        </w:tc>
        <w:tc>
          <w:tcPr>
            <w:tcW w:w="600" w:type="dxa"/>
            <w:vAlign w:val="bottom"/>
            <w:tcBorders>
              <w:top w:val="single" w:sz="8" w:color="auto"/>
              <w:right w:val="single" w:sz="8" w:color="auto"/>
            </w:tcBorders>
            <w:vMerge w:val="restart"/>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top w:val="single" w:sz="8" w:color="auto"/>
              <w:right w:val="single" w:sz="8" w:color="auto"/>
            </w:tcBorders>
            <w:vMerge w:val="restart"/>
            <w:shd w:val="clear" w:color="auto" w:fill="CEEEFA"/>
          </w:tcPr>
          <w:p>
            <w:pPr>
              <w:jc w:val="center"/>
              <w:ind w:right="36"/>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top w:val="single" w:sz="8" w:color="auto"/>
              <w:right w:val="single" w:sz="8" w:color="auto"/>
            </w:tcBorders>
            <w:vMerge w:val="restart"/>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right w:val="single" w:sz="8" w:color="auto"/>
            </w:tcBorders>
            <w:vMerge w:val="restart"/>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top w:val="single" w:sz="8" w:color="auto"/>
              <w:right w:val="single" w:sz="8" w:color="auto"/>
            </w:tcBorders>
            <w:vMerge w:val="restart"/>
            <w:shd w:val="clear" w:color="auto" w:fill="CEEEFA"/>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right w:val="single" w:sz="8" w:color="auto"/>
            </w:tcBorders>
            <w:vMerge w:val="restart"/>
            <w:shd w:val="clear" w:color="auto" w:fill="CEEEFA"/>
          </w:tcPr>
          <w:p>
            <w:pPr>
              <w:jc w:val="center"/>
              <w:ind w:right="55"/>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vMerge w:val="restart"/>
            <w:shd w:val="clear" w:color="auto" w:fill="CEEEFA"/>
          </w:tcPr>
          <w:p>
            <w:pPr>
              <w:jc w:val="center"/>
              <w:ind w:right="60"/>
              <w:spacing w:after="0" w:line="223" w:lineRule="exact"/>
              <w:rPr>
                <w:sz w:val="20"/>
                <w:szCs w:val="20"/>
                <w:color w:val="auto"/>
              </w:rPr>
            </w:pPr>
            <w:r>
              <w:rPr>
                <w:rFonts w:ascii="Times New Roman" w:cs="Times New Roman" w:eastAsia="Times New Roman" w:hAnsi="Times New Roman"/>
                <w:sz w:val="16"/>
                <w:szCs w:val="16"/>
                <w:color w:val="auto"/>
                <w:w w:val="94"/>
              </w:rPr>
              <w:t>31,152</w:t>
            </w:r>
            <w:r>
              <w:rPr>
                <w:rFonts w:ascii="Times New Roman" w:cs="Times New Roman" w:eastAsia="Times New Roman" w:hAnsi="Times New Roman"/>
                <w:sz w:val="25"/>
                <w:szCs w:val="25"/>
                <w:color w:val="auto"/>
                <w:w w:val="94"/>
                <w:vertAlign w:val="superscript"/>
              </w:rPr>
              <w:t>(2)</w:t>
            </w:r>
          </w:p>
        </w:tc>
        <w:tc>
          <w:tcPr>
            <w:tcW w:w="1080" w:type="dxa"/>
            <w:vAlign w:val="bottom"/>
            <w:tcBorders>
              <w:top w:val="single" w:sz="8" w:color="auto"/>
              <w:right w:val="single" w:sz="8" w:color="auto"/>
            </w:tcBorders>
            <w:vMerge w:val="restart"/>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w w:val="99"/>
              </w:rPr>
              <w:t>$32,588</w:t>
            </w:r>
          </w:p>
        </w:tc>
        <w:tc>
          <w:tcPr>
            <w:tcW w:w="900" w:type="dxa"/>
            <w:vAlign w:val="bottom"/>
            <w:tcBorders>
              <w:top w:val="single" w:sz="8" w:color="auto"/>
              <w:right w:val="single" w:sz="8" w:color="auto"/>
            </w:tcBorders>
            <w:vMerge w:val="restart"/>
            <w:shd w:val="clear" w:color="auto" w:fill="CEEEFA"/>
          </w:tcPr>
          <w:p>
            <w:pPr>
              <w:jc w:val="center"/>
              <w:ind w:right="34"/>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vMerge w:val="restart"/>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71"/>
        </w:trPr>
        <w:tc>
          <w:tcPr>
            <w:tcW w:w="1160" w:type="dxa"/>
            <w:vAlign w:val="bottom"/>
            <w:tcBorders>
              <w:left w:val="single" w:sz="8" w:color="auto"/>
              <w:bottom w:val="single" w:sz="8" w:color="CEEEFA"/>
              <w:right w:val="single" w:sz="8" w:color="auto"/>
            </w:tcBorders>
            <w:shd w:val="clear" w:color="auto" w:fill="CEEEFA"/>
          </w:tcPr>
          <w:p>
            <w:pPr>
              <w:spacing w:after="0"/>
              <w:rPr>
                <w:sz w:val="6"/>
                <w:szCs w:val="6"/>
                <w:color w:val="auto"/>
              </w:rPr>
            </w:pPr>
          </w:p>
        </w:tc>
        <w:tc>
          <w:tcPr>
            <w:tcW w:w="6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22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2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08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9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08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1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08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9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92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shd w:val="clear" w:color="auto" w:fill="CEEEFA"/>
          </w:tcPr>
          <w:p>
            <w:pPr>
              <w:spacing w:after="0"/>
              <w:rPr>
                <w:sz w:val="19"/>
                <w:szCs w:val="19"/>
                <w:color w:val="auto"/>
              </w:rPr>
            </w:pPr>
          </w:p>
        </w:tc>
        <w:tc>
          <w:tcPr>
            <w:tcW w:w="600" w:type="dxa"/>
            <w:vAlign w:val="bottom"/>
            <w:tcBorders>
              <w:bottom w:val="single" w:sz="8" w:color="auto"/>
              <w:right w:val="single" w:sz="8" w:color="auto"/>
            </w:tcBorders>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shd w:val="clear" w:color="auto" w:fill="CEEEFA"/>
          </w:tcPr>
          <w:p>
            <w:pPr>
              <w:jc w:val="center"/>
              <w:ind w:right="36"/>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55"/>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shd w:val="clear" w:color="auto" w:fill="CEEEFA"/>
          </w:tcPr>
          <w:p>
            <w:pPr>
              <w:jc w:val="center"/>
              <w:ind w:right="60"/>
              <w:spacing w:after="0" w:line="223" w:lineRule="exact"/>
              <w:rPr>
                <w:sz w:val="20"/>
                <w:szCs w:val="20"/>
                <w:color w:val="auto"/>
              </w:rPr>
            </w:pPr>
            <w:r>
              <w:rPr>
                <w:rFonts w:ascii="Times New Roman" w:cs="Times New Roman" w:eastAsia="Times New Roman" w:hAnsi="Times New Roman"/>
                <w:sz w:val="16"/>
                <w:szCs w:val="16"/>
                <w:color w:val="auto"/>
                <w:w w:val="94"/>
              </w:rPr>
              <w:t>54,620</w:t>
            </w:r>
            <w:r>
              <w:rPr>
                <w:rFonts w:ascii="Times New Roman" w:cs="Times New Roman" w:eastAsia="Times New Roman" w:hAnsi="Times New Roman"/>
                <w:sz w:val="25"/>
                <w:szCs w:val="25"/>
                <w:color w:val="auto"/>
                <w:w w:val="94"/>
                <w:vertAlign w:val="superscript"/>
              </w:rPr>
              <w:t>(2)</w:t>
            </w:r>
          </w:p>
        </w:tc>
        <w:tc>
          <w:tcPr>
            <w:tcW w:w="1080" w:type="dxa"/>
            <w:vAlign w:val="bottom"/>
            <w:tcBorders>
              <w:bottom w:val="single" w:sz="8" w:color="auto"/>
              <w:right w:val="single" w:sz="8" w:color="auto"/>
            </w:tcBorders>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w w:val="99"/>
              </w:rPr>
              <w:t>$57,138</w:t>
            </w:r>
          </w:p>
        </w:tc>
        <w:tc>
          <w:tcPr>
            <w:tcW w:w="900" w:type="dxa"/>
            <w:vAlign w:val="bottom"/>
            <w:tcBorders>
              <w:bottom w:val="single" w:sz="8" w:color="auto"/>
              <w:right w:val="single" w:sz="8" w:color="auto"/>
            </w:tcBorders>
            <w:shd w:val="clear" w:color="auto" w:fill="CEEEFA"/>
          </w:tcPr>
          <w:p>
            <w:pPr>
              <w:jc w:val="center"/>
              <w:ind w:right="34"/>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tcPr>
          <w:p>
            <w:pPr>
              <w:jc w:val="center"/>
              <w:ind w:right="36"/>
              <w:spacing w:after="0" w:line="183" w:lineRule="exact"/>
              <w:rPr>
                <w:sz w:val="20"/>
                <w:szCs w:val="20"/>
                <w:color w:val="auto"/>
              </w:rPr>
            </w:pPr>
            <w:r>
              <w:rPr>
                <w:rFonts w:ascii="Times New Roman" w:cs="Times New Roman" w:eastAsia="Times New Roman" w:hAnsi="Times New Roman"/>
                <w:sz w:val="16"/>
                <w:szCs w:val="16"/>
                <w:color w:val="auto"/>
              </w:rPr>
              <w:t>129,885</w:t>
            </w:r>
          </w:p>
        </w:tc>
        <w:tc>
          <w:tcPr>
            <w:tcW w:w="1200" w:type="dxa"/>
            <w:vAlign w:val="bottom"/>
            <w:tcBorders>
              <w:bottom w:val="single" w:sz="8" w:color="auto"/>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tcPr>
          <w:p>
            <w:pPr>
              <w:jc w:val="center"/>
              <w:ind w:right="35"/>
              <w:spacing w:after="0" w:line="183" w:lineRule="exact"/>
              <w:rPr>
                <w:sz w:val="20"/>
                <w:szCs w:val="20"/>
                <w:color w:val="auto"/>
              </w:rPr>
            </w:pPr>
            <w:r>
              <w:rPr>
                <w:rFonts w:ascii="Times New Roman" w:cs="Times New Roman" w:eastAsia="Times New Roman" w:hAnsi="Times New Roman"/>
                <w:sz w:val="16"/>
                <w:szCs w:val="16"/>
                <w:color w:val="auto"/>
              </w:rPr>
              <w:t>$1.47</w:t>
            </w:r>
          </w:p>
        </w:tc>
        <w:tc>
          <w:tcPr>
            <w:tcW w:w="1080" w:type="dxa"/>
            <w:vAlign w:val="bottom"/>
            <w:tcBorders>
              <w:bottom w:val="single" w:sz="8" w:color="auto"/>
              <w:right w:val="single" w:sz="8" w:color="auto"/>
            </w:tcBorders>
          </w:tcPr>
          <w:p>
            <w:pPr>
              <w:jc w:val="center"/>
              <w:ind w:right="55"/>
              <w:spacing w:after="0" w:line="183" w:lineRule="exact"/>
              <w:rPr>
                <w:sz w:val="20"/>
                <w:szCs w:val="20"/>
                <w:color w:val="auto"/>
              </w:rPr>
            </w:pPr>
            <w:r>
              <w:rPr>
                <w:rFonts w:ascii="Times New Roman" w:cs="Times New Roman" w:eastAsia="Times New Roman" w:hAnsi="Times New Roman"/>
                <w:sz w:val="16"/>
                <w:szCs w:val="16"/>
                <w:color w:val="auto"/>
              </w:rPr>
              <w:t>6/5/2034</w:t>
            </w:r>
          </w:p>
        </w:tc>
        <w:tc>
          <w:tcPr>
            <w:tcW w:w="1100" w:type="dxa"/>
            <w:vAlign w:val="bottom"/>
            <w:tcBorders>
              <w:bottom w:val="single" w:sz="8" w:color="auto"/>
              <w:right w:val="single" w:sz="8" w:color="auto"/>
            </w:tcBorders>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ind w:right="59"/>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Margaret</w:t>
            </w:r>
          </w:p>
        </w:tc>
        <w:tc>
          <w:tcPr>
            <w:tcW w:w="600" w:type="dxa"/>
            <w:vAlign w:val="bottom"/>
            <w:tcBorders>
              <w:bottom w:val="single" w:sz="8" w:color="auto"/>
              <w:right w:val="single" w:sz="8" w:color="auto"/>
            </w:tcBorders>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tcPr>
          <w:p>
            <w:pPr>
              <w:jc w:val="center"/>
              <w:ind w:right="36"/>
              <w:spacing w:after="0" w:line="183" w:lineRule="exact"/>
              <w:rPr>
                <w:sz w:val="20"/>
                <w:szCs w:val="20"/>
                <w:color w:val="auto"/>
              </w:rPr>
            </w:pPr>
            <w:r>
              <w:rPr>
                <w:rFonts w:ascii="Times New Roman" w:cs="Times New Roman" w:eastAsia="Times New Roman" w:hAnsi="Times New Roman"/>
                <w:sz w:val="16"/>
                <w:szCs w:val="16"/>
                <w:color w:val="auto"/>
              </w:rPr>
              <w:t>160,239</w:t>
            </w:r>
          </w:p>
        </w:tc>
        <w:tc>
          <w:tcPr>
            <w:tcW w:w="1200" w:type="dxa"/>
            <w:vAlign w:val="bottom"/>
            <w:tcBorders>
              <w:bottom w:val="single" w:sz="8" w:color="auto"/>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tcPr>
          <w:p>
            <w:pPr>
              <w:jc w:val="center"/>
              <w:ind w:right="35"/>
              <w:spacing w:after="0" w:line="183" w:lineRule="exact"/>
              <w:rPr>
                <w:sz w:val="20"/>
                <w:szCs w:val="20"/>
                <w:color w:val="auto"/>
              </w:rPr>
            </w:pPr>
            <w:r>
              <w:rPr>
                <w:rFonts w:ascii="Times New Roman" w:cs="Times New Roman" w:eastAsia="Times New Roman" w:hAnsi="Times New Roman"/>
                <w:sz w:val="16"/>
                <w:szCs w:val="16"/>
                <w:color w:val="auto"/>
              </w:rPr>
              <w:t>$1.43</w:t>
            </w:r>
          </w:p>
        </w:tc>
        <w:tc>
          <w:tcPr>
            <w:tcW w:w="1080" w:type="dxa"/>
            <w:vAlign w:val="bottom"/>
            <w:tcBorders>
              <w:bottom w:val="single" w:sz="8" w:color="auto"/>
              <w:right w:val="single" w:sz="8" w:color="auto"/>
            </w:tcBorders>
          </w:tcPr>
          <w:p>
            <w:pPr>
              <w:jc w:val="center"/>
              <w:ind w:right="55"/>
              <w:spacing w:after="0" w:line="183" w:lineRule="exact"/>
              <w:rPr>
                <w:sz w:val="20"/>
                <w:szCs w:val="20"/>
                <w:color w:val="auto"/>
              </w:rPr>
            </w:pPr>
            <w:r>
              <w:rPr>
                <w:rFonts w:ascii="Times New Roman" w:cs="Times New Roman" w:eastAsia="Times New Roman" w:hAnsi="Times New Roman"/>
                <w:sz w:val="16"/>
                <w:szCs w:val="16"/>
                <w:color w:val="auto"/>
              </w:rPr>
              <w:t>6/10/2030</w:t>
            </w:r>
          </w:p>
        </w:tc>
        <w:tc>
          <w:tcPr>
            <w:tcW w:w="1100" w:type="dxa"/>
            <w:vAlign w:val="bottom"/>
            <w:tcBorders>
              <w:bottom w:val="single" w:sz="8" w:color="auto"/>
              <w:right w:val="single" w:sz="8" w:color="auto"/>
            </w:tcBorders>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ind w:right="59"/>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right w:val="single" w:sz="8" w:color="auto"/>
            </w:tcBorders>
            <w:vMerge w:val="continue"/>
          </w:tcPr>
          <w:p>
            <w:pPr>
              <w:spacing w:after="0"/>
              <w:rPr>
                <w:sz w:val="15"/>
                <w:szCs w:val="15"/>
                <w:color w:val="auto"/>
              </w:rPr>
            </w:pPr>
          </w:p>
        </w:tc>
        <w:tc>
          <w:tcPr>
            <w:tcW w:w="600" w:type="dxa"/>
            <w:vAlign w:val="bottom"/>
            <w:tcBorders>
              <w:right w:val="single" w:sz="8" w:color="auto"/>
            </w:tcBorders>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right w:val="single" w:sz="8" w:color="auto"/>
            </w:tcBorders>
          </w:tcPr>
          <w:p>
            <w:pPr>
              <w:jc w:val="center"/>
              <w:ind w:right="36"/>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ind w:right="35"/>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right w:val="single" w:sz="8" w:color="auto"/>
            </w:tcBorders>
          </w:tcPr>
          <w:p>
            <w:pPr>
              <w:jc w:val="center"/>
              <w:ind w:right="55"/>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tcPr>
          <w:p>
            <w:pPr>
              <w:jc w:val="center"/>
              <w:ind w:right="60"/>
              <w:spacing w:after="0" w:line="183" w:lineRule="exact"/>
              <w:rPr>
                <w:sz w:val="20"/>
                <w:szCs w:val="20"/>
                <w:color w:val="auto"/>
              </w:rPr>
            </w:pPr>
            <w:r>
              <w:rPr>
                <w:rFonts w:ascii="Times New Roman" w:cs="Times New Roman" w:eastAsia="Times New Roman" w:hAnsi="Times New Roman"/>
                <w:sz w:val="14"/>
                <w:szCs w:val="14"/>
                <w:color w:val="auto"/>
              </w:rPr>
              <w:t>8,768</w:t>
            </w:r>
            <w:r>
              <w:rPr>
                <w:rFonts w:ascii="Times New Roman" w:cs="Times New Roman" w:eastAsia="Times New Roman" w:hAnsi="Times New Roman"/>
                <w:sz w:val="21"/>
                <w:szCs w:val="21"/>
                <w:color w:val="auto"/>
                <w:vertAlign w:val="superscript"/>
              </w:rPr>
              <w:t>(3)</w:t>
            </w:r>
          </w:p>
        </w:tc>
        <w:tc>
          <w:tcPr>
            <w:tcW w:w="1080" w:type="dxa"/>
            <w:vAlign w:val="bottom"/>
            <w:tcBorders>
              <w:right w:val="single" w:sz="8" w:color="auto"/>
            </w:tcBorders>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w w:val="99"/>
              </w:rPr>
              <w:t>9,172</w:t>
            </w:r>
          </w:p>
        </w:tc>
        <w:tc>
          <w:tcPr>
            <w:tcW w:w="900" w:type="dxa"/>
            <w:vAlign w:val="bottom"/>
            <w:tcBorders>
              <w:right w:val="single" w:sz="8" w:color="auto"/>
            </w:tcBorders>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Cotter</w:t>
            </w:r>
          </w:p>
        </w:tc>
        <w:tc>
          <w:tcPr>
            <w:tcW w:w="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vMerge w:val="continue"/>
          </w:tcPr>
          <w:p>
            <w:pPr>
              <w:spacing w:after="0"/>
              <w:rPr>
                <w:sz w:val="13"/>
                <w:szCs w:val="13"/>
                <w:color w:val="auto"/>
              </w:rPr>
            </w:pPr>
          </w:p>
        </w:tc>
        <w:tc>
          <w:tcPr>
            <w:tcW w:w="60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right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right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vMerge w:val="restart"/>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right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vMerge w:val="restart"/>
          </w:tcPr>
          <w:p>
            <w:pPr>
              <w:jc w:val="center"/>
              <w:ind w:right="60"/>
              <w:spacing w:after="0" w:line="223" w:lineRule="exact"/>
              <w:rPr>
                <w:sz w:val="20"/>
                <w:szCs w:val="20"/>
                <w:color w:val="auto"/>
              </w:rPr>
            </w:pPr>
            <w:r>
              <w:rPr>
                <w:rFonts w:ascii="Times New Roman" w:cs="Times New Roman" w:eastAsia="Times New Roman" w:hAnsi="Times New Roman"/>
                <w:sz w:val="16"/>
                <w:szCs w:val="16"/>
                <w:color w:val="auto"/>
                <w:w w:val="94"/>
              </w:rPr>
              <w:t>22,780</w:t>
            </w:r>
            <w:r>
              <w:rPr>
                <w:rFonts w:ascii="Times New Roman" w:cs="Times New Roman" w:eastAsia="Times New Roman" w:hAnsi="Times New Roman"/>
                <w:sz w:val="25"/>
                <w:szCs w:val="25"/>
                <w:color w:val="auto"/>
                <w:w w:val="94"/>
                <w:vertAlign w:val="superscript"/>
              </w:rPr>
              <w:t>(3)</w:t>
            </w:r>
          </w:p>
        </w:tc>
        <w:tc>
          <w:tcPr>
            <w:tcW w:w="108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23,830</w:t>
            </w:r>
          </w:p>
        </w:tc>
        <w:tc>
          <w:tcPr>
            <w:tcW w:w="90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76"/>
        </w:trPr>
        <w:tc>
          <w:tcPr>
            <w:tcW w:w="1160" w:type="dxa"/>
            <w:vAlign w:val="bottom"/>
            <w:tcBorders>
              <w:left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vMerge w:val="continue"/>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right w:val="single" w:sz="8" w:color="auto"/>
            </w:tcBorders>
            <w:vMerge w:val="continue"/>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ind w:right="60"/>
              <w:spacing w:after="0" w:line="223" w:lineRule="exact"/>
              <w:rPr>
                <w:sz w:val="20"/>
                <w:szCs w:val="20"/>
                <w:color w:val="auto"/>
              </w:rPr>
            </w:pPr>
            <w:r>
              <w:rPr>
                <w:rFonts w:ascii="Times New Roman" w:cs="Times New Roman" w:eastAsia="Times New Roman" w:hAnsi="Times New Roman"/>
                <w:sz w:val="16"/>
                <w:szCs w:val="16"/>
                <w:color w:val="auto"/>
                <w:w w:val="94"/>
              </w:rPr>
              <w:t>13,314</w:t>
            </w:r>
            <w:r>
              <w:rPr>
                <w:rFonts w:ascii="Times New Roman" w:cs="Times New Roman" w:eastAsia="Times New Roman" w:hAnsi="Times New Roman"/>
                <w:sz w:val="25"/>
                <w:szCs w:val="25"/>
                <w:color w:val="auto"/>
                <w:w w:val="94"/>
                <w:vertAlign w:val="superscript"/>
              </w:rPr>
              <w:t>(3)</w:t>
            </w:r>
          </w:p>
        </w:tc>
        <w:tc>
          <w:tcPr>
            <w:tcW w:w="108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13,928</w:t>
            </w:r>
          </w:p>
        </w:tc>
        <w:tc>
          <w:tcPr>
            <w:tcW w:w="900" w:type="dxa"/>
            <w:vAlign w:val="bottom"/>
            <w:tcBorders>
              <w:bottom w:val="single" w:sz="8" w:color="auto"/>
              <w:right w:val="single" w:sz="8" w:color="auto"/>
            </w:tcBorders>
          </w:tcPr>
          <w:p>
            <w:pPr>
              <w:jc w:val="center"/>
              <w:ind w:right="34"/>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bottom w:val="single" w:sz="8" w:color="CEEEFA"/>
              <w:right w:val="single" w:sz="8" w:color="auto"/>
            </w:tcBorders>
            <w:shd w:val="clear" w:color="auto" w:fill="CEEEFA"/>
          </w:tcPr>
          <w:p>
            <w:pPr>
              <w:spacing w:after="0"/>
              <w:rPr>
                <w:sz w:val="15"/>
                <w:szCs w:val="15"/>
                <w:color w:val="auto"/>
              </w:rPr>
            </w:pPr>
          </w:p>
        </w:tc>
        <w:tc>
          <w:tcPr>
            <w:tcW w:w="600" w:type="dxa"/>
            <w:vAlign w:val="bottom"/>
            <w:tcBorders>
              <w:bottom w:val="single" w:sz="8" w:color="auto"/>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shd w:val="clear" w:color="auto" w:fill="CEEEFA"/>
          </w:tcPr>
          <w:p>
            <w:pPr>
              <w:jc w:val="center"/>
              <w:ind w:right="36"/>
              <w:spacing w:after="0" w:line="183" w:lineRule="exact"/>
              <w:rPr>
                <w:sz w:val="20"/>
                <w:szCs w:val="20"/>
                <w:color w:val="auto"/>
              </w:rPr>
            </w:pPr>
            <w:r>
              <w:rPr>
                <w:rFonts w:ascii="Times New Roman" w:cs="Times New Roman" w:eastAsia="Times New Roman" w:hAnsi="Times New Roman"/>
                <w:sz w:val="16"/>
                <w:szCs w:val="16"/>
                <w:color w:val="auto"/>
              </w:rPr>
              <w:t>127,869</w:t>
            </w:r>
          </w:p>
        </w:tc>
        <w:tc>
          <w:tcPr>
            <w:tcW w:w="120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5"/>
              <w:spacing w:after="0" w:line="183" w:lineRule="exact"/>
              <w:rPr>
                <w:sz w:val="20"/>
                <w:szCs w:val="20"/>
                <w:color w:val="auto"/>
              </w:rPr>
            </w:pPr>
            <w:r>
              <w:rPr>
                <w:rFonts w:ascii="Times New Roman" w:cs="Times New Roman" w:eastAsia="Times New Roman" w:hAnsi="Times New Roman"/>
                <w:sz w:val="16"/>
                <w:szCs w:val="16"/>
                <w:color w:val="auto"/>
              </w:rPr>
              <w:t>$1.47</w:t>
            </w:r>
          </w:p>
        </w:tc>
        <w:tc>
          <w:tcPr>
            <w:tcW w:w="1080" w:type="dxa"/>
            <w:vAlign w:val="bottom"/>
            <w:tcBorders>
              <w:bottom w:val="single" w:sz="8" w:color="auto"/>
              <w:right w:val="single" w:sz="8" w:color="auto"/>
            </w:tcBorders>
            <w:shd w:val="clear" w:color="auto" w:fill="CEEEFA"/>
          </w:tcPr>
          <w:p>
            <w:pPr>
              <w:jc w:val="center"/>
              <w:ind w:right="55"/>
              <w:spacing w:after="0" w:line="183" w:lineRule="exact"/>
              <w:rPr>
                <w:sz w:val="20"/>
                <w:szCs w:val="20"/>
                <w:color w:val="auto"/>
              </w:rPr>
            </w:pPr>
            <w:r>
              <w:rPr>
                <w:rFonts w:ascii="Times New Roman" w:cs="Times New Roman" w:eastAsia="Times New Roman" w:hAnsi="Times New Roman"/>
                <w:sz w:val="16"/>
                <w:szCs w:val="16"/>
                <w:color w:val="auto"/>
              </w:rPr>
              <w:t>6/5/2034</w:t>
            </w:r>
          </w:p>
        </w:tc>
        <w:tc>
          <w:tcPr>
            <w:tcW w:w="1100" w:type="dxa"/>
            <w:vAlign w:val="bottom"/>
            <w:tcBorders>
              <w:bottom w:val="single" w:sz="8" w:color="auto"/>
              <w:right w:val="single" w:sz="8" w:color="auto"/>
            </w:tcBorders>
            <w:shd w:val="clear" w:color="auto" w:fill="CEEEFA"/>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59"/>
              <w:spacing w:after="0" w:line="183"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right w:val="single" w:sz="8" w:color="auto"/>
            </w:tcBorders>
            <w:shd w:val="clear" w:color="auto" w:fill="CEEEFA"/>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bottom w:val="single" w:sz="8" w:color="CEEEFA"/>
              <w:right w:val="single" w:sz="8" w:color="auto"/>
            </w:tcBorders>
            <w:vMerge w:val="restart"/>
            <w:shd w:val="clear" w:color="auto" w:fill="CEEEFA"/>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 Craig</w:t>
            </w:r>
          </w:p>
        </w:tc>
        <w:tc>
          <w:tcPr>
            <w:tcW w:w="600" w:type="dxa"/>
            <w:vAlign w:val="bottom"/>
            <w:tcBorders>
              <w:bottom w:val="single" w:sz="8" w:color="auto"/>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shd w:val="clear" w:color="auto" w:fill="CEEEFA"/>
          </w:tcPr>
          <w:p>
            <w:pPr>
              <w:jc w:val="center"/>
              <w:ind w:right="36"/>
              <w:spacing w:after="0" w:line="183" w:lineRule="exact"/>
              <w:rPr>
                <w:sz w:val="20"/>
                <w:szCs w:val="20"/>
                <w:color w:val="auto"/>
              </w:rPr>
            </w:pPr>
            <w:r>
              <w:rPr>
                <w:rFonts w:ascii="Times New Roman" w:cs="Times New Roman" w:eastAsia="Times New Roman" w:hAnsi="Times New Roman"/>
                <w:sz w:val="16"/>
                <w:szCs w:val="16"/>
                <w:color w:val="auto"/>
              </w:rPr>
              <w:t>275,491</w:t>
            </w:r>
          </w:p>
        </w:tc>
        <w:tc>
          <w:tcPr>
            <w:tcW w:w="120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5"/>
              <w:spacing w:after="0" w:line="183" w:lineRule="exact"/>
              <w:rPr>
                <w:sz w:val="20"/>
                <w:szCs w:val="20"/>
                <w:color w:val="auto"/>
              </w:rPr>
            </w:pPr>
            <w:r>
              <w:rPr>
                <w:rFonts w:ascii="Times New Roman" w:cs="Times New Roman" w:eastAsia="Times New Roman" w:hAnsi="Times New Roman"/>
                <w:sz w:val="16"/>
                <w:szCs w:val="16"/>
                <w:color w:val="auto"/>
              </w:rPr>
              <w:t>$1.43</w:t>
            </w:r>
          </w:p>
        </w:tc>
        <w:tc>
          <w:tcPr>
            <w:tcW w:w="1080" w:type="dxa"/>
            <w:vAlign w:val="bottom"/>
            <w:tcBorders>
              <w:bottom w:val="single" w:sz="8" w:color="auto"/>
              <w:right w:val="single" w:sz="8" w:color="auto"/>
            </w:tcBorders>
            <w:shd w:val="clear" w:color="auto" w:fill="CEEEFA"/>
          </w:tcPr>
          <w:p>
            <w:pPr>
              <w:jc w:val="center"/>
              <w:ind w:right="55"/>
              <w:spacing w:after="0" w:line="183" w:lineRule="exact"/>
              <w:rPr>
                <w:sz w:val="20"/>
                <w:szCs w:val="20"/>
                <w:color w:val="auto"/>
              </w:rPr>
            </w:pPr>
            <w:r>
              <w:rPr>
                <w:rFonts w:ascii="Times New Roman" w:cs="Times New Roman" w:eastAsia="Times New Roman" w:hAnsi="Times New Roman"/>
                <w:sz w:val="16"/>
                <w:szCs w:val="16"/>
                <w:color w:val="auto"/>
              </w:rPr>
              <w:t>6/10/2030</w:t>
            </w:r>
          </w:p>
        </w:tc>
        <w:tc>
          <w:tcPr>
            <w:tcW w:w="1100" w:type="dxa"/>
            <w:vAlign w:val="bottom"/>
            <w:tcBorders>
              <w:bottom w:val="single" w:sz="8" w:color="auto"/>
              <w:right w:val="single" w:sz="8" w:color="auto"/>
            </w:tcBorders>
            <w:shd w:val="clear" w:color="auto" w:fill="CEEEFA"/>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59"/>
              <w:spacing w:after="0" w:line="183"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right w:val="single" w:sz="8" w:color="auto"/>
            </w:tcBorders>
            <w:shd w:val="clear" w:color="auto" w:fill="CEEEFA"/>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8"/>
        </w:trPr>
        <w:tc>
          <w:tcPr>
            <w:tcW w:w="1160" w:type="dxa"/>
            <w:vAlign w:val="bottom"/>
            <w:tcBorders>
              <w:left w:val="single" w:sz="8" w:color="auto"/>
              <w:bottom w:val="single" w:sz="8" w:color="CEEEFA"/>
              <w:right w:val="single" w:sz="8" w:color="auto"/>
            </w:tcBorders>
            <w:vMerge w:val="continue"/>
            <w:shd w:val="clear" w:color="auto" w:fill="CEEEFA"/>
          </w:tcPr>
          <w:p>
            <w:pPr>
              <w:spacing w:after="0"/>
              <w:rPr>
                <w:sz w:val="19"/>
                <w:szCs w:val="19"/>
                <w:color w:val="auto"/>
              </w:rPr>
            </w:pPr>
          </w:p>
        </w:tc>
        <w:tc>
          <w:tcPr>
            <w:tcW w:w="600" w:type="dxa"/>
            <w:vAlign w:val="bottom"/>
            <w:tcBorders>
              <w:bottom w:val="single" w:sz="8" w:color="CEEEFA"/>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CEEEFA"/>
              <w:right w:val="single" w:sz="8" w:color="auto"/>
            </w:tcBorders>
            <w:shd w:val="clear" w:color="auto" w:fill="CEEEFA"/>
          </w:tcPr>
          <w:p>
            <w:pPr>
              <w:jc w:val="center"/>
              <w:ind w:right="36"/>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EEEFA"/>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CEEEFA"/>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EEEFA"/>
              <w:right w:val="single" w:sz="8" w:color="auto"/>
            </w:tcBorders>
            <w:shd w:val="clear" w:color="auto" w:fill="CEEEFA"/>
          </w:tcPr>
          <w:p>
            <w:pPr>
              <w:jc w:val="center"/>
              <w:ind w:right="35"/>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CEEEFA"/>
              <w:right w:val="single" w:sz="8" w:color="auto"/>
            </w:tcBorders>
            <w:shd w:val="clear" w:color="auto" w:fill="CEEEFA"/>
          </w:tcPr>
          <w:p>
            <w:pPr>
              <w:jc w:val="center"/>
              <w:ind w:right="55"/>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CEEEFA"/>
              <w:right w:val="single" w:sz="8" w:color="auto"/>
            </w:tcBorders>
            <w:shd w:val="clear" w:color="auto" w:fill="CEEEFA"/>
          </w:tcPr>
          <w:p>
            <w:pPr>
              <w:jc w:val="center"/>
              <w:ind w:right="60"/>
              <w:spacing w:after="0" w:line="183" w:lineRule="exact"/>
              <w:rPr>
                <w:sz w:val="20"/>
                <w:szCs w:val="20"/>
                <w:color w:val="auto"/>
              </w:rPr>
            </w:pPr>
            <w:r>
              <w:rPr>
                <w:rFonts w:ascii="Times New Roman" w:cs="Times New Roman" w:eastAsia="Times New Roman" w:hAnsi="Times New Roman"/>
                <w:sz w:val="14"/>
                <w:szCs w:val="14"/>
                <w:color w:val="auto"/>
              </w:rPr>
              <w:t>8,768</w:t>
            </w:r>
            <w:r>
              <w:rPr>
                <w:rFonts w:ascii="Times New Roman" w:cs="Times New Roman" w:eastAsia="Times New Roman" w:hAnsi="Times New Roman"/>
                <w:sz w:val="21"/>
                <w:szCs w:val="21"/>
                <w:color w:val="auto"/>
                <w:vertAlign w:val="superscript"/>
              </w:rPr>
              <w:t>(4)</w:t>
            </w:r>
          </w:p>
        </w:tc>
        <w:tc>
          <w:tcPr>
            <w:tcW w:w="1080" w:type="dxa"/>
            <w:vAlign w:val="bottom"/>
            <w:tcBorders>
              <w:bottom w:val="single" w:sz="8" w:color="CEEEFA"/>
              <w:right w:val="single" w:sz="8" w:color="auto"/>
            </w:tcBorders>
            <w:shd w:val="clear" w:color="auto" w:fill="CEEEFA"/>
          </w:tcPr>
          <w:p>
            <w:pPr>
              <w:jc w:val="center"/>
              <w:ind w:right="39"/>
              <w:spacing w:after="0" w:line="183" w:lineRule="exact"/>
              <w:rPr>
                <w:sz w:val="20"/>
                <w:szCs w:val="20"/>
                <w:color w:val="auto"/>
              </w:rPr>
            </w:pPr>
            <w:r>
              <w:rPr>
                <w:rFonts w:ascii="Times New Roman" w:cs="Times New Roman" w:eastAsia="Times New Roman" w:hAnsi="Times New Roman"/>
                <w:sz w:val="16"/>
                <w:szCs w:val="16"/>
                <w:color w:val="auto"/>
                <w:w w:val="99"/>
              </w:rPr>
              <w:t>9,172</w:t>
            </w:r>
          </w:p>
        </w:tc>
        <w:tc>
          <w:tcPr>
            <w:tcW w:w="900" w:type="dxa"/>
            <w:vAlign w:val="bottom"/>
            <w:tcBorders>
              <w:bottom w:val="single" w:sz="8" w:color="CEEEFA"/>
              <w:right w:val="single" w:sz="8" w:color="auto"/>
            </w:tcBorders>
            <w:shd w:val="clear" w:color="auto" w:fill="CEEEFA"/>
          </w:tcPr>
          <w:p>
            <w:pPr>
              <w:jc w:val="center"/>
              <w:ind w:right="3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EEEFA"/>
              <w:right w:val="single" w:sz="8" w:color="auto"/>
            </w:tcBorders>
            <w:shd w:val="clear" w:color="auto" w:fill="CEEEFA"/>
          </w:tcPr>
          <w:p>
            <w:pPr>
              <w:jc w:val="center"/>
              <w:ind w:right="14"/>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2"/>
        </w:trPr>
        <w:tc>
          <w:tcPr>
            <w:tcW w:w="1160" w:type="dxa"/>
            <w:vAlign w:val="bottom"/>
            <w:tcBorders>
              <w:top w:val="single" w:sz="8" w:color="CEEEFA"/>
              <w:left w:val="single" w:sz="8" w:color="auto"/>
              <w:right w:val="single" w:sz="8" w:color="auto"/>
            </w:tcBorders>
            <w:shd w:val="clear" w:color="auto" w:fill="CEEEFA"/>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7"/>
              </w:rPr>
              <w:t>Tompkins</w:t>
            </w:r>
          </w:p>
        </w:tc>
        <w:tc>
          <w:tcPr>
            <w:tcW w:w="600" w:type="dxa"/>
            <w:vAlign w:val="bottom"/>
            <w:tcBorders>
              <w:top w:val="single" w:sz="8" w:color="auto"/>
              <w:right w:val="single" w:sz="8" w:color="auto"/>
            </w:tcBorders>
            <w:vMerge w:val="restart"/>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top w:val="single" w:sz="8" w:color="auto"/>
              <w:right w:val="single" w:sz="8" w:color="auto"/>
            </w:tcBorders>
            <w:vMerge w:val="restart"/>
            <w:shd w:val="clear" w:color="auto" w:fill="CEEEFA"/>
          </w:tcPr>
          <w:p>
            <w:pPr>
              <w:jc w:val="center"/>
              <w:ind w:right="36"/>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top w:val="single" w:sz="8" w:color="auto"/>
              <w:right w:val="single" w:sz="8" w:color="auto"/>
            </w:tcBorders>
            <w:vMerge w:val="restart"/>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right w:val="single" w:sz="8" w:color="auto"/>
            </w:tcBorders>
            <w:vMerge w:val="restart"/>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top w:val="single" w:sz="8" w:color="auto"/>
              <w:right w:val="single" w:sz="8" w:color="auto"/>
            </w:tcBorders>
            <w:vMerge w:val="restart"/>
            <w:shd w:val="clear" w:color="auto" w:fill="CEEEFA"/>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right w:val="single" w:sz="8" w:color="auto"/>
            </w:tcBorders>
            <w:vMerge w:val="restart"/>
            <w:shd w:val="clear" w:color="auto" w:fill="CEEEFA"/>
          </w:tcPr>
          <w:p>
            <w:pPr>
              <w:jc w:val="center"/>
              <w:ind w:right="55"/>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vMerge w:val="restart"/>
            <w:shd w:val="clear" w:color="auto" w:fill="CEEEFA"/>
          </w:tcPr>
          <w:p>
            <w:pPr>
              <w:jc w:val="center"/>
              <w:ind w:right="60"/>
              <w:spacing w:after="0" w:line="223" w:lineRule="exact"/>
              <w:rPr>
                <w:sz w:val="20"/>
                <w:szCs w:val="20"/>
                <w:color w:val="auto"/>
              </w:rPr>
            </w:pPr>
            <w:r>
              <w:rPr>
                <w:rFonts w:ascii="Times New Roman" w:cs="Times New Roman" w:eastAsia="Times New Roman" w:hAnsi="Times New Roman"/>
                <w:sz w:val="16"/>
                <w:szCs w:val="16"/>
                <w:color w:val="auto"/>
                <w:w w:val="94"/>
              </w:rPr>
              <w:t>22,500</w:t>
            </w:r>
            <w:r>
              <w:rPr>
                <w:rFonts w:ascii="Times New Roman" w:cs="Times New Roman" w:eastAsia="Times New Roman" w:hAnsi="Times New Roman"/>
                <w:sz w:val="25"/>
                <w:szCs w:val="25"/>
                <w:color w:val="auto"/>
                <w:w w:val="94"/>
                <w:vertAlign w:val="superscript"/>
              </w:rPr>
              <w:t>(4)</w:t>
            </w:r>
          </w:p>
        </w:tc>
        <w:tc>
          <w:tcPr>
            <w:tcW w:w="1080" w:type="dxa"/>
            <w:vAlign w:val="bottom"/>
            <w:tcBorders>
              <w:top w:val="single" w:sz="8" w:color="auto"/>
              <w:right w:val="single" w:sz="8" w:color="auto"/>
            </w:tcBorders>
            <w:vMerge w:val="restart"/>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w w:val="99"/>
              </w:rPr>
              <w:t>23,537</w:t>
            </w:r>
          </w:p>
        </w:tc>
        <w:tc>
          <w:tcPr>
            <w:tcW w:w="900" w:type="dxa"/>
            <w:vAlign w:val="bottom"/>
            <w:tcBorders>
              <w:top w:val="single" w:sz="8" w:color="auto"/>
              <w:right w:val="single" w:sz="8" w:color="auto"/>
            </w:tcBorders>
            <w:vMerge w:val="restart"/>
            <w:shd w:val="clear" w:color="auto" w:fill="CEEEFA"/>
          </w:tcPr>
          <w:p>
            <w:pPr>
              <w:jc w:val="center"/>
              <w:ind w:right="34"/>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vMerge w:val="restart"/>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71"/>
        </w:trPr>
        <w:tc>
          <w:tcPr>
            <w:tcW w:w="1160" w:type="dxa"/>
            <w:vAlign w:val="bottom"/>
            <w:tcBorders>
              <w:left w:val="single" w:sz="8" w:color="auto"/>
              <w:bottom w:val="single" w:sz="8" w:color="CEEEFA"/>
              <w:right w:val="single" w:sz="8" w:color="auto"/>
            </w:tcBorders>
            <w:shd w:val="clear" w:color="auto" w:fill="CEEEFA"/>
          </w:tcPr>
          <w:p>
            <w:pPr>
              <w:spacing w:after="0"/>
              <w:rPr>
                <w:sz w:val="6"/>
                <w:szCs w:val="6"/>
                <w:color w:val="auto"/>
              </w:rPr>
            </w:pPr>
          </w:p>
        </w:tc>
        <w:tc>
          <w:tcPr>
            <w:tcW w:w="6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22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2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08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9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08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1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108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90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920" w:type="dxa"/>
            <w:vAlign w:val="bottom"/>
            <w:tcBorders>
              <w:bottom w:val="single" w:sz="8" w:color="auto"/>
              <w:right w:val="single" w:sz="8" w:color="auto"/>
            </w:tcBorders>
            <w:vMerge w:val="continue"/>
            <w:shd w:val="clear" w:color="auto" w:fill="CEEEFA"/>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shd w:val="clear" w:color="auto" w:fill="CEEEFA"/>
          </w:tcPr>
          <w:p>
            <w:pPr>
              <w:spacing w:after="0"/>
              <w:rPr>
                <w:sz w:val="19"/>
                <w:szCs w:val="19"/>
                <w:color w:val="auto"/>
              </w:rPr>
            </w:pPr>
          </w:p>
        </w:tc>
        <w:tc>
          <w:tcPr>
            <w:tcW w:w="600" w:type="dxa"/>
            <w:vAlign w:val="bottom"/>
            <w:tcBorders>
              <w:bottom w:val="single" w:sz="8" w:color="auto"/>
              <w:right w:val="single" w:sz="8" w:color="auto"/>
            </w:tcBorders>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rPr>
              <w:t>A</w:t>
            </w:r>
          </w:p>
        </w:tc>
        <w:tc>
          <w:tcPr>
            <w:tcW w:w="1220" w:type="dxa"/>
            <w:vAlign w:val="bottom"/>
            <w:tcBorders>
              <w:bottom w:val="single" w:sz="8" w:color="auto"/>
              <w:right w:val="single" w:sz="8" w:color="auto"/>
            </w:tcBorders>
            <w:shd w:val="clear" w:color="auto" w:fill="CEEEFA"/>
          </w:tcPr>
          <w:p>
            <w:pPr>
              <w:jc w:val="center"/>
              <w:ind w:right="36"/>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shd w:val="clear" w:color="auto" w:fill="CEEEFA"/>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shd w:val="clear" w:color="auto" w:fill="CEEEFA"/>
          </w:tcPr>
          <w:p>
            <w:pPr>
              <w:jc w:val="center"/>
              <w:ind w:right="55"/>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shd w:val="clear" w:color="auto" w:fill="CEEEFA"/>
          </w:tcPr>
          <w:p>
            <w:pPr>
              <w:jc w:val="center"/>
              <w:ind w:right="60"/>
              <w:spacing w:after="0" w:line="223" w:lineRule="exact"/>
              <w:rPr>
                <w:sz w:val="20"/>
                <w:szCs w:val="20"/>
                <w:color w:val="auto"/>
              </w:rPr>
            </w:pPr>
            <w:r>
              <w:rPr>
                <w:rFonts w:ascii="Times New Roman" w:cs="Times New Roman" w:eastAsia="Times New Roman" w:hAnsi="Times New Roman"/>
                <w:sz w:val="16"/>
                <w:szCs w:val="16"/>
                <w:color w:val="auto"/>
                <w:w w:val="94"/>
              </w:rPr>
              <w:t>13,150</w:t>
            </w:r>
            <w:r>
              <w:rPr>
                <w:rFonts w:ascii="Times New Roman" w:cs="Times New Roman" w:eastAsia="Times New Roman" w:hAnsi="Times New Roman"/>
                <w:sz w:val="25"/>
                <w:szCs w:val="25"/>
                <w:color w:val="auto"/>
                <w:w w:val="94"/>
                <w:vertAlign w:val="superscript"/>
              </w:rPr>
              <w:t>(4)</w:t>
            </w:r>
          </w:p>
        </w:tc>
        <w:tc>
          <w:tcPr>
            <w:tcW w:w="1080" w:type="dxa"/>
            <w:vAlign w:val="bottom"/>
            <w:tcBorders>
              <w:bottom w:val="single" w:sz="8" w:color="auto"/>
              <w:right w:val="single" w:sz="8" w:color="auto"/>
            </w:tcBorders>
            <w:shd w:val="clear" w:color="auto" w:fill="CEEEFA"/>
          </w:tcPr>
          <w:p>
            <w:pPr>
              <w:jc w:val="center"/>
              <w:ind w:right="39"/>
              <w:spacing w:after="0"/>
              <w:rPr>
                <w:sz w:val="20"/>
                <w:szCs w:val="20"/>
                <w:color w:val="auto"/>
              </w:rPr>
            </w:pPr>
            <w:r>
              <w:rPr>
                <w:rFonts w:ascii="Times New Roman" w:cs="Times New Roman" w:eastAsia="Times New Roman" w:hAnsi="Times New Roman"/>
                <w:sz w:val="16"/>
                <w:szCs w:val="16"/>
                <w:color w:val="auto"/>
                <w:w w:val="99"/>
              </w:rPr>
              <w:t>13,756</w:t>
            </w:r>
          </w:p>
        </w:tc>
        <w:tc>
          <w:tcPr>
            <w:tcW w:w="900" w:type="dxa"/>
            <w:vAlign w:val="bottom"/>
            <w:tcBorders>
              <w:bottom w:val="single" w:sz="8" w:color="auto"/>
              <w:right w:val="single" w:sz="8" w:color="auto"/>
            </w:tcBorders>
            <w:shd w:val="clear" w:color="auto" w:fill="CEEEFA"/>
          </w:tcPr>
          <w:p>
            <w:pPr>
              <w:jc w:val="center"/>
              <w:ind w:right="34"/>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shd w:val="clear" w:color="auto" w:fill="CEEEFA"/>
          </w:tcPr>
          <w:p>
            <w:pPr>
              <w:jc w:val="center"/>
              <w:ind w:right="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5"/>
        </w:trPr>
        <w:tc>
          <w:tcPr>
            <w:tcW w:w="1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left="660" w:right="300" w:hanging="328"/>
        <w:spacing w:after="0" w:line="248"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amount calculated by multiplying the number of unvested restricted shares by the closing price of our Common Stock as of December 31, 2025 or $1.05.</w:t>
      </w:r>
    </w:p>
    <w:p>
      <w:pPr>
        <w:spacing w:after="0" w:line="36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11,990 units of RSUs vested on April 18, 2026;</w:t>
      </w:r>
    </w:p>
    <w:p>
      <w:pPr>
        <w:spacing w:after="0" w:line="88" w:lineRule="exact"/>
        <w:rPr>
          <w:rFonts w:ascii="Times New Roman" w:cs="Times New Roman" w:eastAsia="Times New Roman" w:hAnsi="Times New Roman"/>
          <w:sz w:val="17"/>
          <w:szCs w:val="17"/>
          <w:color w:val="auto"/>
        </w:rPr>
      </w:pPr>
    </w:p>
    <w:p>
      <w:pPr>
        <w:ind w:left="660" w:right="3300"/>
        <w:spacing w:after="0" w:line="3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15,576 units of RSUs vested on April 21, 2026, and 15,576 units of RSUs will vest on April 21, 2027; and 54,620 units of PRSUs vested on April 21, 2026.</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shares set forward in the table above, 269,043 shares of RSUs were granted on April 27, 2026 and will vest on April 27, 2027.</w:t>
      </w:r>
    </w:p>
    <w:p>
      <w:pPr>
        <w:spacing w:after="0" w:line="3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8,768 units of RSUs vested on April 18, 2026;</w:t>
      </w:r>
    </w:p>
    <w:p>
      <w:pPr>
        <w:spacing w:after="0" w:line="101" w:lineRule="exact"/>
        <w:rPr>
          <w:rFonts w:ascii="Times New Roman" w:cs="Times New Roman" w:eastAsia="Times New Roman" w:hAnsi="Times New Roman"/>
          <w:sz w:val="17"/>
          <w:szCs w:val="17"/>
          <w:color w:val="auto"/>
        </w:rPr>
      </w:pPr>
    </w:p>
    <w:p>
      <w:pPr>
        <w:ind w:left="660" w:right="3320"/>
        <w:spacing w:after="0" w:line="3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11,390 units of RSUs vested on April 21, 2026, and 11,390 units of RSUs will vest on April 21, 2027; and 13,314 units of PRSUs vested on April 21, 2026.</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shares set forward in the table above, 76,638 shares of RSUs were granted on April 27, 2026 and will vest on April 27, 2027.</w:t>
      </w:r>
    </w:p>
    <w:p>
      <w:pPr>
        <w:spacing w:after="0" w:line="3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8,768 units of RSUs vested on April 26, 2026;</w:t>
      </w:r>
    </w:p>
    <w:p>
      <w:pPr>
        <w:spacing w:after="0" w:line="101" w:lineRule="exact"/>
        <w:rPr>
          <w:rFonts w:ascii="Times New Roman" w:cs="Times New Roman" w:eastAsia="Times New Roman" w:hAnsi="Times New Roman"/>
          <w:sz w:val="17"/>
          <w:szCs w:val="17"/>
          <w:color w:val="auto"/>
        </w:rPr>
      </w:pPr>
    </w:p>
    <w:p>
      <w:pPr>
        <w:ind w:left="660" w:right="3340"/>
        <w:spacing w:after="0" w:line="3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11,250 units of RSUs vested on April 11, 2026, and 11,250 units of RSUs will vest on April 11, 2027; and 13,150 units of PRSUs vested on April 11, 2026.</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shares set forward in the table above, 111,344 shares of RSUs were granted on April 27, 2026 and will vest on April 27, 2027.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Potential Payments upon Termination of Employment or Change in Control</w:t>
      </w:r>
    </w:p>
    <w:p>
      <w:pPr>
        <w:spacing w:after="0" w:line="20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following paragraphs provide information regarding potential payments to each of our NEOs in connection with certain termination events, including a termination related to a change of control of our Company, as of December 31, 2025:</w:t>
      </w:r>
    </w:p>
    <w:p>
      <w:pPr>
        <w:spacing w:after="0" w:line="175" w:lineRule="exact"/>
        <w:rPr>
          <w:sz w:val="20"/>
          <w:szCs w:val="20"/>
          <w:color w:val="auto"/>
        </w:rPr>
      </w:pPr>
    </w:p>
    <w:p>
      <w:pPr>
        <w:jc w:val="both"/>
        <w:ind w:right="120" w:firstLine="648"/>
        <w:spacing w:after="0" w:line="245" w:lineRule="auto"/>
        <w:rPr>
          <w:sz w:val="20"/>
          <w:szCs w:val="20"/>
          <w:color w:val="auto"/>
        </w:rPr>
      </w:pPr>
      <w:r>
        <w:rPr>
          <w:rFonts w:ascii="Times New Roman" w:cs="Times New Roman" w:eastAsia="Times New Roman" w:hAnsi="Times New Roman"/>
          <w:sz w:val="19"/>
          <w:szCs w:val="19"/>
          <w:u w:val="single" w:color="auto"/>
          <w:color w:val="auto"/>
        </w:rPr>
        <w:t>Certain Retirement Benefits</w:t>
      </w:r>
      <w:r>
        <w:rPr>
          <w:rFonts w:ascii="Times New Roman" w:cs="Times New Roman" w:eastAsia="Times New Roman" w:hAnsi="Times New Roman"/>
          <w:sz w:val="19"/>
          <w:szCs w:val="19"/>
          <w:color w:val="auto"/>
        </w:rPr>
        <w:t>. On August 29, 2017, our Compensation Committee approved a one-time retirement benefit for Craig Tompkins, Executive Vice President and General Counsel, incident to his retention as our General Counsel. The retirement benefit is a single year benefit in an amount equal to the average of the two highest total cash compensation (base salary plus cash bonus) years paid to</w:t>
      </w:r>
    </w:p>
    <w:p>
      <w:pPr>
        <w:spacing w:after="0" w:line="1"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20"/>
          <w:szCs w:val="20"/>
          <w:color w:val="auto"/>
        </w:rPr>
        <w:t>Mr. Tompkins in the then most recently completed five-year period, less the amount of $197,060, paid to Mr. Tompkins under a separate vested benefit program established by one of the two companies acquired by our Company as a part of the consolidation transaction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w:t>
      </w:r>
    </w:p>
    <w:p>
      <w:pPr>
        <w:spacing w:after="0" w:line="18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0"/>
          <w:szCs w:val="20"/>
          <w:u w:val="single" w:color="auto"/>
          <w:color w:val="auto"/>
        </w:rPr>
        <w:t>Option and RSU and PRSU Grants</w:t>
      </w:r>
      <w:r>
        <w:rPr>
          <w:rFonts w:ascii="Times New Roman" w:cs="Times New Roman" w:eastAsia="Times New Roman" w:hAnsi="Times New Roman"/>
          <w:sz w:val="20"/>
          <w:szCs w:val="20"/>
          <w:color w:val="auto"/>
        </w:rPr>
        <w:t>. All long-term incentive awards are subject to other terms and conditions set forth in our 2020 Stock Plan and award grants. In addition, individual grants include certain accelerated vesting provisions. In the case of employees,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accelerated vesting will be triggered upon (i) the award recipient’s death or disability, (ii) certain corporate transactions in which the awards are not replaced with substantially equivalent awards, or (iii) upon termination without cause or for “good reason” within twenty-four months</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of a change of control, or a corporate transaction where equivalent awards have not been substituted. RSUs issued to our non-employee Directors provide for acceleration immediately upon a change of control.</w:t>
      </w:r>
    </w:p>
    <w:p>
      <w:pPr>
        <w:spacing w:after="0" w:line="17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event of such person’s termination without cause or termination in connection with a change in control, if such events occurred on December 31, 2025, assuming the transaction took place on December 31, 2025, at a price equal to the closing price of the Class A Non-Voting Common Stock, which was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77"/>
        </w:trPr>
        <w:tc>
          <w:tcPr>
            <w:tcW w:w="1800" w:type="dxa"/>
            <w:vAlign w:val="bottom"/>
            <w:tcBorders>
              <w:top w:val="single" w:sz="8" w:color="auto"/>
              <w:left w:val="single" w:sz="8" w:color="auto"/>
              <w:right w:val="single" w:sz="8" w:color="auto"/>
            </w:tcBorders>
          </w:tcPr>
          <w:p>
            <w:pPr>
              <w:spacing w:after="0"/>
              <w:rPr>
                <w:sz w:val="15"/>
                <w:szCs w:val="15"/>
                <w:color w:val="auto"/>
              </w:rPr>
            </w:pPr>
          </w:p>
        </w:tc>
        <w:tc>
          <w:tcPr>
            <w:tcW w:w="4440" w:type="dxa"/>
            <w:vAlign w:val="bottom"/>
            <w:tcBorders>
              <w:top w:val="single" w:sz="8" w:color="auto"/>
              <w:right w:val="single" w:sz="8" w:color="auto"/>
            </w:tcBorders>
            <w:gridSpan w:val="4"/>
            <w:vMerge w:val="restart"/>
          </w:tcPr>
          <w:p>
            <w:pPr>
              <w:jc w:val="center"/>
              <w:ind w:right="86"/>
              <w:spacing w:after="0"/>
              <w:rPr>
                <w:sz w:val="20"/>
                <w:szCs w:val="20"/>
                <w:color w:val="auto"/>
              </w:rPr>
            </w:pPr>
            <w:r>
              <w:rPr>
                <w:rFonts w:ascii="Times New Roman" w:cs="Times New Roman" w:eastAsia="Times New Roman" w:hAnsi="Times New Roman"/>
                <w:sz w:val="20"/>
                <w:szCs w:val="20"/>
                <w:b w:val="1"/>
                <w:bCs w:val="1"/>
                <w:color w:val="auto"/>
                <w:w w:val="98"/>
              </w:rPr>
              <w:t>Payable upon Termination without Cause</w:t>
            </w:r>
          </w:p>
        </w:tc>
        <w:tc>
          <w:tcPr>
            <w:tcW w:w="3320" w:type="dxa"/>
            <w:vAlign w:val="bottom"/>
            <w:tcBorders>
              <w:top w:val="single" w:sz="8" w:color="auto"/>
              <w:right w:val="single" w:sz="8" w:color="auto"/>
            </w:tcBorders>
            <w:gridSpan w:val="3"/>
          </w:tcPr>
          <w:p>
            <w:pPr>
              <w:jc w:val="center"/>
              <w:ind w:right="66"/>
              <w:spacing w:after="0" w:line="177" w:lineRule="exact"/>
              <w:rPr>
                <w:sz w:val="20"/>
                <w:szCs w:val="20"/>
                <w:color w:val="auto"/>
              </w:rPr>
            </w:pPr>
            <w:r>
              <w:rPr>
                <w:rFonts w:ascii="Times New Roman" w:cs="Times New Roman" w:eastAsia="Times New Roman" w:hAnsi="Times New Roman"/>
                <w:sz w:val="20"/>
                <w:szCs w:val="20"/>
                <w:b w:val="1"/>
                <w:bCs w:val="1"/>
                <w:color w:val="auto"/>
                <w:w w:val="98"/>
              </w:rPr>
              <w:t>Payable in Certain Circumstances</w:t>
            </w:r>
          </w:p>
        </w:tc>
        <w:tc>
          <w:tcPr>
            <w:tcW w:w="1680" w:type="dxa"/>
            <w:vAlign w:val="bottom"/>
            <w:tcBorders>
              <w:top w:val="single" w:sz="8" w:color="auto"/>
              <w:right w:val="single" w:sz="8" w:color="auto"/>
            </w:tcBorders>
          </w:tcPr>
          <w:p>
            <w:pPr>
              <w:spacing w:after="0" w:line="177" w:lineRule="exact"/>
              <w:rPr>
                <w:sz w:val="20"/>
                <w:szCs w:val="20"/>
                <w:color w:val="auto"/>
              </w:rPr>
            </w:pPr>
            <w:r>
              <w:rPr>
                <w:rFonts w:ascii="Times New Roman" w:cs="Times New Roman" w:eastAsia="Times New Roman" w:hAnsi="Times New Roman"/>
                <w:sz w:val="20"/>
                <w:szCs w:val="20"/>
                <w:b w:val="1"/>
                <w:bCs w:val="1"/>
                <w:color w:val="auto"/>
              </w:rPr>
              <w:t>Payable</w:t>
            </w: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gridSpan w:val="4"/>
            <w:vMerge w:val="continue"/>
          </w:tcPr>
          <w:p>
            <w:pPr>
              <w:spacing w:after="0"/>
              <w:rPr>
                <w:sz w:val="17"/>
                <w:szCs w:val="17"/>
                <w:color w:val="auto"/>
              </w:rPr>
            </w:pPr>
          </w:p>
        </w:tc>
        <w:tc>
          <w:tcPr>
            <w:tcW w:w="3320" w:type="dxa"/>
            <w:vAlign w:val="bottom"/>
            <w:tcBorders>
              <w:right w:val="single" w:sz="8" w:color="auto"/>
            </w:tcBorders>
            <w:gridSpan w:val="3"/>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upon Termination in Connection with</w:t>
            </w:r>
          </w:p>
        </w:tc>
        <w:tc>
          <w:tcPr>
            <w:tcW w:w="168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upon Retirement</w:t>
            </w:r>
          </w:p>
        </w:tc>
        <w:tc>
          <w:tcPr>
            <w:tcW w:w="0" w:type="dxa"/>
            <w:vAlign w:val="bottom"/>
          </w:tcPr>
          <w:p>
            <w:pPr>
              <w:spacing w:after="0"/>
              <w:rPr>
                <w:sz w:val="1"/>
                <w:szCs w:val="1"/>
                <w:color w:val="auto"/>
              </w:rPr>
            </w:pPr>
          </w:p>
        </w:tc>
      </w:tr>
      <w:tr>
        <w:trPr>
          <w:trHeight w:val="270"/>
        </w:trPr>
        <w:tc>
          <w:tcPr>
            <w:tcW w:w="1800" w:type="dxa"/>
            <w:vAlign w:val="bottom"/>
            <w:tcBorders>
              <w:left w:val="single" w:sz="8" w:color="auto"/>
              <w:right w:val="single" w:sz="8" w:color="auto"/>
            </w:tcBorders>
            <w:vMerge w:val="restart"/>
          </w:tcPr>
          <w:p>
            <w:pPr>
              <w:ind w:left="660"/>
              <w:spacing w:after="0"/>
              <w:rPr>
                <w:sz w:val="20"/>
                <w:szCs w:val="20"/>
                <w:color w:val="auto"/>
              </w:rPr>
            </w:pPr>
            <w:r>
              <w:rPr>
                <w:rFonts w:ascii="Times New Roman" w:cs="Times New Roman" w:eastAsia="Times New Roman" w:hAnsi="Times New Roman"/>
                <w:sz w:val="20"/>
                <w:szCs w:val="20"/>
                <w:color w:val="auto"/>
              </w:rPr>
              <w:t>Name</w:t>
            </w:r>
          </w:p>
        </w:tc>
        <w:tc>
          <w:tcPr>
            <w:tcW w:w="1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left="705"/>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c>
          <w:tcPr>
            <w:tcW w:w="3320" w:type="dxa"/>
            <w:vAlign w:val="bottom"/>
            <w:tcBorders>
              <w:bottom w:val="single" w:sz="8" w:color="auto"/>
              <w:right w:val="single" w:sz="8" w:color="auto"/>
            </w:tcBorders>
            <w:gridSpan w:val="3"/>
          </w:tcPr>
          <w:p>
            <w:pPr>
              <w:jc w:val="center"/>
              <w:ind w:right="26"/>
              <w:spacing w:after="0"/>
              <w:rPr>
                <w:sz w:val="20"/>
                <w:szCs w:val="20"/>
                <w:color w:val="auto"/>
              </w:rPr>
            </w:pPr>
            <w:r>
              <w:rPr>
                <w:rFonts w:ascii="Times New Roman" w:cs="Times New Roman" w:eastAsia="Times New Roman" w:hAnsi="Times New Roman"/>
                <w:sz w:val="20"/>
                <w:szCs w:val="20"/>
                <w:b w:val="1"/>
                <w:bCs w:val="1"/>
                <w:color w:val="auto"/>
                <w:w w:val="98"/>
              </w:rPr>
              <w:t>a Change in Control ($)</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160"/>
        </w:trPr>
        <w:tc>
          <w:tcPr>
            <w:tcW w:w="1800" w:type="dxa"/>
            <w:vAlign w:val="bottom"/>
            <w:tcBorders>
              <w:left w:val="single" w:sz="8" w:color="auto"/>
              <w:right w:val="single" w:sz="8" w:color="auto"/>
            </w:tcBorders>
            <w:vMerge w:val="continue"/>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8"/>
                <w:szCs w:val="18"/>
                <w:color w:val="auto"/>
              </w:rPr>
              <w:t>Value of</w:t>
            </w:r>
          </w:p>
        </w:tc>
        <w:tc>
          <w:tcPr>
            <w:tcW w:w="9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8"/>
                <w:szCs w:val="18"/>
                <w:color w:val="auto"/>
              </w:rPr>
              <w:t>Value of</w:t>
            </w:r>
          </w:p>
        </w:tc>
        <w:tc>
          <w:tcPr>
            <w:tcW w:w="11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8"/>
                <w:szCs w:val="18"/>
                <w:color w:val="auto"/>
              </w:rPr>
              <w:t>Value of</w:t>
            </w:r>
          </w:p>
        </w:tc>
        <w:tc>
          <w:tcPr>
            <w:tcW w:w="1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1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Severance</w:t>
            </w:r>
          </w:p>
        </w:tc>
        <w:tc>
          <w:tcPr>
            <w:tcW w:w="116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Value of</w:t>
            </w:r>
          </w:p>
        </w:tc>
        <w:tc>
          <w:tcPr>
            <w:tcW w:w="112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Vested</w:t>
            </w:r>
          </w:p>
        </w:tc>
        <w:tc>
          <w:tcPr>
            <w:tcW w:w="98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Value of</w:t>
            </w: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Severance</w:t>
            </w:r>
          </w:p>
        </w:tc>
        <w:tc>
          <w:tcPr>
            <w:tcW w:w="98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Vested</w:t>
            </w:r>
          </w:p>
        </w:tc>
        <w:tc>
          <w:tcPr>
            <w:tcW w:w="118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Vested</w:t>
            </w:r>
          </w:p>
        </w:tc>
        <w:tc>
          <w:tcPr>
            <w:tcW w:w="168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0"/>
                <w:szCs w:val="20"/>
                <w:color w:val="auto"/>
              </w:rPr>
              <w:t>Benefits Payable</w:t>
            </w: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tcPr>
          <w:p>
            <w:pPr>
              <w:jc w:val="center"/>
              <w:ind w:right="45"/>
              <w:spacing w:after="0" w:line="203" w:lineRule="exact"/>
              <w:rPr>
                <w:sz w:val="20"/>
                <w:szCs w:val="20"/>
                <w:color w:val="auto"/>
              </w:rPr>
            </w:pPr>
            <w:r>
              <w:rPr>
                <w:rFonts w:ascii="Times New Roman" w:cs="Times New Roman" w:eastAsia="Times New Roman" w:hAnsi="Times New Roman"/>
                <w:sz w:val="20"/>
                <w:szCs w:val="20"/>
                <w:color w:val="auto"/>
                <w:w w:val="96"/>
              </w:rPr>
              <w:t>Vested Stock</w:t>
            </w:r>
          </w:p>
        </w:tc>
        <w:tc>
          <w:tcPr>
            <w:tcW w:w="11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Option</w:t>
            </w:r>
          </w:p>
        </w:tc>
        <w:tc>
          <w:tcPr>
            <w:tcW w:w="98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Health</w:t>
            </w:r>
          </w:p>
        </w:tc>
        <w:tc>
          <w:tcPr>
            <w:tcW w:w="1160" w:type="dxa"/>
            <w:vAlign w:val="bottom"/>
            <w:tcBorders>
              <w:right w:val="single" w:sz="8" w:color="auto"/>
            </w:tcBorders>
            <w:vMerge w:val="continue"/>
          </w:tcPr>
          <w:p>
            <w:pPr>
              <w:spacing w:after="0"/>
              <w:rPr>
                <w:sz w:val="17"/>
                <w:szCs w:val="17"/>
                <w:color w:val="auto"/>
              </w:rPr>
            </w:pPr>
          </w:p>
        </w:tc>
        <w:tc>
          <w:tcPr>
            <w:tcW w:w="98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Stock</w:t>
            </w:r>
          </w:p>
        </w:tc>
        <w:tc>
          <w:tcPr>
            <w:tcW w:w="118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Stock</w:t>
            </w:r>
          </w:p>
        </w:tc>
        <w:tc>
          <w:tcPr>
            <w:tcW w:w="168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under Retirement</w:t>
            </w:r>
          </w:p>
        </w:tc>
        <w:tc>
          <w:tcPr>
            <w:tcW w:w="0" w:type="dxa"/>
            <w:vAlign w:val="bottom"/>
          </w:tcPr>
          <w:p>
            <w:pPr>
              <w:spacing w:after="0"/>
              <w:rPr>
                <w:sz w:val="1"/>
                <w:szCs w:val="1"/>
                <w:color w:val="auto"/>
              </w:rPr>
            </w:pPr>
          </w:p>
        </w:tc>
      </w:tr>
      <w:tr>
        <w:trPr>
          <w:trHeight w:val="266"/>
        </w:trPr>
        <w:tc>
          <w:tcPr>
            <w:tcW w:w="1800" w:type="dxa"/>
            <w:vAlign w:val="bottom"/>
            <w:tcBorders>
              <w:left w:val="single" w:sz="8" w:color="auto"/>
              <w:bottom w:val="single" w:sz="8" w:color="auto"/>
              <w:right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Payments</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Awards</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Awards</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Benefits</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Payments</w:t>
            </w: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Awards</w:t>
            </w:r>
          </w:p>
        </w:tc>
        <w:tc>
          <w:tcPr>
            <w:tcW w:w="1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Options</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Plans</w:t>
            </w:r>
          </w:p>
        </w:tc>
        <w:tc>
          <w:tcPr>
            <w:tcW w:w="0" w:type="dxa"/>
            <w:vAlign w:val="bottom"/>
          </w:tcPr>
          <w:p>
            <w:pPr>
              <w:spacing w:after="0"/>
              <w:rPr>
                <w:sz w:val="1"/>
                <w:szCs w:val="1"/>
                <w:color w:val="auto"/>
              </w:rPr>
            </w:pPr>
          </w:p>
        </w:tc>
      </w:tr>
      <w:tr>
        <w:trPr>
          <w:trHeight w:val="210"/>
        </w:trPr>
        <w:tc>
          <w:tcPr>
            <w:tcW w:w="1800" w:type="dxa"/>
            <w:vAlign w:val="bottom"/>
            <w:tcBorders>
              <w:left w:val="single" w:sz="8" w:color="auto"/>
              <w:bottom w:val="single" w:sz="8" w:color="auto"/>
              <w:right w:val="single" w:sz="8" w:color="auto"/>
            </w:tcBorders>
            <w:shd w:val="clear" w:color="auto" w:fill="CEEEFA"/>
          </w:tcPr>
          <w:p>
            <w:pPr>
              <w:ind w:left="120"/>
              <w:spacing w:after="0" w:line="209" w:lineRule="exact"/>
              <w:rPr>
                <w:sz w:val="20"/>
                <w:szCs w:val="20"/>
                <w:color w:val="auto"/>
              </w:rPr>
            </w:pPr>
            <w:r>
              <w:rPr>
                <w:rFonts w:ascii="Times New Roman" w:cs="Times New Roman" w:eastAsia="Times New Roman" w:hAnsi="Times New Roman"/>
                <w:sz w:val="20"/>
                <w:szCs w:val="20"/>
                <w:color w:val="auto"/>
              </w:rPr>
              <w:t>Ellen M. Cotter</w:t>
            </w:r>
          </w:p>
        </w:tc>
        <w:tc>
          <w:tcPr>
            <w:tcW w:w="1180" w:type="dxa"/>
            <w:vAlign w:val="bottom"/>
            <w:tcBorders>
              <w:bottom w:val="single" w:sz="8" w:color="auto"/>
              <w:right w:val="single" w:sz="8" w:color="auto"/>
            </w:tcBorders>
            <w:shd w:val="clear" w:color="auto" w:fill="CEEEFA"/>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EEEFA"/>
          </w:tcPr>
          <w:p>
            <w:pPr>
              <w:jc w:val="center"/>
              <w:ind w:right="45"/>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shd w:val="clear" w:color="auto" w:fill="CEEEFA"/>
          </w:tcPr>
          <w:p>
            <w:pPr>
              <w:jc w:val="right"/>
              <w:ind w:right="50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EEEFA"/>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EEEFA"/>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EEEFA"/>
          </w:tcPr>
          <w:p>
            <w:pPr>
              <w:jc w:val="right"/>
              <w:ind w:right="23"/>
              <w:spacing w:after="0" w:line="209" w:lineRule="exact"/>
              <w:rPr>
                <w:sz w:val="20"/>
                <w:szCs w:val="20"/>
                <w:color w:val="auto"/>
              </w:rPr>
            </w:pPr>
            <w:r>
              <w:rPr>
                <w:rFonts w:ascii="Times New Roman" w:cs="Times New Roman" w:eastAsia="Times New Roman" w:hAnsi="Times New Roman"/>
                <w:sz w:val="20"/>
                <w:szCs w:val="20"/>
                <w:color w:val="auto"/>
              </w:rPr>
              <w:t>16,294</w:t>
            </w:r>
          </w:p>
        </w:tc>
        <w:tc>
          <w:tcPr>
            <w:tcW w:w="1180" w:type="dxa"/>
            <w:vAlign w:val="bottom"/>
            <w:tcBorders>
              <w:bottom w:val="single" w:sz="8" w:color="auto"/>
              <w:right w:val="single" w:sz="8" w:color="auto"/>
            </w:tcBorders>
            <w:shd w:val="clear" w:color="auto" w:fill="CEEEFA"/>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right w:val="single" w:sz="8" w:color="auto"/>
            </w:tcBorders>
            <w:shd w:val="clear" w:color="auto" w:fill="CEEEFA"/>
          </w:tcPr>
          <w:p>
            <w:pPr>
              <w:jc w:val="center"/>
              <w:ind w:right="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Margaret Cotter</w:t>
            </w:r>
          </w:p>
        </w:tc>
        <w:tc>
          <w:tcPr>
            <w:tcW w:w="1180" w:type="dxa"/>
            <w:vAlign w:val="bottom"/>
            <w:tcBorders>
              <w:bottom w:val="single" w:sz="8" w:color="auto"/>
              <w:right w:val="single" w:sz="8" w:color="auto"/>
            </w:tcBorders>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center"/>
              <w:ind w:right="45"/>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tcPr>
          <w:p>
            <w:pPr>
              <w:jc w:val="right"/>
              <w:ind w:right="50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23"/>
              <w:spacing w:after="0" w:line="209" w:lineRule="exact"/>
              <w:rPr>
                <w:sz w:val="20"/>
                <w:szCs w:val="20"/>
                <w:color w:val="auto"/>
              </w:rPr>
            </w:pPr>
            <w:r>
              <w:rPr>
                <w:rFonts w:ascii="Times New Roman" w:cs="Times New Roman" w:eastAsia="Times New Roman" w:hAnsi="Times New Roman"/>
                <w:sz w:val="20"/>
                <w:szCs w:val="20"/>
                <w:color w:val="auto"/>
              </w:rPr>
              <w:t>11,915</w:t>
            </w:r>
          </w:p>
        </w:tc>
        <w:tc>
          <w:tcPr>
            <w:tcW w:w="11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right w:val="single" w:sz="8" w:color="auto"/>
            </w:tcBorders>
          </w:tcPr>
          <w:p>
            <w:pPr>
              <w:jc w:val="center"/>
              <w:ind w:right="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bottom w:val="single" w:sz="8" w:color="auto"/>
              <w:right w:val="single" w:sz="8" w:color="auto"/>
            </w:tcBorders>
            <w:shd w:val="clear" w:color="auto" w:fill="CEEEFA"/>
          </w:tcPr>
          <w:p>
            <w:pPr>
              <w:ind w:left="120"/>
              <w:spacing w:after="0" w:line="209" w:lineRule="exact"/>
              <w:rPr>
                <w:sz w:val="20"/>
                <w:szCs w:val="20"/>
                <w:color w:val="auto"/>
              </w:rPr>
            </w:pPr>
            <w:r>
              <w:rPr>
                <w:rFonts w:ascii="Times New Roman" w:cs="Times New Roman" w:eastAsia="Times New Roman" w:hAnsi="Times New Roman"/>
                <w:sz w:val="20"/>
                <w:szCs w:val="20"/>
                <w:color w:val="auto"/>
              </w:rPr>
              <w:t>S. Craig Tompkins</w:t>
            </w:r>
          </w:p>
        </w:tc>
        <w:tc>
          <w:tcPr>
            <w:tcW w:w="1180" w:type="dxa"/>
            <w:vAlign w:val="bottom"/>
            <w:tcBorders>
              <w:bottom w:val="single" w:sz="8" w:color="auto"/>
              <w:right w:val="single" w:sz="8" w:color="auto"/>
            </w:tcBorders>
            <w:shd w:val="clear" w:color="auto" w:fill="CEEEFA"/>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EEEFA"/>
          </w:tcPr>
          <w:p>
            <w:pPr>
              <w:jc w:val="center"/>
              <w:ind w:right="45"/>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shd w:val="clear" w:color="auto" w:fill="CEEEFA"/>
          </w:tcPr>
          <w:p>
            <w:pPr>
              <w:jc w:val="right"/>
              <w:ind w:right="50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EEEFA"/>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EEEFA"/>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EEEFA"/>
          </w:tcPr>
          <w:p>
            <w:pPr>
              <w:jc w:val="right"/>
              <w:ind w:right="23"/>
              <w:spacing w:after="0" w:line="209" w:lineRule="exact"/>
              <w:rPr>
                <w:sz w:val="20"/>
                <w:szCs w:val="20"/>
                <w:color w:val="auto"/>
              </w:rPr>
            </w:pPr>
            <w:r>
              <w:rPr>
                <w:rFonts w:ascii="Times New Roman" w:cs="Times New Roman" w:eastAsia="Times New Roman" w:hAnsi="Times New Roman"/>
                <w:sz w:val="20"/>
                <w:szCs w:val="20"/>
                <w:color w:val="auto"/>
              </w:rPr>
              <w:t>11,769</w:t>
            </w:r>
          </w:p>
        </w:tc>
        <w:tc>
          <w:tcPr>
            <w:tcW w:w="1180" w:type="dxa"/>
            <w:vAlign w:val="bottom"/>
            <w:tcBorders>
              <w:bottom w:val="single" w:sz="8" w:color="auto"/>
              <w:right w:val="single" w:sz="8" w:color="auto"/>
            </w:tcBorders>
            <w:shd w:val="clear" w:color="auto" w:fill="CEEEFA"/>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right w:val="single" w:sz="8" w:color="auto"/>
            </w:tcBorders>
            <w:shd w:val="clear" w:color="auto" w:fill="CEEEFA"/>
          </w:tcPr>
          <w:p>
            <w:pPr>
              <w:jc w:val="center"/>
              <w:ind w:right="23"/>
              <w:spacing w:after="0" w:line="209" w:lineRule="exact"/>
              <w:rPr>
                <w:sz w:val="20"/>
                <w:szCs w:val="20"/>
                <w:color w:val="auto"/>
              </w:rPr>
            </w:pPr>
            <w:r>
              <w:rPr>
                <w:rFonts w:ascii="Times New Roman" w:cs="Times New Roman" w:eastAsia="Times New Roman" w:hAnsi="Times New Roman"/>
                <w:sz w:val="20"/>
                <w:szCs w:val="20"/>
                <w:color w:val="auto"/>
                <w:w w:val="99"/>
              </w:rPr>
              <w:t>285,560(1)</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980" w:right="420" w:hanging="324"/>
        <w:spacing w:after="0" w:line="243" w:lineRule="auto"/>
        <w:tabs>
          <w:tab w:leader="none" w:pos="9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Tompkins’s one-time retirement benefit is a single year payment based on the average of the two highest total cash compensation (base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2021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2025, and the date of this Report, no employment agreements are in place for our NEOs.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 of Directors</w:t>
      </w:r>
    </w:p>
    <w:p>
      <w:pPr>
        <w:spacing w:after="0" w:line="206"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20"/>
          <w:szCs w:val="20"/>
          <w:color w:val="auto"/>
        </w:rPr>
        <w:t>During 2025, we paid our non-employee Directors a combination of (a) base annual cash fees for service as Directors; (b) base and special fees for service as members of standing and special committees; (c) base cash fees for service as Chairpersons of committees and (d)</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equity compensation for service as Directors in the form of restricted stock units and stock options, each of which are set forth in more detail below in the “Director Compensation Table.”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Director Compensation Table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information concerning the compensation paid to Directors in 2025:</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700" w:type="dxa"/>
            <w:vAlign w:val="bottom"/>
            <w:tcBorders>
              <w:top w:val="single" w:sz="8" w:color="auto"/>
              <w:left w:val="single" w:sz="8" w:color="auto"/>
              <w:right w:val="single" w:sz="8" w:color="auto"/>
            </w:tcBorders>
            <w:vMerge w:val="restart"/>
          </w:tcPr>
          <w:p>
            <w:pPr>
              <w:ind w:left="110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420" w:type="dxa"/>
            <w:vAlign w:val="bottom"/>
            <w:tcBorders>
              <w:top w:val="single" w:sz="8" w:color="auto"/>
              <w:right w:val="single" w:sz="8" w:color="auto"/>
            </w:tcBorders>
          </w:tcPr>
          <w:p>
            <w:pPr>
              <w:jc w:val="center"/>
              <w:ind w:right="61"/>
              <w:spacing w:after="0" w:line="190" w:lineRule="exact"/>
              <w:rPr>
                <w:sz w:val="20"/>
                <w:szCs w:val="20"/>
                <w:color w:val="auto"/>
              </w:rPr>
            </w:pPr>
            <w:r>
              <w:rPr>
                <w:rFonts w:ascii="Times New Roman" w:cs="Times New Roman" w:eastAsia="Times New Roman" w:hAnsi="Times New Roman"/>
                <w:sz w:val="20"/>
                <w:szCs w:val="20"/>
                <w:b w:val="1"/>
                <w:bCs w:val="1"/>
                <w:color w:val="auto"/>
                <w:w w:val="99"/>
              </w:rPr>
              <w:t>Fees Earned or Paid in</w:t>
            </w:r>
          </w:p>
        </w:tc>
        <w:tc>
          <w:tcPr>
            <w:tcW w:w="2400" w:type="dxa"/>
            <w:vAlign w:val="bottom"/>
            <w:tcBorders>
              <w:top w:val="single" w:sz="8" w:color="auto"/>
              <w:right w:val="single" w:sz="8" w:color="auto"/>
            </w:tcBorders>
            <w:vMerge w:val="restart"/>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4"/>
              </w:rPr>
              <w:t>Stock Awards ($)</w:t>
            </w:r>
            <w:r>
              <w:rPr>
                <w:rFonts w:ascii="Times New Roman" w:cs="Times New Roman" w:eastAsia="Times New Roman" w:hAnsi="Times New Roman"/>
                <w:sz w:val="32"/>
                <w:szCs w:val="32"/>
                <w:b w:val="1"/>
                <w:bCs w:val="1"/>
                <w:color w:val="auto"/>
                <w:w w:val="94"/>
                <w:vertAlign w:val="superscript"/>
              </w:rPr>
              <w:t>(1)</w:t>
            </w:r>
          </w:p>
        </w:tc>
        <w:tc>
          <w:tcPr>
            <w:tcW w:w="2400" w:type="dxa"/>
            <w:vAlign w:val="bottom"/>
            <w:tcBorders>
              <w:top w:val="single" w:sz="8" w:color="auto"/>
              <w:right w:val="single" w:sz="8" w:color="auto"/>
            </w:tcBorders>
          </w:tcPr>
          <w:p>
            <w:pPr>
              <w:jc w:val="center"/>
              <w:ind w:right="66"/>
              <w:spacing w:after="0" w:line="190" w:lineRule="exact"/>
              <w:rPr>
                <w:sz w:val="20"/>
                <w:szCs w:val="20"/>
                <w:color w:val="auto"/>
              </w:rPr>
            </w:pPr>
            <w:r>
              <w:rPr>
                <w:rFonts w:ascii="Times New Roman" w:cs="Times New Roman" w:eastAsia="Times New Roman" w:hAnsi="Times New Roman"/>
                <w:sz w:val="20"/>
                <w:szCs w:val="20"/>
                <w:b w:val="1"/>
                <w:bCs w:val="1"/>
                <w:color w:val="auto"/>
                <w:w w:val="97"/>
              </w:rPr>
              <w:t>All Other</w:t>
            </w:r>
          </w:p>
        </w:tc>
        <w:tc>
          <w:tcPr>
            <w:tcW w:w="1340" w:type="dxa"/>
            <w:vAlign w:val="bottom"/>
            <w:tcBorders>
              <w:top w:val="single" w:sz="8" w:color="auto"/>
              <w:right w:val="single" w:sz="8" w:color="auto"/>
            </w:tcBorders>
            <w:vMerge w:val="restart"/>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4"/>
              </w:rPr>
              <w:t>Total ($)</w:t>
            </w:r>
          </w:p>
        </w:tc>
        <w:tc>
          <w:tcPr>
            <w:tcW w:w="0" w:type="dxa"/>
            <w:vAlign w:val="bottom"/>
          </w:tcPr>
          <w:p>
            <w:pPr>
              <w:spacing w:after="0"/>
              <w:rPr>
                <w:sz w:val="1"/>
                <w:szCs w:val="1"/>
                <w:color w:val="auto"/>
              </w:rPr>
            </w:pPr>
          </w:p>
        </w:tc>
      </w:tr>
      <w:tr>
        <w:trPr>
          <w:trHeight w:val="202"/>
        </w:trPr>
        <w:tc>
          <w:tcPr>
            <w:tcW w:w="2700" w:type="dxa"/>
            <w:vAlign w:val="bottom"/>
            <w:tcBorders>
              <w:left w:val="single" w:sz="8" w:color="auto"/>
              <w:right w:val="single" w:sz="8" w:color="auto"/>
            </w:tcBorders>
            <w:vMerge w:val="continue"/>
          </w:tcPr>
          <w:p>
            <w:pPr>
              <w:spacing w:after="0"/>
              <w:rPr>
                <w:sz w:val="17"/>
                <w:szCs w:val="17"/>
                <w:color w:val="auto"/>
              </w:rPr>
            </w:pPr>
          </w:p>
        </w:tc>
        <w:tc>
          <w:tcPr>
            <w:tcW w:w="2420" w:type="dxa"/>
            <w:vAlign w:val="bottom"/>
            <w:tcBorders>
              <w:right w:val="single" w:sz="8" w:color="auto"/>
            </w:tcBorders>
            <w:vMerge w:val="restart"/>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7"/>
              </w:rPr>
              <w:t>Cash ($)</w:t>
            </w:r>
          </w:p>
        </w:tc>
        <w:tc>
          <w:tcPr>
            <w:tcW w:w="2400" w:type="dxa"/>
            <w:vAlign w:val="bottom"/>
            <w:tcBorders>
              <w:right w:val="single" w:sz="8" w:color="auto"/>
            </w:tcBorders>
            <w:vMerge w:val="continue"/>
          </w:tcPr>
          <w:p>
            <w:pPr>
              <w:spacing w:after="0"/>
              <w:rPr>
                <w:sz w:val="17"/>
                <w:szCs w:val="17"/>
                <w:color w:val="auto"/>
              </w:rPr>
            </w:pPr>
          </w:p>
        </w:tc>
        <w:tc>
          <w:tcPr>
            <w:tcW w:w="2400" w:type="dxa"/>
            <w:vAlign w:val="bottom"/>
            <w:tcBorders>
              <w:right w:val="single" w:sz="8" w:color="auto"/>
            </w:tcBorders>
            <w:vMerge w:val="restart"/>
          </w:tcPr>
          <w:p>
            <w:pPr>
              <w:jc w:val="center"/>
              <w:ind w:right="26"/>
              <w:spacing w:after="0"/>
              <w:rPr>
                <w:sz w:val="20"/>
                <w:szCs w:val="20"/>
                <w:color w:val="auto"/>
              </w:rPr>
            </w:pPr>
            <w:r>
              <w:rPr>
                <w:rFonts w:ascii="Times New Roman" w:cs="Times New Roman" w:eastAsia="Times New Roman" w:hAnsi="Times New Roman"/>
                <w:sz w:val="20"/>
                <w:szCs w:val="20"/>
                <w:b w:val="1"/>
                <w:bCs w:val="1"/>
                <w:color w:val="auto"/>
                <w:w w:val="98"/>
              </w:rPr>
              <w:t>Compensation($)</w:t>
            </w:r>
          </w:p>
        </w:tc>
        <w:tc>
          <w:tcPr>
            <w:tcW w:w="1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vMerge w:val="continue"/>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vMerge w:val="continue"/>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700" w:type="dxa"/>
            <w:vAlign w:val="bottom"/>
            <w:tcBorders>
              <w:left w:val="single" w:sz="8" w:color="auto"/>
              <w:bottom w:val="single" w:sz="8" w:color="auto"/>
              <w:right w:val="single" w:sz="8" w:color="auto"/>
            </w:tcBorders>
            <w:shd w:val="clear" w:color="auto" w:fill="CEEEFA"/>
          </w:tcPr>
          <w:p>
            <w:pPr>
              <w:ind w:left="120"/>
              <w:spacing w:after="0"/>
              <w:rPr>
                <w:sz w:val="20"/>
                <w:szCs w:val="20"/>
                <w:color w:val="auto"/>
              </w:rPr>
            </w:pPr>
            <w:r>
              <w:rPr>
                <w:rFonts w:ascii="Times New Roman" w:cs="Times New Roman" w:eastAsia="Times New Roman" w:hAnsi="Times New Roman"/>
                <w:sz w:val="20"/>
                <w:szCs w:val="20"/>
                <w:color w:val="auto"/>
              </w:rPr>
              <w:t>Guy W. Adams</w:t>
            </w:r>
          </w:p>
        </w:tc>
        <w:tc>
          <w:tcPr>
            <w:tcW w:w="2420" w:type="dxa"/>
            <w:vAlign w:val="bottom"/>
            <w:tcBorders>
              <w:bottom w:val="single" w:sz="8" w:color="auto"/>
              <w:right w:val="single" w:sz="8" w:color="auto"/>
            </w:tcBorders>
            <w:shd w:val="clear" w:color="auto" w:fill="CEEEFA"/>
          </w:tcPr>
          <w:p>
            <w:pPr>
              <w:jc w:val="center"/>
              <w:ind w:right="21"/>
              <w:spacing w:after="0" w:line="276" w:lineRule="exact"/>
              <w:rPr>
                <w:sz w:val="20"/>
                <w:szCs w:val="20"/>
                <w:color w:val="auto"/>
              </w:rPr>
            </w:pPr>
            <w:r>
              <w:rPr>
                <w:rFonts w:ascii="Times New Roman" w:cs="Times New Roman" w:eastAsia="Times New Roman" w:hAnsi="Times New Roman"/>
                <w:sz w:val="20"/>
                <w:szCs w:val="20"/>
                <w:color w:val="auto"/>
                <w:w w:val="92"/>
              </w:rPr>
              <w:t>82,500</w:t>
            </w:r>
            <w:r>
              <w:rPr>
                <w:rFonts w:ascii="Times New Roman" w:cs="Times New Roman" w:eastAsia="Times New Roman" w:hAnsi="Times New Roman"/>
                <w:sz w:val="32"/>
                <w:szCs w:val="32"/>
                <w:color w:val="auto"/>
                <w:w w:val="92"/>
                <w:vertAlign w:val="superscript"/>
              </w:rPr>
              <w:t>(3)</w:t>
            </w:r>
          </w:p>
        </w:tc>
        <w:tc>
          <w:tcPr>
            <w:tcW w:w="2400" w:type="dxa"/>
            <w:vAlign w:val="bottom"/>
            <w:tcBorders>
              <w:bottom w:val="single" w:sz="8" w:color="auto"/>
              <w:right w:val="single" w:sz="8" w:color="auto"/>
            </w:tcBorders>
            <w:shd w:val="clear" w:color="auto" w:fill="CEEEFA"/>
          </w:tcPr>
          <w:p>
            <w:pPr>
              <w:jc w:val="center"/>
              <w:ind w:right="41"/>
              <w:spacing w:after="0" w:line="276" w:lineRule="exact"/>
              <w:rPr>
                <w:sz w:val="20"/>
                <w:szCs w:val="20"/>
                <w:color w:val="auto"/>
              </w:rPr>
            </w:pPr>
            <w:r>
              <w:rPr>
                <w:rFonts w:ascii="Times New Roman" w:cs="Times New Roman" w:eastAsia="Times New Roman" w:hAnsi="Times New Roman"/>
                <w:sz w:val="20"/>
                <w:szCs w:val="20"/>
                <w:color w:val="auto"/>
                <w:w w:val="92"/>
              </w:rPr>
              <w:t>70,000</w:t>
            </w:r>
            <w:r>
              <w:rPr>
                <w:rFonts w:ascii="Times New Roman" w:cs="Times New Roman" w:eastAsia="Times New Roman" w:hAnsi="Times New Roman"/>
                <w:sz w:val="32"/>
                <w:szCs w:val="32"/>
                <w:color w:val="auto"/>
                <w:w w:val="92"/>
                <w:vertAlign w:val="superscript"/>
              </w:rPr>
              <w:t>(2)</w:t>
            </w:r>
          </w:p>
        </w:tc>
        <w:tc>
          <w:tcPr>
            <w:tcW w:w="2400" w:type="dxa"/>
            <w:vAlign w:val="bottom"/>
            <w:tcBorders>
              <w:bottom w:val="single" w:sz="8" w:color="auto"/>
              <w:right w:val="single" w:sz="8" w:color="auto"/>
            </w:tcBorders>
            <w:shd w:val="clear" w:color="auto" w:fill="CEEEFA"/>
          </w:tcPr>
          <w:p>
            <w:pPr>
              <w:jc w:val="center"/>
              <w:ind w:right="6"/>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shd w:val="clear" w:color="auto" w:fill="CEEEFA"/>
          </w:tcPr>
          <w:p>
            <w:pPr>
              <w:jc w:val="center"/>
              <w:ind w:right="21"/>
              <w:spacing w:after="0"/>
              <w:rPr>
                <w:sz w:val="20"/>
                <w:szCs w:val="20"/>
                <w:color w:val="auto"/>
              </w:rPr>
            </w:pPr>
            <w:r>
              <w:rPr>
                <w:rFonts w:ascii="Times New Roman" w:cs="Times New Roman" w:eastAsia="Times New Roman" w:hAnsi="Times New Roman"/>
                <w:sz w:val="20"/>
                <w:szCs w:val="20"/>
                <w:color w:val="auto"/>
              </w:rPr>
              <w:t>152,500</w:t>
            </w:r>
          </w:p>
        </w:tc>
        <w:tc>
          <w:tcPr>
            <w:tcW w:w="0" w:type="dxa"/>
            <w:vAlign w:val="bottom"/>
          </w:tcPr>
          <w:p>
            <w:pPr>
              <w:spacing w:after="0"/>
              <w:rPr>
                <w:sz w:val="1"/>
                <w:szCs w:val="1"/>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Dr. Judy Codding</w:t>
            </w:r>
          </w:p>
        </w:tc>
        <w:tc>
          <w:tcPr>
            <w:tcW w:w="2420" w:type="dxa"/>
            <w:vAlign w:val="bottom"/>
            <w:tcBorders>
              <w:bottom w:val="single" w:sz="8" w:color="auto"/>
              <w:right w:val="single" w:sz="8" w:color="auto"/>
            </w:tcBorders>
          </w:tcPr>
          <w:p>
            <w:pPr>
              <w:jc w:val="center"/>
              <w:ind w:right="21"/>
              <w:spacing w:after="0" w:line="276" w:lineRule="exact"/>
              <w:rPr>
                <w:sz w:val="20"/>
                <w:szCs w:val="20"/>
                <w:color w:val="auto"/>
              </w:rPr>
            </w:pPr>
            <w:r>
              <w:rPr>
                <w:rFonts w:ascii="Times New Roman" w:cs="Times New Roman" w:eastAsia="Times New Roman" w:hAnsi="Times New Roman"/>
                <w:sz w:val="20"/>
                <w:szCs w:val="20"/>
                <w:color w:val="auto"/>
                <w:w w:val="92"/>
              </w:rPr>
              <w:t>82,500</w:t>
            </w:r>
            <w:r>
              <w:rPr>
                <w:rFonts w:ascii="Times New Roman" w:cs="Times New Roman" w:eastAsia="Times New Roman" w:hAnsi="Times New Roman"/>
                <w:sz w:val="32"/>
                <w:szCs w:val="32"/>
                <w:color w:val="auto"/>
                <w:w w:val="92"/>
                <w:vertAlign w:val="superscript"/>
              </w:rPr>
              <w:t>(4)</w:t>
            </w:r>
          </w:p>
        </w:tc>
        <w:tc>
          <w:tcPr>
            <w:tcW w:w="2400" w:type="dxa"/>
            <w:vAlign w:val="bottom"/>
            <w:tcBorders>
              <w:bottom w:val="single" w:sz="8" w:color="auto"/>
              <w:right w:val="single" w:sz="8" w:color="auto"/>
            </w:tcBorders>
          </w:tcPr>
          <w:p>
            <w:pPr>
              <w:jc w:val="center"/>
              <w:ind w:right="41"/>
              <w:spacing w:after="0" w:line="276" w:lineRule="exact"/>
              <w:rPr>
                <w:sz w:val="20"/>
                <w:szCs w:val="20"/>
                <w:color w:val="auto"/>
              </w:rPr>
            </w:pPr>
            <w:r>
              <w:rPr>
                <w:rFonts w:ascii="Times New Roman" w:cs="Times New Roman" w:eastAsia="Times New Roman" w:hAnsi="Times New Roman"/>
                <w:sz w:val="20"/>
                <w:szCs w:val="20"/>
                <w:color w:val="auto"/>
                <w:w w:val="92"/>
              </w:rPr>
              <w:t>70,000</w:t>
            </w:r>
            <w:r>
              <w:rPr>
                <w:rFonts w:ascii="Times New Roman" w:cs="Times New Roman" w:eastAsia="Times New Roman" w:hAnsi="Times New Roman"/>
                <w:sz w:val="32"/>
                <w:szCs w:val="32"/>
                <w:color w:val="auto"/>
                <w:w w:val="92"/>
                <w:vertAlign w:val="superscript"/>
              </w:rPr>
              <w:t>(2)</w:t>
            </w:r>
          </w:p>
        </w:tc>
        <w:tc>
          <w:tcPr>
            <w:tcW w:w="240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rPr>
              <w:t>152,500</w:t>
            </w:r>
          </w:p>
        </w:tc>
        <w:tc>
          <w:tcPr>
            <w:tcW w:w="0" w:type="dxa"/>
            <w:vAlign w:val="bottom"/>
          </w:tcPr>
          <w:p>
            <w:pPr>
              <w:spacing w:after="0"/>
              <w:rPr>
                <w:sz w:val="1"/>
                <w:szCs w:val="1"/>
                <w:color w:val="auto"/>
              </w:rPr>
            </w:pPr>
          </w:p>
        </w:tc>
      </w:tr>
      <w:tr>
        <w:trPr>
          <w:trHeight w:val="277"/>
        </w:trPr>
        <w:tc>
          <w:tcPr>
            <w:tcW w:w="2700" w:type="dxa"/>
            <w:vAlign w:val="bottom"/>
            <w:tcBorders>
              <w:left w:val="single" w:sz="8" w:color="auto"/>
              <w:bottom w:val="single" w:sz="8" w:color="auto"/>
              <w:right w:val="single" w:sz="8" w:color="auto"/>
            </w:tcBorders>
            <w:shd w:val="clear" w:color="auto" w:fill="CEEEFA"/>
          </w:tcPr>
          <w:p>
            <w:pPr>
              <w:ind w:left="120"/>
              <w:spacing w:after="0"/>
              <w:rPr>
                <w:sz w:val="20"/>
                <w:szCs w:val="20"/>
                <w:color w:val="auto"/>
              </w:rPr>
            </w:pPr>
            <w:r>
              <w:rPr>
                <w:rFonts w:ascii="Times New Roman" w:cs="Times New Roman" w:eastAsia="Times New Roman" w:hAnsi="Times New Roman"/>
                <w:sz w:val="20"/>
                <w:szCs w:val="20"/>
                <w:color w:val="auto"/>
              </w:rPr>
              <w:t>Douglas J. McEachern</w:t>
            </w:r>
          </w:p>
        </w:tc>
        <w:tc>
          <w:tcPr>
            <w:tcW w:w="2420" w:type="dxa"/>
            <w:vAlign w:val="bottom"/>
            <w:tcBorders>
              <w:bottom w:val="single" w:sz="8" w:color="auto"/>
              <w:right w:val="single" w:sz="8" w:color="auto"/>
            </w:tcBorders>
            <w:shd w:val="clear" w:color="auto" w:fill="CEEEFA"/>
          </w:tcPr>
          <w:p>
            <w:pPr>
              <w:jc w:val="center"/>
              <w:ind w:right="21"/>
              <w:spacing w:after="0" w:line="276" w:lineRule="exact"/>
              <w:rPr>
                <w:sz w:val="20"/>
                <w:szCs w:val="20"/>
                <w:color w:val="auto"/>
              </w:rPr>
            </w:pPr>
            <w:r>
              <w:rPr>
                <w:rFonts w:ascii="Times New Roman" w:cs="Times New Roman" w:eastAsia="Times New Roman" w:hAnsi="Times New Roman"/>
                <w:sz w:val="20"/>
                <w:szCs w:val="20"/>
                <w:color w:val="auto"/>
                <w:w w:val="92"/>
              </w:rPr>
              <w:t>82,500</w:t>
            </w:r>
            <w:r>
              <w:rPr>
                <w:rFonts w:ascii="Times New Roman" w:cs="Times New Roman" w:eastAsia="Times New Roman" w:hAnsi="Times New Roman"/>
                <w:sz w:val="32"/>
                <w:szCs w:val="32"/>
                <w:color w:val="auto"/>
                <w:w w:val="92"/>
                <w:vertAlign w:val="superscript"/>
              </w:rPr>
              <w:t>(5)</w:t>
            </w:r>
          </w:p>
        </w:tc>
        <w:tc>
          <w:tcPr>
            <w:tcW w:w="2400" w:type="dxa"/>
            <w:vAlign w:val="bottom"/>
            <w:tcBorders>
              <w:bottom w:val="single" w:sz="8" w:color="auto"/>
              <w:right w:val="single" w:sz="8" w:color="auto"/>
            </w:tcBorders>
            <w:shd w:val="clear" w:color="auto" w:fill="CEEEFA"/>
          </w:tcPr>
          <w:p>
            <w:pPr>
              <w:jc w:val="center"/>
              <w:ind w:right="41"/>
              <w:spacing w:after="0" w:line="276" w:lineRule="exact"/>
              <w:rPr>
                <w:sz w:val="20"/>
                <w:szCs w:val="20"/>
                <w:color w:val="auto"/>
              </w:rPr>
            </w:pPr>
            <w:r>
              <w:rPr>
                <w:rFonts w:ascii="Times New Roman" w:cs="Times New Roman" w:eastAsia="Times New Roman" w:hAnsi="Times New Roman"/>
                <w:sz w:val="20"/>
                <w:szCs w:val="20"/>
                <w:color w:val="auto"/>
                <w:w w:val="92"/>
              </w:rPr>
              <w:t>70,000</w:t>
            </w:r>
            <w:r>
              <w:rPr>
                <w:rFonts w:ascii="Times New Roman" w:cs="Times New Roman" w:eastAsia="Times New Roman" w:hAnsi="Times New Roman"/>
                <w:sz w:val="32"/>
                <w:szCs w:val="32"/>
                <w:color w:val="auto"/>
                <w:w w:val="92"/>
                <w:vertAlign w:val="superscript"/>
              </w:rPr>
              <w:t>(2)</w:t>
            </w:r>
          </w:p>
        </w:tc>
        <w:tc>
          <w:tcPr>
            <w:tcW w:w="2400" w:type="dxa"/>
            <w:vAlign w:val="bottom"/>
            <w:tcBorders>
              <w:bottom w:val="single" w:sz="8" w:color="auto"/>
              <w:right w:val="single" w:sz="8" w:color="auto"/>
            </w:tcBorders>
            <w:shd w:val="clear" w:color="auto" w:fill="CEEEFA"/>
          </w:tcPr>
          <w:p>
            <w:pPr>
              <w:jc w:val="center"/>
              <w:ind w:right="6"/>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shd w:val="clear" w:color="auto" w:fill="CEEEFA"/>
          </w:tcPr>
          <w:p>
            <w:pPr>
              <w:jc w:val="center"/>
              <w:ind w:right="21"/>
              <w:spacing w:after="0"/>
              <w:rPr>
                <w:sz w:val="20"/>
                <w:szCs w:val="20"/>
                <w:color w:val="auto"/>
              </w:rPr>
            </w:pPr>
            <w:r>
              <w:rPr>
                <w:rFonts w:ascii="Times New Roman" w:cs="Times New Roman" w:eastAsia="Times New Roman" w:hAnsi="Times New Roman"/>
                <w:sz w:val="20"/>
                <w:szCs w:val="20"/>
                <w:color w:val="auto"/>
              </w:rPr>
              <w:t>152,500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the award computed in accordance with FASB ASC Topic 718. Awards were RSUs.</w:t>
      </w:r>
    </w:p>
    <w:p>
      <w:pPr>
        <w:spacing w:after="0" w:line="167" w:lineRule="exact"/>
        <w:rPr>
          <w:rFonts w:ascii="Times New Roman" w:cs="Times New Roman" w:eastAsia="Times New Roman" w:hAnsi="Times New Roman"/>
          <w:sz w:val="16"/>
          <w:szCs w:val="16"/>
          <w:color w:val="auto"/>
        </w:rPr>
      </w:pPr>
    </w:p>
    <w:p>
      <w:pPr>
        <w:ind w:left="980" w:right="380" w:hanging="324"/>
        <w:spacing w:after="0" w:line="263" w:lineRule="auto"/>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number of stock options granted on December 4, 2025. The options will vest in full on December 3, 2026. Each stock option represents the right to acquire one share of Class A Non-Voting Common Stock.</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Guy W. Adams</w:t>
            </w:r>
          </w:p>
        </w:tc>
        <w:tc>
          <w:tcPr>
            <w:tcW w:w="4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102,941</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Dr. Judy Codding</w:t>
            </w:r>
          </w:p>
        </w:tc>
        <w:tc>
          <w:tcPr>
            <w:tcW w:w="4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102,941</w:t>
            </w:r>
          </w:p>
        </w:tc>
      </w:tr>
      <w:tr>
        <w:trPr>
          <w:trHeight w:val="258"/>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Douglas McEachern</w:t>
            </w:r>
          </w:p>
        </w:tc>
        <w:tc>
          <w:tcPr>
            <w:tcW w:w="4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40575" cy="45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454025"/>
                    </a:xfrm>
                    <a:prstGeom prst="rect">
                      <a:avLst/>
                    </a:prstGeom>
                    <a:noFill/>
                  </pic:spPr>
                </pic:pic>
              </a:graphicData>
            </a:graphic>
          </wp:anchor>
        </w:drawing>
      </w:r>
    </w:p>
    <w:p>
      <w:pPr>
        <w:spacing w:after="0" w:line="392" w:lineRule="exact"/>
        <w:rPr>
          <w:sz w:val="20"/>
          <w:szCs w:val="20"/>
          <w:color w:val="auto"/>
        </w:rPr>
      </w:pPr>
    </w:p>
    <w:p>
      <w:pPr>
        <w:ind w:left="980" w:right="80" w:hanging="324"/>
        <w:spacing w:after="0" w:line="263" w:lineRule="auto"/>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Base Director Fee of $50,000, Audit Committee Member Fee of $10,000, Compensation Committee Member Fee of $7,500 and Lead Technology and Cyber Risk Director Fee of $15,000.</w:t>
      </w:r>
    </w:p>
    <w:p>
      <w:pPr>
        <w:spacing w:after="0" w:line="123"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Base Director Fee of $50,000, Compensation Committee Chair Fee of $22,500, Audit Committee Member Fee of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1" w:right="319" w:bottom="1440" w:gutter="0" w:footer="0" w:header="0"/>
        </w:sectPr>
      </w:pPr>
    </w:p>
    <w:bookmarkStart w:id="16" w:name="page17"/>
    <w:bookmarkEnd w:id="16"/>
    <w:p>
      <w:pPr>
        <w:ind w:left="980" w:right="280" w:hanging="324"/>
        <w:spacing w:after="0" w:line="263"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Base Director Fee of $50,000, Audit Committee Chair Fee of $20,000, Compensation Committee Member Fee of $7,500 and Lead Independent Director Fee of $5,000.</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Outside Director Compensation</w:t>
      </w:r>
    </w:p>
    <w:p>
      <w:pPr>
        <w:spacing w:after="0" w:line="22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9"/>
          <w:szCs w:val="19"/>
          <w:color w:val="auto"/>
        </w:rPr>
        <w:t>Our Board requested our Compensation Committee to evaluate our Company’s compensation policy for outside directors and to establish a plan that encompasses sound corporate practices consistent with the best interests of our Company. Our Compensation Committee periodically reviews, evaluates, revises and recommends the adoption of new compensation arrangements for executive and management</w:t>
      </w:r>
    </w:p>
    <w:p>
      <w:pPr>
        <w:spacing w:after="0" w:line="1" w:lineRule="exact"/>
        <w:rPr>
          <w:sz w:val="20"/>
          <w:szCs w:val="20"/>
          <w:color w:val="auto"/>
        </w:rPr>
      </w:pPr>
    </w:p>
    <w:p>
      <w:pPr>
        <w:jc w:val="both"/>
        <w:ind w:right="40"/>
        <w:spacing w:after="0" w:line="228" w:lineRule="auto"/>
        <w:rPr>
          <w:sz w:val="20"/>
          <w:szCs w:val="20"/>
          <w:color w:val="auto"/>
        </w:rPr>
      </w:pPr>
      <w:r>
        <w:rPr>
          <w:rFonts w:ascii="Times New Roman" w:cs="Times New Roman" w:eastAsia="Times New Roman" w:hAnsi="Times New Roman"/>
          <w:sz w:val="20"/>
          <w:szCs w:val="20"/>
          <w:color w:val="auto"/>
        </w:rPr>
        <w:t>officers and outside directors of our Company, which review has included, in past years, the retention by the Compensation Committee of an independent compensation consulting firm for this information.</w:t>
      </w:r>
    </w:p>
    <w:p>
      <w:pPr>
        <w:spacing w:after="0" w:line="17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0"/>
          <w:szCs w:val="20"/>
          <w:color w:val="auto"/>
        </w:rPr>
        <w:t>After input was received, reviewed, discussed and considered by our Compensation Committee, and taking into account, among other things, our efforts to reduce cash expenses and consolidation of workloads in light of the reduction in our Board from seven to five</w:t>
      </w:r>
    </w:p>
    <w:p>
      <w:pPr>
        <w:spacing w:after="0" w:line="2" w:lineRule="exact"/>
        <w:rPr>
          <w:sz w:val="20"/>
          <w:szCs w:val="20"/>
          <w:color w:val="auto"/>
        </w:rPr>
      </w:pPr>
    </w:p>
    <w:p>
      <w:pPr>
        <w:ind w:right="4200"/>
        <w:spacing w:after="0" w:line="228" w:lineRule="auto"/>
        <w:rPr>
          <w:sz w:val="20"/>
          <w:szCs w:val="20"/>
          <w:color w:val="auto"/>
        </w:rPr>
      </w:pPr>
      <w:r>
        <w:rPr>
          <w:rFonts w:ascii="Times New Roman" w:cs="Times New Roman" w:eastAsia="Times New Roman" w:hAnsi="Times New Roman"/>
          <w:sz w:val="20"/>
          <w:szCs w:val="20"/>
          <w:color w:val="auto"/>
        </w:rPr>
        <w:t>directors, our Compensation Committee recommended and our Board authorized that the following annual compensation for our non-employee directors for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Board Base Director fee was $50,000.</w:t>
      </w:r>
    </w:p>
    <w:p>
      <w:pPr>
        <w:spacing w:after="0" w:line="22" w:lineRule="exact"/>
        <w:rPr>
          <w:sz w:val="20"/>
          <w:szCs w:val="20"/>
          <w:color w:val="auto"/>
        </w:rPr>
      </w:pPr>
    </w:p>
    <w:p>
      <w:pPr>
        <w:ind w:left="980" w:right="160"/>
        <w:spacing w:after="0" w:line="232" w:lineRule="auto"/>
        <w:rPr>
          <w:sz w:val="20"/>
          <w:szCs w:val="20"/>
          <w:color w:val="auto"/>
        </w:rPr>
      </w:pPr>
      <w:r>
        <w:rPr>
          <w:rFonts w:ascii="Times New Roman" w:cs="Times New Roman" w:eastAsia="Times New Roman" w:hAnsi="Times New Roman"/>
          <w:sz w:val="20"/>
          <w:szCs w:val="20"/>
          <w:color w:val="auto"/>
        </w:rPr>
        <w:t>The Committee Chair retainers were $20,000 for our Audit Committee, $22,500 for our Compensation Committee and a $2,000 per meeting fee for the Executive Committee.</w:t>
      </w:r>
    </w:p>
    <w:p>
      <w:pPr>
        <w:ind w:left="980" w:right="460"/>
        <w:spacing w:after="0" w:line="225" w:lineRule="auto"/>
        <w:rPr>
          <w:sz w:val="20"/>
          <w:szCs w:val="20"/>
          <w:color w:val="auto"/>
        </w:rPr>
      </w:pPr>
      <w:r>
        <w:rPr>
          <w:rFonts w:ascii="Times New Roman" w:cs="Times New Roman" w:eastAsia="Times New Roman" w:hAnsi="Times New Roman"/>
          <w:sz w:val="20"/>
          <w:szCs w:val="20"/>
          <w:color w:val="auto"/>
        </w:rPr>
        <w:t>The committee member fees were $10,000 for our Audit Committee and $7,500 Compensation Committee and a $1,500 per meeting fee for our Executive Committee.</w:t>
      </w:r>
    </w:p>
    <w:p>
      <w:pPr>
        <w:ind w:left="660"/>
        <w:spacing w:after="0"/>
        <w:rPr>
          <w:sz w:val="20"/>
          <w:szCs w:val="20"/>
          <w:color w:val="auto"/>
        </w:rPr>
      </w:pPr>
      <w:r>
        <w:rPr>
          <w:rFonts w:ascii="Times New Roman" w:cs="Times New Roman" w:eastAsia="Times New Roman" w:hAnsi="Times New Roman"/>
          <w:sz w:val="20"/>
          <w:szCs w:val="20"/>
          <w:color w:val="auto"/>
        </w:rPr>
        <w:t>The Lead Independent Director fee was $5,000.</w:t>
      </w:r>
    </w:p>
    <w:p>
      <w:pPr>
        <w:ind w:left="660"/>
        <w:spacing w:after="0"/>
        <w:rPr>
          <w:sz w:val="20"/>
          <w:szCs w:val="20"/>
          <w:color w:val="auto"/>
        </w:rPr>
      </w:pPr>
      <w:r>
        <w:rPr>
          <w:rFonts w:ascii="Times New Roman" w:cs="Times New Roman" w:eastAsia="Times New Roman" w:hAnsi="Times New Roman"/>
          <w:sz w:val="20"/>
          <w:szCs w:val="20"/>
          <w:color w:val="auto"/>
        </w:rPr>
        <w:t>The Lead Technology and Cyber Risk Director fee was $15,000.</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color w:val="auto"/>
        </w:rPr>
        <w:t>Our Compensation Committee periodically reevaluates Board compensation and final action is taken on such compensation is taken by the full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Grant Practices for Stock Options</w:t>
      </w:r>
    </w:p>
    <w:p>
      <w:pPr>
        <w:spacing w:after="0" w:line="20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0"/>
          <w:szCs w:val="20"/>
          <w:color w:val="auto"/>
        </w:rPr>
        <w:t>We generally grant annual equity awards during the first or second quarter of each fiscal year for compensation earned in the immediately preceding fiscal year, although timing may change from year to year. The Compensation Committee does not take material</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nonpublic information into account when determining the timing and terms of equity-based awards, and we have not timed the disclosure of material nonpublic information for the purpose of affecting the value of executive compensation. During 2025, we did not grant any equity</w:t>
      </w:r>
    </w:p>
    <w:p>
      <w:pPr>
        <w:spacing w:after="0" w:line="1" w:lineRule="exact"/>
        <w:rPr>
          <w:sz w:val="20"/>
          <w:szCs w:val="20"/>
          <w:color w:val="auto"/>
        </w:rPr>
      </w:pPr>
    </w:p>
    <w:p>
      <w:pPr>
        <w:ind w:right="540"/>
        <w:spacing w:after="0" w:line="344" w:lineRule="auto"/>
        <w:rPr>
          <w:sz w:val="20"/>
          <w:szCs w:val="20"/>
          <w:color w:val="auto"/>
        </w:rPr>
      </w:pPr>
      <w:r>
        <w:rPr>
          <w:rFonts w:ascii="Times New Roman" w:cs="Times New Roman" w:eastAsia="Times New Roman" w:hAnsi="Times New Roman"/>
          <w:sz w:val="20"/>
          <w:szCs w:val="20"/>
          <w:color w:val="auto"/>
        </w:rPr>
        <w:t xml:space="preserve">awards to any of our NEOs within four business days prior to or one business day after making any filing on Forms 10-K, 10-Q or 8-K. </w:t>
      </w:r>
      <w:r>
        <w:rPr>
          <w:rFonts w:ascii="Times New Roman" w:cs="Times New Roman" w:eastAsia="Times New Roman" w:hAnsi="Times New Roman"/>
          <w:sz w:val="20"/>
          <w:szCs w:val="20"/>
          <w:b w:val="1"/>
          <w:bCs w:val="1"/>
          <w:color w:val="auto"/>
        </w:rPr>
        <w:t>Item 12 – Security Ownership of Certain Beneficial Owners and Management and Related Stockholder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Compensation Plan Information</w:t>
      </w:r>
    </w:p>
    <w:p>
      <w:pPr>
        <w:spacing w:after="0" w:line="19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The following table sets forth, as of December 31, 2025, a summary of certain information related to our equity incentive plans under which our equity securities are authorized for issuance: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8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Equity compensation plans</w:t>
            </w:r>
          </w:p>
        </w:tc>
        <w:tc>
          <w:tcPr>
            <w:tcW w:w="2800" w:type="dxa"/>
            <w:vAlign w:val="bottom"/>
            <w:tcBorders>
              <w:top w:val="single" w:sz="8" w:color="auto"/>
              <w:right w:val="single" w:sz="8" w:color="auto"/>
            </w:tcBorders>
          </w:tcPr>
          <w:p>
            <w:pPr>
              <w:jc w:val="center"/>
              <w:ind w:right="82"/>
              <w:spacing w:after="0" w:line="190" w:lineRule="exact"/>
              <w:rPr>
                <w:sz w:val="20"/>
                <w:szCs w:val="20"/>
                <w:color w:val="auto"/>
              </w:rPr>
            </w:pPr>
            <w:r>
              <w:rPr>
                <w:rFonts w:ascii="Times New Roman" w:cs="Times New Roman" w:eastAsia="Times New Roman" w:hAnsi="Times New Roman"/>
                <w:sz w:val="20"/>
                <w:szCs w:val="20"/>
                <w:b w:val="1"/>
                <w:bCs w:val="1"/>
                <w:color w:val="auto"/>
                <w:w w:val="98"/>
              </w:rPr>
              <w:t>Number of securities to be</w:t>
            </w:r>
          </w:p>
        </w:tc>
        <w:tc>
          <w:tcPr>
            <w:tcW w:w="2820" w:type="dxa"/>
            <w:vAlign w:val="bottom"/>
            <w:tcBorders>
              <w:top w:val="single" w:sz="8" w:color="auto"/>
              <w:right w:val="single" w:sz="8" w:color="auto"/>
            </w:tcBorders>
          </w:tcPr>
          <w:p>
            <w:pPr>
              <w:spacing w:after="0"/>
              <w:rPr>
                <w:sz w:val="16"/>
                <w:szCs w:val="16"/>
                <w:color w:val="auto"/>
              </w:rPr>
            </w:pPr>
          </w:p>
        </w:tc>
        <w:tc>
          <w:tcPr>
            <w:tcW w:w="2800" w:type="dxa"/>
            <w:vAlign w:val="bottom"/>
            <w:tcBorders>
              <w:top w:val="single" w:sz="8" w:color="auto"/>
              <w:right w:val="single" w:sz="8" w:color="auto"/>
            </w:tcBorders>
          </w:tcPr>
          <w:p>
            <w:pPr>
              <w:jc w:val="center"/>
              <w:ind w:right="42"/>
              <w:spacing w:after="0" w:line="190" w:lineRule="exact"/>
              <w:rPr>
                <w:sz w:val="20"/>
                <w:szCs w:val="20"/>
                <w:color w:val="auto"/>
              </w:rPr>
            </w:pPr>
            <w:r>
              <w:rPr>
                <w:rFonts w:ascii="Times New Roman" w:cs="Times New Roman" w:eastAsia="Times New Roman" w:hAnsi="Times New Roman"/>
                <w:sz w:val="20"/>
                <w:szCs w:val="20"/>
                <w:b w:val="1"/>
                <w:bCs w:val="1"/>
                <w:color w:val="auto"/>
                <w:w w:val="98"/>
              </w:rPr>
              <w:t>Number of securities remaining</w:t>
            </w:r>
          </w:p>
        </w:tc>
        <w:tc>
          <w:tcPr>
            <w:tcW w:w="0" w:type="dxa"/>
            <w:vAlign w:val="bottom"/>
          </w:tcPr>
          <w:p>
            <w:pPr>
              <w:spacing w:after="0"/>
              <w:rPr>
                <w:sz w:val="1"/>
                <w:szCs w:val="1"/>
                <w:color w:val="auto"/>
              </w:rPr>
            </w:pPr>
          </w:p>
        </w:tc>
      </w:tr>
      <w:tr>
        <w:trPr>
          <w:trHeight w:val="148"/>
        </w:trPr>
        <w:tc>
          <w:tcPr>
            <w:tcW w:w="2840" w:type="dxa"/>
            <w:vAlign w:val="bottom"/>
            <w:tcBorders>
              <w:left w:val="single" w:sz="8" w:color="auto"/>
              <w:right w:val="single" w:sz="8" w:color="auto"/>
            </w:tcBorders>
            <w:vMerge w:val="continue"/>
          </w:tcPr>
          <w:p>
            <w:pPr>
              <w:spacing w:after="0"/>
              <w:rPr>
                <w:sz w:val="12"/>
                <w:szCs w:val="12"/>
                <w:color w:val="auto"/>
              </w:rPr>
            </w:pPr>
          </w:p>
        </w:tc>
        <w:tc>
          <w:tcPr>
            <w:tcW w:w="2800" w:type="dxa"/>
            <w:vAlign w:val="bottom"/>
            <w:tcBorders>
              <w:right w:val="single" w:sz="8" w:color="auto"/>
            </w:tcBorders>
            <w:vMerge w:val="restart"/>
          </w:tcPr>
          <w:p>
            <w:pPr>
              <w:jc w:val="center"/>
              <w:ind w:right="62"/>
              <w:spacing w:after="0" w:line="203" w:lineRule="exact"/>
              <w:rPr>
                <w:sz w:val="20"/>
                <w:szCs w:val="20"/>
                <w:color w:val="auto"/>
              </w:rPr>
            </w:pPr>
            <w:r>
              <w:rPr>
                <w:rFonts w:ascii="Times New Roman" w:cs="Times New Roman" w:eastAsia="Times New Roman" w:hAnsi="Times New Roman"/>
                <w:sz w:val="20"/>
                <w:szCs w:val="20"/>
                <w:b w:val="1"/>
                <w:bCs w:val="1"/>
                <w:color w:val="auto"/>
                <w:w w:val="98"/>
              </w:rPr>
              <w:t>issued upon exercise of</w:t>
            </w:r>
          </w:p>
        </w:tc>
        <w:tc>
          <w:tcPr>
            <w:tcW w:w="2820" w:type="dxa"/>
            <w:vAlign w:val="bottom"/>
            <w:tcBorders>
              <w:right w:val="single" w:sz="8" w:color="auto"/>
            </w:tcBorders>
            <w:vMerge w:val="restart"/>
          </w:tcPr>
          <w:p>
            <w:pPr>
              <w:jc w:val="center"/>
              <w:ind w:right="83"/>
              <w:spacing w:after="0" w:line="203" w:lineRule="exact"/>
              <w:rPr>
                <w:sz w:val="20"/>
                <w:szCs w:val="20"/>
                <w:color w:val="auto"/>
              </w:rPr>
            </w:pPr>
            <w:r>
              <w:rPr>
                <w:rFonts w:ascii="Times New Roman" w:cs="Times New Roman" w:eastAsia="Times New Roman" w:hAnsi="Times New Roman"/>
                <w:sz w:val="20"/>
                <w:szCs w:val="20"/>
                <w:b w:val="1"/>
                <w:bCs w:val="1"/>
                <w:color w:val="auto"/>
                <w:w w:val="98"/>
              </w:rPr>
              <w:t>Weighted average exercise</w:t>
            </w:r>
          </w:p>
        </w:tc>
        <w:tc>
          <w:tcPr>
            <w:tcW w:w="2800" w:type="dxa"/>
            <w:vAlign w:val="bottom"/>
            <w:tcBorders>
              <w:right w:val="single" w:sz="8" w:color="auto"/>
            </w:tcBorders>
            <w:vMerge w:val="restart"/>
          </w:tcPr>
          <w:p>
            <w:pPr>
              <w:jc w:val="center"/>
              <w:ind w:right="82"/>
              <w:spacing w:after="0" w:line="203" w:lineRule="exact"/>
              <w:rPr>
                <w:sz w:val="20"/>
                <w:szCs w:val="20"/>
                <w:color w:val="auto"/>
              </w:rPr>
            </w:pPr>
            <w:r>
              <w:rPr>
                <w:rFonts w:ascii="Times New Roman" w:cs="Times New Roman" w:eastAsia="Times New Roman" w:hAnsi="Times New Roman"/>
                <w:sz w:val="20"/>
                <w:szCs w:val="20"/>
                <w:b w:val="1"/>
                <w:bCs w:val="1"/>
                <w:color w:val="auto"/>
                <w:w w:val="98"/>
              </w:rPr>
              <w:t>available for future issuance</w:t>
            </w:r>
          </w:p>
        </w:tc>
        <w:tc>
          <w:tcPr>
            <w:tcW w:w="0" w:type="dxa"/>
            <w:vAlign w:val="bottom"/>
          </w:tcPr>
          <w:p>
            <w:pPr>
              <w:spacing w:after="0"/>
              <w:rPr>
                <w:sz w:val="1"/>
                <w:szCs w:val="1"/>
                <w:color w:val="auto"/>
              </w:rPr>
            </w:pPr>
          </w:p>
        </w:tc>
      </w:tr>
      <w:tr>
        <w:trPr>
          <w:trHeight w:val="54"/>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approved by security</w:t>
            </w:r>
          </w:p>
        </w:tc>
        <w:tc>
          <w:tcPr>
            <w:tcW w:w="2800" w:type="dxa"/>
            <w:vAlign w:val="bottom"/>
            <w:tcBorders>
              <w:right w:val="single" w:sz="8" w:color="auto"/>
            </w:tcBorders>
            <w:vMerge w:val="continue"/>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28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vMerge w:val="continue"/>
          </w:tcPr>
          <w:p>
            <w:pPr>
              <w:spacing w:after="0"/>
              <w:rPr>
                <w:sz w:val="18"/>
                <w:szCs w:val="18"/>
                <w:color w:val="auto"/>
              </w:rPr>
            </w:pPr>
          </w:p>
        </w:tc>
        <w:tc>
          <w:tcPr>
            <w:tcW w:w="2800" w:type="dxa"/>
            <w:vAlign w:val="bottom"/>
            <w:tcBorders>
              <w:right w:val="single" w:sz="8" w:color="auto"/>
            </w:tcBorders>
          </w:tcPr>
          <w:p>
            <w:pPr>
              <w:jc w:val="center"/>
              <w:ind w:right="82"/>
              <w:spacing w:after="0" w:line="216" w:lineRule="exact"/>
              <w:rPr>
                <w:sz w:val="20"/>
                <w:szCs w:val="20"/>
                <w:color w:val="auto"/>
              </w:rPr>
            </w:pPr>
            <w:r>
              <w:rPr>
                <w:rFonts w:ascii="Times New Roman" w:cs="Times New Roman" w:eastAsia="Times New Roman" w:hAnsi="Times New Roman"/>
                <w:sz w:val="20"/>
                <w:szCs w:val="20"/>
                <w:b w:val="1"/>
                <w:bCs w:val="1"/>
                <w:color w:val="auto"/>
                <w:w w:val="99"/>
              </w:rPr>
              <w:t>outstanding options, warrants</w:t>
            </w:r>
          </w:p>
        </w:tc>
        <w:tc>
          <w:tcPr>
            <w:tcW w:w="2820" w:type="dxa"/>
            <w:vAlign w:val="bottom"/>
            <w:tcBorders>
              <w:right w:val="single" w:sz="8" w:color="auto"/>
            </w:tcBorders>
          </w:tcPr>
          <w:p>
            <w:pPr>
              <w:jc w:val="center"/>
              <w:ind w:right="83"/>
              <w:spacing w:after="0" w:line="216" w:lineRule="exact"/>
              <w:rPr>
                <w:sz w:val="20"/>
                <w:szCs w:val="20"/>
                <w:color w:val="auto"/>
              </w:rPr>
            </w:pPr>
            <w:r>
              <w:rPr>
                <w:rFonts w:ascii="Times New Roman" w:cs="Times New Roman" w:eastAsia="Times New Roman" w:hAnsi="Times New Roman"/>
                <w:sz w:val="20"/>
                <w:szCs w:val="20"/>
                <w:b w:val="1"/>
                <w:bCs w:val="1"/>
                <w:color w:val="auto"/>
                <w:w w:val="98"/>
              </w:rPr>
              <w:t>price of outstanding options,</w:t>
            </w:r>
          </w:p>
        </w:tc>
        <w:tc>
          <w:tcPr>
            <w:tcW w:w="2800" w:type="dxa"/>
            <w:vAlign w:val="bottom"/>
            <w:tcBorders>
              <w:right w:val="single" w:sz="8" w:color="auto"/>
            </w:tcBorders>
          </w:tcPr>
          <w:p>
            <w:pPr>
              <w:jc w:val="center"/>
              <w:ind w:right="82"/>
              <w:spacing w:after="0" w:line="216" w:lineRule="exact"/>
              <w:rPr>
                <w:sz w:val="20"/>
                <w:szCs w:val="20"/>
                <w:color w:val="auto"/>
              </w:rPr>
            </w:pPr>
            <w:r>
              <w:rPr>
                <w:rFonts w:ascii="Times New Roman" w:cs="Times New Roman" w:eastAsia="Times New Roman" w:hAnsi="Times New Roman"/>
                <w:sz w:val="20"/>
                <w:szCs w:val="20"/>
                <w:b w:val="1"/>
                <w:bCs w:val="1"/>
                <w:color w:val="auto"/>
                <w:w w:val="99"/>
              </w:rPr>
              <w:t>under equity compensation</w:t>
            </w:r>
          </w:p>
        </w:tc>
        <w:tc>
          <w:tcPr>
            <w:tcW w:w="0" w:type="dxa"/>
            <w:vAlign w:val="bottom"/>
          </w:tcPr>
          <w:p>
            <w:pPr>
              <w:spacing w:after="0"/>
              <w:rPr>
                <w:sz w:val="1"/>
                <w:szCs w:val="1"/>
                <w:color w:val="auto"/>
              </w:rPr>
            </w:pPr>
          </w:p>
        </w:tc>
      </w:tr>
      <w:tr>
        <w:trPr>
          <w:trHeight w:val="256"/>
        </w:trPr>
        <w:tc>
          <w:tcPr>
            <w:tcW w:w="2840" w:type="dxa"/>
            <w:vAlign w:val="bottom"/>
            <w:tcBorders>
              <w:left w:val="single" w:sz="8" w:color="auto"/>
              <w:bottom w:val="single" w:sz="8" w:color="auto"/>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29"/>
                <w:szCs w:val="29"/>
                <w:b w:val="1"/>
                <w:bCs w:val="1"/>
                <w:color w:val="auto"/>
                <w:vertAlign w:val="superscript"/>
              </w:rPr>
              <w:t>(1)</w:t>
            </w:r>
          </w:p>
        </w:tc>
        <w:tc>
          <w:tcPr>
            <w:tcW w:w="280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8"/>
              </w:rPr>
              <w:t>and rights</w:t>
            </w:r>
          </w:p>
        </w:tc>
        <w:tc>
          <w:tcPr>
            <w:tcW w:w="282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20"/>
                <w:szCs w:val="20"/>
                <w:b w:val="1"/>
                <w:bCs w:val="1"/>
                <w:color w:val="auto"/>
                <w:w w:val="98"/>
              </w:rPr>
              <w:t>warrants and rights ($)</w:t>
            </w:r>
          </w:p>
        </w:tc>
        <w:tc>
          <w:tcPr>
            <w:tcW w:w="280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rPr>
              <w:t>plans</w:t>
            </w:r>
          </w:p>
        </w:tc>
        <w:tc>
          <w:tcPr>
            <w:tcW w:w="0" w:type="dxa"/>
            <w:vAlign w:val="bottom"/>
          </w:tcPr>
          <w:p>
            <w:pPr>
              <w:spacing w:after="0"/>
              <w:rPr>
                <w:sz w:val="1"/>
                <w:szCs w:val="1"/>
                <w:color w:val="auto"/>
              </w:rPr>
            </w:pPr>
          </w:p>
        </w:tc>
      </w:tr>
      <w:tr>
        <w:trPr>
          <w:trHeight w:val="277"/>
        </w:trPr>
        <w:tc>
          <w:tcPr>
            <w:tcW w:w="2840" w:type="dxa"/>
            <w:vAlign w:val="bottom"/>
            <w:tcBorders>
              <w:left w:val="single" w:sz="8" w:color="auto"/>
              <w:bottom w:val="single" w:sz="8" w:color="auto"/>
              <w:right w:val="single" w:sz="8" w:color="auto"/>
            </w:tcBorders>
            <w:shd w:val="clear" w:color="auto" w:fill="CEEEFA"/>
          </w:tcPr>
          <w:p>
            <w:pPr>
              <w:ind w:left="120"/>
              <w:spacing w:after="0"/>
              <w:rPr>
                <w:sz w:val="20"/>
                <w:szCs w:val="20"/>
                <w:color w:val="auto"/>
              </w:rPr>
            </w:pPr>
            <w:r>
              <w:rPr>
                <w:rFonts w:ascii="Times New Roman" w:cs="Times New Roman" w:eastAsia="Times New Roman" w:hAnsi="Times New Roman"/>
                <w:sz w:val="20"/>
                <w:szCs w:val="20"/>
                <w:color w:val="auto"/>
              </w:rPr>
              <w:t>Stock Options</w:t>
            </w:r>
          </w:p>
        </w:tc>
        <w:tc>
          <w:tcPr>
            <w:tcW w:w="2800" w:type="dxa"/>
            <w:vAlign w:val="bottom"/>
            <w:tcBorders>
              <w:bottom w:val="single" w:sz="8" w:color="auto"/>
              <w:right w:val="single" w:sz="8" w:color="auto"/>
            </w:tcBorders>
            <w:shd w:val="clear" w:color="auto" w:fill="CEEEFA"/>
          </w:tcPr>
          <w:p>
            <w:pPr>
              <w:jc w:val="center"/>
              <w:ind w:right="22"/>
              <w:spacing w:after="0" w:line="276" w:lineRule="exact"/>
              <w:rPr>
                <w:sz w:val="20"/>
                <w:szCs w:val="20"/>
                <w:color w:val="auto"/>
              </w:rPr>
            </w:pPr>
            <w:r>
              <w:rPr>
                <w:rFonts w:ascii="Times New Roman" w:cs="Times New Roman" w:eastAsia="Times New Roman" w:hAnsi="Times New Roman"/>
                <w:sz w:val="20"/>
                <w:szCs w:val="20"/>
                <w:color w:val="auto"/>
                <w:w w:val="95"/>
              </w:rPr>
              <w:t>1,915,069</w:t>
            </w:r>
            <w:r>
              <w:rPr>
                <w:rFonts w:ascii="Times New Roman" w:cs="Times New Roman" w:eastAsia="Times New Roman" w:hAnsi="Times New Roman"/>
                <w:sz w:val="32"/>
                <w:szCs w:val="32"/>
                <w:color w:val="auto"/>
                <w:w w:val="95"/>
                <w:vertAlign w:val="superscript"/>
              </w:rPr>
              <w:t>(2)</w:t>
            </w:r>
          </w:p>
        </w:tc>
        <w:tc>
          <w:tcPr>
            <w:tcW w:w="2820" w:type="dxa"/>
            <w:vAlign w:val="bottom"/>
            <w:tcBorders>
              <w:bottom w:val="single" w:sz="8" w:color="auto"/>
              <w:right w:val="single" w:sz="8" w:color="auto"/>
            </w:tcBorders>
            <w:shd w:val="clear" w:color="auto" w:fill="CEEEFA"/>
          </w:tcPr>
          <w:p>
            <w:pPr>
              <w:jc w:val="center"/>
              <w:ind w:right="23"/>
              <w:spacing w:after="0"/>
              <w:rPr>
                <w:sz w:val="20"/>
                <w:szCs w:val="20"/>
                <w:color w:val="auto"/>
              </w:rPr>
            </w:pPr>
            <w:r>
              <w:rPr>
                <w:rFonts w:ascii="Times New Roman" w:cs="Times New Roman" w:eastAsia="Times New Roman" w:hAnsi="Times New Roman"/>
                <w:sz w:val="20"/>
                <w:szCs w:val="20"/>
                <w:color w:val="auto"/>
                <w:w w:val="97"/>
              </w:rPr>
              <w:t>1.64</w:t>
            </w:r>
          </w:p>
        </w:tc>
        <w:tc>
          <w:tcPr>
            <w:tcW w:w="2800" w:type="dxa"/>
            <w:vAlign w:val="bottom"/>
            <w:tcBorders>
              <w:bottom w:val="single" w:sz="8" w:color="auto"/>
              <w:right w:val="single" w:sz="8" w:color="auto"/>
            </w:tcBorders>
            <w:shd w:val="clear" w:color="auto" w:fill="CEEEFA"/>
          </w:tcPr>
          <w:p>
            <w:pPr>
              <w:jc w:val="center"/>
              <w:ind w:right="4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7"/>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Restricted Stock Units</w:t>
            </w:r>
          </w:p>
        </w:tc>
        <w:tc>
          <w:tcPr>
            <w:tcW w:w="280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color w:val="auto"/>
                <w:w w:val="99"/>
              </w:rPr>
              <w:t>-</w:t>
            </w:r>
          </w:p>
        </w:tc>
        <w:tc>
          <w:tcPr>
            <w:tcW w:w="2820" w:type="dxa"/>
            <w:vAlign w:val="bottom"/>
            <w:tcBorders>
              <w:bottom w:val="single" w:sz="8" w:color="auto"/>
              <w:right w:val="single" w:sz="8" w:color="auto"/>
            </w:tcBorders>
          </w:tcPr>
          <w:p>
            <w:pPr>
              <w:jc w:val="center"/>
              <w:ind w:right="23"/>
              <w:spacing w:after="0"/>
              <w:rPr>
                <w:sz w:val="20"/>
                <w:szCs w:val="20"/>
                <w:color w:val="auto"/>
              </w:rPr>
            </w:pPr>
            <w:r>
              <w:rPr>
                <w:rFonts w:ascii="Times New Roman" w:cs="Times New Roman" w:eastAsia="Times New Roman" w:hAnsi="Times New Roman"/>
                <w:sz w:val="18"/>
                <w:szCs w:val="18"/>
                <w:color w:val="auto"/>
                <w:w w:val="99"/>
              </w:rPr>
              <w:t>-</w:t>
            </w:r>
          </w:p>
        </w:tc>
        <w:tc>
          <w:tcPr>
            <w:tcW w:w="2800" w:type="dxa"/>
            <w:vAlign w:val="bottom"/>
            <w:tcBorders>
              <w:bottom w:val="single" w:sz="8" w:color="auto"/>
              <w:right w:val="single" w:sz="8" w:color="auto"/>
            </w:tcBorders>
          </w:tcPr>
          <w:p>
            <w:pPr>
              <w:jc w:val="center"/>
              <w:ind w:right="22"/>
              <w:spacing w:after="0" w:line="276" w:lineRule="exact"/>
              <w:rPr>
                <w:sz w:val="20"/>
                <w:szCs w:val="20"/>
                <w:color w:val="auto"/>
              </w:rPr>
            </w:pPr>
            <w:r>
              <w:rPr>
                <w:rFonts w:ascii="Times New Roman" w:cs="Times New Roman" w:eastAsia="Times New Roman" w:hAnsi="Times New Roman"/>
                <w:sz w:val="20"/>
                <w:szCs w:val="20"/>
                <w:color w:val="auto"/>
                <w:w w:val="93"/>
              </w:rPr>
              <w:t>870,833</w:t>
            </w:r>
            <w:r>
              <w:rPr>
                <w:rFonts w:ascii="Times New Roman" w:cs="Times New Roman" w:eastAsia="Times New Roman" w:hAnsi="Times New Roman"/>
                <w:sz w:val="32"/>
                <w:szCs w:val="32"/>
                <w:color w:val="auto"/>
                <w:w w:val="93"/>
                <w:vertAlign w:val="superscript"/>
              </w:rPr>
              <w:t>(3)</w:t>
            </w:r>
          </w:p>
        </w:tc>
        <w:tc>
          <w:tcPr>
            <w:tcW w:w="0" w:type="dxa"/>
            <w:vAlign w:val="bottom"/>
          </w:tcPr>
          <w:p>
            <w:pPr>
              <w:spacing w:after="0"/>
              <w:rPr>
                <w:sz w:val="1"/>
                <w:szCs w:val="1"/>
                <w:color w:val="auto"/>
              </w:rPr>
            </w:pPr>
          </w:p>
        </w:tc>
      </w:tr>
      <w:tr>
        <w:trPr>
          <w:trHeight w:val="210"/>
        </w:trPr>
        <w:tc>
          <w:tcPr>
            <w:tcW w:w="2840" w:type="dxa"/>
            <w:vAlign w:val="bottom"/>
            <w:tcBorders>
              <w:left w:val="single" w:sz="8" w:color="auto"/>
              <w:bottom w:val="single" w:sz="8" w:color="auto"/>
              <w:right w:val="single" w:sz="8" w:color="auto"/>
            </w:tcBorders>
            <w:shd w:val="clear" w:color="auto" w:fill="CEEEFA"/>
          </w:tcPr>
          <w:p>
            <w:pPr>
              <w:ind w:left="120"/>
              <w:spacing w:after="0" w:line="209" w:lineRule="exact"/>
              <w:rPr>
                <w:sz w:val="20"/>
                <w:szCs w:val="20"/>
                <w:color w:val="auto"/>
              </w:rPr>
            </w:pPr>
            <w:r>
              <w:rPr>
                <w:rFonts w:ascii="Times New Roman" w:cs="Times New Roman" w:eastAsia="Times New Roman" w:hAnsi="Times New Roman"/>
                <w:sz w:val="20"/>
                <w:szCs w:val="20"/>
                <w:color w:val="auto"/>
              </w:rPr>
              <w:t>Total</w:t>
            </w:r>
          </w:p>
        </w:tc>
        <w:tc>
          <w:tcPr>
            <w:tcW w:w="2800" w:type="dxa"/>
            <w:vAlign w:val="bottom"/>
            <w:tcBorders>
              <w:bottom w:val="single" w:sz="8" w:color="auto"/>
              <w:right w:val="single" w:sz="8" w:color="auto"/>
            </w:tcBorders>
            <w:shd w:val="clear" w:color="auto" w:fill="CEEEFA"/>
          </w:tcPr>
          <w:p>
            <w:pPr>
              <w:jc w:val="center"/>
              <w:ind w:right="22"/>
              <w:spacing w:after="0" w:line="209" w:lineRule="exact"/>
              <w:rPr>
                <w:sz w:val="20"/>
                <w:szCs w:val="20"/>
                <w:color w:val="auto"/>
              </w:rPr>
            </w:pPr>
            <w:r>
              <w:rPr>
                <w:rFonts w:ascii="Times New Roman" w:cs="Times New Roman" w:eastAsia="Times New Roman" w:hAnsi="Times New Roman"/>
                <w:sz w:val="20"/>
                <w:szCs w:val="20"/>
                <w:color w:val="auto"/>
                <w:w w:val="99"/>
              </w:rPr>
              <w:t>1,915,069</w:t>
            </w:r>
          </w:p>
        </w:tc>
        <w:tc>
          <w:tcPr>
            <w:tcW w:w="2820" w:type="dxa"/>
            <w:vAlign w:val="bottom"/>
            <w:tcBorders>
              <w:bottom w:val="single" w:sz="8" w:color="auto"/>
              <w:right w:val="single" w:sz="8" w:color="auto"/>
            </w:tcBorders>
            <w:shd w:val="clear" w:color="auto" w:fill="CEEEFA"/>
          </w:tcPr>
          <w:p>
            <w:pPr>
              <w:jc w:val="center"/>
              <w:ind w:right="23"/>
              <w:spacing w:after="0" w:line="209" w:lineRule="exact"/>
              <w:rPr>
                <w:sz w:val="20"/>
                <w:szCs w:val="20"/>
                <w:color w:val="auto"/>
              </w:rPr>
            </w:pPr>
            <w:r>
              <w:rPr>
                <w:rFonts w:ascii="Times New Roman" w:cs="Times New Roman" w:eastAsia="Times New Roman" w:hAnsi="Times New Roman"/>
                <w:sz w:val="20"/>
                <w:szCs w:val="20"/>
                <w:color w:val="auto"/>
                <w:w w:val="97"/>
              </w:rPr>
              <w:t>1.64</w:t>
            </w:r>
          </w:p>
        </w:tc>
        <w:tc>
          <w:tcPr>
            <w:tcW w:w="2800" w:type="dxa"/>
            <w:vAlign w:val="bottom"/>
            <w:tcBorders>
              <w:bottom w:val="single" w:sz="8" w:color="auto"/>
              <w:right w:val="single" w:sz="8" w:color="auto"/>
            </w:tcBorders>
            <w:shd w:val="clear" w:color="auto" w:fill="CEEEFA"/>
          </w:tcPr>
          <w:p>
            <w:pPr>
              <w:jc w:val="center"/>
              <w:ind w:right="22"/>
              <w:spacing w:after="0" w:line="209" w:lineRule="exact"/>
              <w:rPr>
                <w:sz w:val="20"/>
                <w:szCs w:val="20"/>
                <w:color w:val="auto"/>
              </w:rPr>
            </w:pPr>
            <w:r>
              <w:rPr>
                <w:rFonts w:ascii="Times New Roman" w:cs="Times New Roman" w:eastAsia="Times New Roman" w:hAnsi="Times New Roman"/>
                <w:sz w:val="20"/>
                <w:szCs w:val="20"/>
                <w:color w:val="auto"/>
                <w:w w:val="98"/>
              </w:rPr>
              <w:t>870,833</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2020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7" w:name="page18"/>
    <w:bookmarkEnd w:id="17"/>
    <w:p>
      <w:pPr>
        <w:ind w:left="644" w:hanging="644"/>
        <w:spacing w:after="0"/>
        <w:tabs>
          <w:tab w:leader="none" w:pos="64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outstanding stock option awards only.</w:t>
      </w:r>
    </w:p>
    <w:p>
      <w:pPr>
        <w:spacing w:after="0" w:line="167" w:lineRule="exact"/>
        <w:rPr>
          <w:rFonts w:ascii="Times New Roman" w:cs="Times New Roman" w:eastAsia="Times New Roman" w:hAnsi="Times New Roman"/>
          <w:sz w:val="16"/>
          <w:szCs w:val="16"/>
          <w:color w:val="auto"/>
        </w:rPr>
      </w:pPr>
    </w:p>
    <w:p>
      <w:pPr>
        <w:ind w:left="644" w:hanging="644"/>
        <w:spacing w:after="0" w:line="263" w:lineRule="auto"/>
        <w:tabs>
          <w:tab w:leader="none" w:pos="64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2020 Stock Plan permits the award of incentive stock options, nonstatutory stock options, stock bonuses, rights to acquire restricted stock, stock appreciation rights (“SARs”), RSUs and PRSUs. This number represents the total number of shares available for all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571500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44"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BENEFICIAL OWNERSHIP OF SECURITIES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Except as described below, the following table sets forth the beneficial ownership information with respect to certain of our shares 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27, 2026, by: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Class A Non-Voting Common Stock and Class B Voting Common Stock of each of our Directors;</w:t>
      </w:r>
    </w:p>
    <w:p>
      <w:pPr>
        <w:spacing w:after="0" w:line="22" w:lineRule="exact"/>
        <w:rPr>
          <w:sz w:val="20"/>
          <w:szCs w:val="20"/>
          <w:color w:val="auto"/>
        </w:rPr>
      </w:pPr>
    </w:p>
    <w:p>
      <w:pPr>
        <w:ind w:left="980" w:right="20"/>
        <w:spacing w:after="0" w:line="225" w:lineRule="auto"/>
        <w:rPr>
          <w:sz w:val="20"/>
          <w:szCs w:val="20"/>
          <w:color w:val="auto"/>
        </w:rPr>
      </w:pPr>
      <w:r>
        <w:rPr>
          <w:rFonts w:ascii="Times New Roman" w:cs="Times New Roman" w:eastAsia="Times New Roman" w:hAnsi="Times New Roman"/>
          <w:sz w:val="20"/>
          <w:szCs w:val="20"/>
          <w:color w:val="auto"/>
        </w:rPr>
        <w:t>Class A Non-Voting Common Stock and Class B Voting Common Stock of each of our current NEOs set forth in the Summary Compensation Table of this Form 10-K/A;</w:t>
      </w:r>
    </w:p>
    <w:p>
      <w:pPr>
        <w:ind w:left="660"/>
        <w:spacing w:after="0"/>
        <w:rPr>
          <w:sz w:val="20"/>
          <w:szCs w:val="20"/>
          <w:color w:val="auto"/>
        </w:rPr>
      </w:pPr>
      <w:r>
        <w:rPr>
          <w:rFonts w:ascii="Times New Roman" w:cs="Times New Roman" w:eastAsia="Times New Roman" w:hAnsi="Times New Roman"/>
          <w:sz w:val="20"/>
          <w:szCs w:val="20"/>
          <w:color w:val="auto"/>
        </w:rPr>
        <w:t>Each person known to us to be the beneficial owner of more than 5% of our Class B Voting Common Stock; and</w:t>
      </w:r>
    </w:p>
    <w:p>
      <w:pPr>
        <w:ind w:left="660"/>
        <w:spacing w:after="0"/>
        <w:rPr>
          <w:sz w:val="20"/>
          <w:szCs w:val="20"/>
          <w:color w:val="auto"/>
        </w:rPr>
      </w:pPr>
      <w:r>
        <w:rPr>
          <w:rFonts w:ascii="Times New Roman" w:cs="Times New Roman" w:eastAsia="Times New Roman" w:hAnsi="Times New Roman"/>
          <w:sz w:val="20"/>
          <w:szCs w:val="20"/>
          <w:color w:val="auto"/>
        </w:rPr>
        <w:t>Class A Non-Voting Common Stock and Class B Voting Common Stock of all of our Directors and executive officers as a group.</w:t>
      </w:r>
    </w:p>
    <w:p>
      <w:pPr>
        <w:spacing w:after="0" w:line="180"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Except as noted, and except pursuant to applicable community property laws, we believe that each beneficial owner has sole voting power and sole investment power with respect to the shares shown. An asterisk (*) denotes beneficial ownership of less than 1%. The address for all listed parties is 189 Second Avenue, Suite 2S, New York, New York 10003, unless otherwise noted below.</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20" w:type="dxa"/>
            <w:vAlign w:val="bottom"/>
            <w:tcBorders>
              <w:top w:val="single" w:sz="8" w:color="auto"/>
              <w:left w:val="single" w:sz="8" w:color="auto"/>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4320" w:type="dxa"/>
            <w:vAlign w:val="bottom"/>
            <w:tcBorders>
              <w:top w:val="single" w:sz="8" w:color="auto"/>
              <w:bottom w:val="single" w:sz="8" w:color="auto"/>
            </w:tcBorders>
            <w:gridSpan w:val="3"/>
          </w:tcPr>
          <w:p>
            <w:pPr>
              <w:ind w:left="280"/>
              <w:spacing w:after="0" w:line="296" w:lineRule="exact"/>
              <w:rPr>
                <w:sz w:val="20"/>
                <w:szCs w:val="20"/>
                <w:color w:val="auto"/>
              </w:rPr>
            </w:pPr>
            <w:r>
              <w:rPr>
                <w:rFonts w:ascii="Times New Roman" w:cs="Times New Roman" w:eastAsia="Times New Roman" w:hAnsi="Times New Roman"/>
                <w:sz w:val="20"/>
                <w:szCs w:val="20"/>
                <w:b w:val="1"/>
                <w:bCs w:val="1"/>
                <w:color w:val="auto"/>
                <w:w w:val="97"/>
              </w:rPr>
              <w:t xml:space="preserve">Amount and Nature of Beneficial Ownership </w:t>
            </w:r>
            <w:r>
              <w:rPr>
                <w:rFonts w:ascii="Times New Roman" w:cs="Times New Roman" w:eastAsia="Times New Roman" w:hAnsi="Times New Roman"/>
                <w:sz w:val="32"/>
                <w:szCs w:val="32"/>
                <w:b w:val="1"/>
                <w:bCs w:val="1"/>
                <w:color w:val="auto"/>
                <w:w w:val="97"/>
                <w:vertAlign w:val="superscript"/>
              </w:rPr>
              <w:t>(1)</w:t>
            </w:r>
          </w:p>
        </w:tc>
        <w:tc>
          <w:tcPr>
            <w:tcW w:w="174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gridSpan w:val="2"/>
          </w:tcPr>
          <w:p>
            <w:pPr>
              <w:ind w:left="560"/>
              <w:spacing w:after="0" w:line="209" w:lineRule="exact"/>
              <w:rPr>
                <w:sz w:val="20"/>
                <w:szCs w:val="20"/>
                <w:color w:val="auto"/>
              </w:rPr>
            </w:pPr>
            <w:r>
              <w:rPr>
                <w:rFonts w:ascii="Times New Roman" w:cs="Times New Roman" w:eastAsia="Times New Roman" w:hAnsi="Times New Roman"/>
                <w:sz w:val="20"/>
                <w:szCs w:val="20"/>
                <w:b w:val="1"/>
                <w:bCs w:val="1"/>
                <w:color w:val="auto"/>
              </w:rPr>
              <w:t>Class A Non-Voting Common Stock</w:t>
            </w:r>
          </w:p>
        </w:tc>
        <w:tc>
          <w:tcPr>
            <w:tcW w:w="6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gridSpan w:val="2"/>
          </w:tcPr>
          <w:p>
            <w:pPr>
              <w:ind w:left="420"/>
              <w:spacing w:after="0" w:line="209" w:lineRule="exact"/>
              <w:rPr>
                <w:sz w:val="20"/>
                <w:szCs w:val="20"/>
                <w:color w:val="auto"/>
              </w:rPr>
            </w:pPr>
            <w:r>
              <w:rPr>
                <w:rFonts w:ascii="Times New Roman" w:cs="Times New Roman" w:eastAsia="Times New Roman" w:hAnsi="Times New Roman"/>
                <w:sz w:val="20"/>
                <w:szCs w:val="20"/>
                <w:b w:val="1"/>
                <w:bCs w:val="1"/>
                <w:color w:val="auto"/>
              </w:rPr>
              <w:t>Class B Voting Common Stock</w:t>
            </w: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3"/>
          </w:tcPr>
          <w:p>
            <w:pPr>
              <w:ind w:left="180"/>
              <w:spacing w:after="0" w:line="169" w:lineRule="exact"/>
              <w:rPr>
                <w:sz w:val="20"/>
                <w:szCs w:val="20"/>
                <w:color w:val="auto"/>
              </w:rPr>
            </w:pPr>
            <w:r>
              <w:rPr>
                <w:rFonts w:ascii="Times New Roman" w:cs="Times New Roman" w:eastAsia="Times New Roman" w:hAnsi="Times New Roman"/>
                <w:sz w:val="19"/>
                <w:szCs w:val="19"/>
                <w:b w:val="1"/>
                <w:bCs w:val="1"/>
                <w:color w:val="auto"/>
              </w:rPr>
              <w:t>Name and Address of Beneficial</w:t>
            </w:r>
          </w:p>
        </w:tc>
        <w:tc>
          <w:tcPr>
            <w:tcW w:w="242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20" w:type="dxa"/>
            <w:vAlign w:val="bottom"/>
            <w:tcBorders>
              <w:left w:val="single" w:sz="8" w:color="auto"/>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gridSpan w:val="3"/>
          </w:tcPr>
          <w:p>
            <w:pPr>
              <w:ind w:left="126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24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Number of Shares</w:t>
            </w:r>
          </w:p>
        </w:tc>
        <w:tc>
          <w:tcPr>
            <w:tcW w:w="1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Percentage of Stock</w:t>
            </w:r>
          </w:p>
        </w:tc>
        <w:tc>
          <w:tcPr>
            <w:tcW w:w="6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 of Shares</w:t>
            </w:r>
          </w:p>
        </w:tc>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Percentage of Stock</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CEEEFA"/>
          </w:tcPr>
          <w:p>
            <w:pPr>
              <w:spacing w:after="0"/>
              <w:rPr>
                <w:sz w:val="18"/>
                <w:szCs w:val="18"/>
                <w:color w:val="auto"/>
              </w:rPr>
            </w:pPr>
          </w:p>
        </w:tc>
        <w:tc>
          <w:tcPr>
            <w:tcW w:w="3220" w:type="dxa"/>
            <w:vAlign w:val="bottom"/>
            <w:tcBorders>
              <w:bottom w:val="single" w:sz="8" w:color="auto"/>
              <w:right w:val="single" w:sz="8" w:color="auto"/>
            </w:tcBorders>
            <w:gridSpan w:val="3"/>
            <w:shd w:val="clear" w:color="auto" w:fill="CEEEFA"/>
          </w:tcPr>
          <w:p>
            <w:pPr>
              <w:spacing w:after="0" w:line="169" w:lineRule="exact"/>
              <w:rPr>
                <w:sz w:val="20"/>
                <w:szCs w:val="20"/>
                <w:color w:val="auto"/>
              </w:rPr>
            </w:pPr>
            <w:r>
              <w:rPr>
                <w:rFonts w:ascii="Times New Roman" w:cs="Times New Roman" w:eastAsia="Times New Roman" w:hAnsi="Times New Roman"/>
                <w:sz w:val="19"/>
                <w:szCs w:val="19"/>
                <w:b w:val="1"/>
                <w:bCs w:val="1"/>
                <w:color w:val="auto"/>
              </w:rPr>
              <w:t>Directors and NEOs:</w:t>
            </w:r>
          </w:p>
        </w:tc>
        <w:tc>
          <w:tcPr>
            <w:tcW w:w="2420" w:type="dxa"/>
            <w:vAlign w:val="bottom"/>
            <w:tcBorders>
              <w:bottom w:val="single" w:sz="8" w:color="auto"/>
              <w:right w:val="single" w:sz="8" w:color="auto"/>
            </w:tcBorders>
            <w:shd w:val="clear" w:color="auto" w:fill="CEEEFA"/>
          </w:tcPr>
          <w:p>
            <w:pPr>
              <w:spacing w:after="0"/>
              <w:rPr>
                <w:sz w:val="18"/>
                <w:szCs w:val="18"/>
                <w:color w:val="auto"/>
              </w:rPr>
            </w:pPr>
          </w:p>
        </w:tc>
        <w:tc>
          <w:tcPr>
            <w:tcW w:w="1840" w:type="dxa"/>
            <w:vAlign w:val="bottom"/>
            <w:tcBorders>
              <w:bottom w:val="single" w:sz="8" w:color="auto"/>
              <w:right w:val="single" w:sz="8" w:color="auto"/>
            </w:tcBorders>
            <w:shd w:val="clear" w:color="auto" w:fill="CEEEFA"/>
          </w:tcPr>
          <w:p>
            <w:pPr>
              <w:spacing w:after="0"/>
              <w:rPr>
                <w:sz w:val="18"/>
                <w:szCs w:val="18"/>
                <w:color w:val="auto"/>
              </w:rPr>
            </w:pPr>
          </w:p>
        </w:tc>
        <w:tc>
          <w:tcPr>
            <w:tcW w:w="60" w:type="dxa"/>
            <w:vAlign w:val="bottom"/>
            <w:tcBorders>
              <w:bottom w:val="single" w:sz="8" w:color="auto"/>
            </w:tcBorders>
            <w:shd w:val="clear" w:color="auto" w:fill="CEEEFA"/>
          </w:tcPr>
          <w:p>
            <w:pPr>
              <w:spacing w:after="0"/>
              <w:rPr>
                <w:sz w:val="18"/>
                <w:szCs w:val="18"/>
                <w:color w:val="auto"/>
              </w:rPr>
            </w:pPr>
          </w:p>
        </w:tc>
        <w:tc>
          <w:tcPr>
            <w:tcW w:w="1740" w:type="dxa"/>
            <w:vAlign w:val="bottom"/>
            <w:tcBorders>
              <w:bottom w:val="single" w:sz="8" w:color="auto"/>
              <w:right w:val="single" w:sz="8" w:color="auto"/>
            </w:tcBorders>
            <w:shd w:val="clear" w:color="auto" w:fill="CEEEFA"/>
          </w:tcPr>
          <w:p>
            <w:pPr>
              <w:spacing w:after="0"/>
              <w:rPr>
                <w:sz w:val="18"/>
                <w:szCs w:val="18"/>
                <w:color w:val="auto"/>
              </w:rPr>
            </w:pPr>
          </w:p>
        </w:tc>
        <w:tc>
          <w:tcPr>
            <w:tcW w:w="1860" w:type="dxa"/>
            <w:vAlign w:val="bottom"/>
            <w:tcBorders>
              <w:bottom w:val="single" w:sz="8" w:color="auto"/>
              <w:right w:val="single" w:sz="8" w:color="auto"/>
            </w:tcBorders>
            <w:shd w:val="clear" w:color="auto" w:fill="CEEEFA"/>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gridSpan w:val="3"/>
          </w:tcPr>
          <w:p>
            <w:pPr>
              <w:spacing w:after="0" w:line="276" w:lineRule="exact"/>
              <w:rPr>
                <w:sz w:val="20"/>
                <w:szCs w:val="20"/>
                <w:color w:val="auto"/>
              </w:rPr>
            </w:pPr>
            <w:r>
              <w:rPr>
                <w:rFonts w:ascii="Times New Roman" w:cs="Times New Roman" w:eastAsia="Times New Roman" w:hAnsi="Times New Roman"/>
                <w:sz w:val="20"/>
                <w:szCs w:val="20"/>
                <w:color w:val="auto"/>
              </w:rPr>
              <w:t xml:space="preserve">Margaret Cotter </w:t>
            </w:r>
            <w:r>
              <w:rPr>
                <w:rFonts w:ascii="Times New Roman" w:cs="Times New Roman" w:eastAsia="Times New Roman" w:hAnsi="Times New Roman"/>
                <w:sz w:val="32"/>
                <w:szCs w:val="32"/>
                <w:color w:val="auto"/>
                <w:vertAlign w:val="superscript"/>
              </w:rPr>
              <w:t>(2)(8)</w:t>
            </w:r>
          </w:p>
        </w:tc>
        <w:tc>
          <w:tcPr>
            <w:tcW w:w="242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2,763,243</w:t>
            </w:r>
          </w:p>
        </w:tc>
        <w:tc>
          <w:tcPr>
            <w:tcW w:w="1840" w:type="dxa"/>
            <w:vAlign w:val="bottom"/>
            <w:tcBorders>
              <w:bottom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jc w:val="center"/>
              <w:ind w:right="84"/>
              <w:spacing w:after="0"/>
              <w:rPr>
                <w:sz w:val="20"/>
                <w:szCs w:val="20"/>
                <w:color w:val="auto"/>
              </w:rPr>
            </w:pPr>
            <w:r>
              <w:rPr>
                <w:rFonts w:ascii="Times New Roman" w:cs="Times New Roman" w:eastAsia="Times New Roman" w:hAnsi="Times New Roman"/>
                <w:sz w:val="20"/>
                <w:szCs w:val="20"/>
                <w:color w:val="auto"/>
                <w:w w:val="99"/>
              </w:rPr>
              <w:t>1,158,988</w:t>
            </w:r>
          </w:p>
        </w:tc>
        <w:tc>
          <w:tcPr>
            <w:tcW w:w="1860" w:type="dxa"/>
            <w:vAlign w:val="bottom"/>
            <w:tcBorders>
              <w:bottom w:val="single" w:sz="8" w:color="auto"/>
              <w:right w:val="single" w:sz="8" w:color="auto"/>
            </w:tcBorders>
          </w:tcPr>
          <w:p>
            <w:pPr>
              <w:jc w:val="center"/>
              <w:ind w:right="25"/>
              <w:spacing w:after="0"/>
              <w:rPr>
                <w:sz w:val="20"/>
                <w:szCs w:val="20"/>
                <w:color w:val="auto"/>
              </w:rPr>
            </w:pPr>
            <w:r>
              <w:rPr>
                <w:rFonts w:ascii="Times New Roman" w:cs="Times New Roman" w:eastAsia="Times New Roman" w:hAnsi="Times New Roman"/>
                <w:sz w:val="20"/>
                <w:szCs w:val="20"/>
                <w:color w:val="auto"/>
                <w:w w:val="96"/>
              </w:rPr>
              <w:t>69.0%</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shd w:val="clear" w:color="auto" w:fill="CEEEFA"/>
          </w:tcPr>
          <w:p>
            <w:pPr>
              <w:spacing w:after="0"/>
              <w:rPr>
                <w:sz w:val="24"/>
                <w:szCs w:val="24"/>
                <w:color w:val="auto"/>
              </w:rPr>
            </w:pPr>
          </w:p>
        </w:tc>
        <w:tc>
          <w:tcPr>
            <w:tcW w:w="3220" w:type="dxa"/>
            <w:vAlign w:val="bottom"/>
            <w:tcBorders>
              <w:bottom w:val="single" w:sz="8" w:color="auto"/>
              <w:right w:val="single" w:sz="8" w:color="auto"/>
            </w:tcBorders>
            <w:gridSpan w:val="3"/>
            <w:shd w:val="clear" w:color="auto" w:fill="CEEEFA"/>
          </w:tcPr>
          <w:p>
            <w:pPr>
              <w:spacing w:after="0" w:line="276" w:lineRule="exact"/>
              <w:rPr>
                <w:sz w:val="20"/>
                <w:szCs w:val="20"/>
                <w:color w:val="auto"/>
              </w:rPr>
            </w:pPr>
            <w:r>
              <w:rPr>
                <w:rFonts w:ascii="Times New Roman" w:cs="Times New Roman" w:eastAsia="Times New Roman" w:hAnsi="Times New Roman"/>
                <w:sz w:val="20"/>
                <w:szCs w:val="20"/>
                <w:color w:val="auto"/>
              </w:rPr>
              <w:t xml:space="preserve">Ellen M. Cotter </w:t>
            </w:r>
            <w:r>
              <w:rPr>
                <w:rFonts w:ascii="Times New Roman" w:cs="Times New Roman" w:eastAsia="Times New Roman" w:hAnsi="Times New Roman"/>
                <w:sz w:val="32"/>
                <w:szCs w:val="32"/>
                <w:color w:val="auto"/>
                <w:vertAlign w:val="superscript"/>
              </w:rPr>
              <w:t>(3)(8)</w:t>
            </w:r>
          </w:p>
        </w:tc>
        <w:tc>
          <w:tcPr>
            <w:tcW w:w="2420" w:type="dxa"/>
            <w:vAlign w:val="bottom"/>
            <w:tcBorders>
              <w:bottom w:val="single" w:sz="8" w:color="auto"/>
              <w:right w:val="single" w:sz="8" w:color="auto"/>
            </w:tcBorders>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9"/>
              </w:rPr>
              <w:t>3,530,771</w:t>
            </w:r>
          </w:p>
        </w:tc>
        <w:tc>
          <w:tcPr>
            <w:tcW w:w="1840" w:type="dxa"/>
            <w:vAlign w:val="bottom"/>
            <w:tcBorders>
              <w:bottom w:val="single" w:sz="8" w:color="auto"/>
              <w:right w:val="single" w:sz="8" w:color="auto"/>
            </w:tcBorders>
            <w:shd w:val="clear" w:color="auto" w:fill="CEEEFA"/>
          </w:tcPr>
          <w:p>
            <w:pPr>
              <w:jc w:val="center"/>
              <w:ind w:right="21"/>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Borders>
              <w:bottom w:val="single" w:sz="8" w:color="auto"/>
            </w:tcBorders>
            <w:shd w:val="clear" w:color="auto" w:fill="CEEEFA"/>
          </w:tcPr>
          <w:p>
            <w:pPr>
              <w:spacing w:after="0"/>
              <w:rPr>
                <w:sz w:val="24"/>
                <w:szCs w:val="24"/>
                <w:color w:val="auto"/>
              </w:rPr>
            </w:pPr>
          </w:p>
        </w:tc>
        <w:tc>
          <w:tcPr>
            <w:tcW w:w="1740" w:type="dxa"/>
            <w:vAlign w:val="bottom"/>
            <w:tcBorders>
              <w:bottom w:val="single" w:sz="8" w:color="auto"/>
              <w:right w:val="single" w:sz="8" w:color="auto"/>
            </w:tcBorders>
            <w:shd w:val="clear" w:color="auto" w:fill="CEEEFA"/>
          </w:tcPr>
          <w:p>
            <w:pPr>
              <w:jc w:val="center"/>
              <w:ind w:right="84"/>
              <w:spacing w:after="0"/>
              <w:rPr>
                <w:sz w:val="20"/>
                <w:szCs w:val="20"/>
                <w:color w:val="auto"/>
              </w:rPr>
            </w:pPr>
            <w:r>
              <w:rPr>
                <w:rFonts w:ascii="Times New Roman" w:cs="Times New Roman" w:eastAsia="Times New Roman" w:hAnsi="Times New Roman"/>
                <w:sz w:val="20"/>
                <w:szCs w:val="20"/>
                <w:color w:val="auto"/>
                <w:w w:val="98"/>
              </w:rPr>
              <w:t>457,166</w:t>
            </w:r>
          </w:p>
        </w:tc>
        <w:tc>
          <w:tcPr>
            <w:tcW w:w="1860" w:type="dxa"/>
            <w:vAlign w:val="bottom"/>
            <w:tcBorders>
              <w:bottom w:val="single" w:sz="8" w:color="auto"/>
              <w:right w:val="single" w:sz="8" w:color="auto"/>
            </w:tcBorders>
            <w:shd w:val="clear" w:color="auto" w:fill="CEEEFA"/>
          </w:tcPr>
          <w:p>
            <w:pPr>
              <w:jc w:val="center"/>
              <w:ind w:right="25"/>
              <w:spacing w:after="0"/>
              <w:rPr>
                <w:sz w:val="20"/>
                <w:szCs w:val="20"/>
                <w:color w:val="auto"/>
              </w:rPr>
            </w:pPr>
            <w:r>
              <w:rPr>
                <w:rFonts w:ascii="Times New Roman" w:cs="Times New Roman" w:eastAsia="Times New Roman" w:hAnsi="Times New Roman"/>
                <w:sz w:val="20"/>
                <w:szCs w:val="20"/>
                <w:color w:val="auto"/>
                <w:w w:val="96"/>
              </w:rPr>
              <w:t>27.2%</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gridSpan w:val="3"/>
          </w:tcPr>
          <w:p>
            <w:pPr>
              <w:spacing w:after="0" w:line="276" w:lineRule="exact"/>
              <w:rPr>
                <w:sz w:val="20"/>
                <w:szCs w:val="20"/>
                <w:color w:val="auto"/>
              </w:rPr>
            </w:pPr>
            <w:r>
              <w:rPr>
                <w:rFonts w:ascii="Times New Roman" w:cs="Times New Roman" w:eastAsia="Times New Roman" w:hAnsi="Times New Roman"/>
                <w:sz w:val="20"/>
                <w:szCs w:val="20"/>
                <w:color w:val="auto"/>
              </w:rPr>
              <w:t xml:space="preserve">Guy W. Adams </w:t>
            </w:r>
            <w:r>
              <w:rPr>
                <w:rFonts w:ascii="Times New Roman" w:cs="Times New Roman" w:eastAsia="Times New Roman" w:hAnsi="Times New Roman"/>
                <w:sz w:val="32"/>
                <w:szCs w:val="32"/>
                <w:color w:val="auto"/>
                <w:vertAlign w:val="superscript"/>
              </w:rPr>
              <w:t>(4)</w:t>
            </w:r>
          </w:p>
        </w:tc>
        <w:tc>
          <w:tcPr>
            <w:tcW w:w="242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225,751</w:t>
            </w:r>
          </w:p>
        </w:tc>
        <w:tc>
          <w:tcPr>
            <w:tcW w:w="184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bottom w:val="single" w:sz="8" w:color="auto"/>
              <w:right w:val="single" w:sz="8" w:color="auto"/>
            </w:tcBorders>
          </w:tcPr>
          <w:p>
            <w:pPr>
              <w:jc w:val="center"/>
              <w:ind w:right="2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shd w:val="clear" w:color="auto" w:fill="CEEEFA"/>
          </w:tcPr>
          <w:p>
            <w:pPr>
              <w:spacing w:after="0"/>
              <w:rPr>
                <w:sz w:val="24"/>
                <w:szCs w:val="24"/>
                <w:color w:val="auto"/>
              </w:rPr>
            </w:pPr>
          </w:p>
        </w:tc>
        <w:tc>
          <w:tcPr>
            <w:tcW w:w="3220" w:type="dxa"/>
            <w:vAlign w:val="bottom"/>
            <w:tcBorders>
              <w:bottom w:val="single" w:sz="8" w:color="auto"/>
              <w:right w:val="single" w:sz="8" w:color="auto"/>
            </w:tcBorders>
            <w:gridSpan w:val="3"/>
            <w:shd w:val="clear" w:color="auto" w:fill="CEEEFA"/>
          </w:tcPr>
          <w:p>
            <w:pPr>
              <w:spacing w:after="0" w:line="276" w:lineRule="exact"/>
              <w:rPr>
                <w:sz w:val="20"/>
                <w:szCs w:val="20"/>
                <w:color w:val="auto"/>
              </w:rPr>
            </w:pPr>
            <w:r>
              <w:rPr>
                <w:rFonts w:ascii="Times New Roman" w:cs="Times New Roman" w:eastAsia="Times New Roman" w:hAnsi="Times New Roman"/>
                <w:sz w:val="20"/>
                <w:szCs w:val="20"/>
                <w:color w:val="auto"/>
              </w:rPr>
              <w:t xml:space="preserve">Dr. Judy Codding </w:t>
            </w:r>
            <w:r>
              <w:rPr>
                <w:rFonts w:ascii="Times New Roman" w:cs="Times New Roman" w:eastAsia="Times New Roman" w:hAnsi="Times New Roman"/>
                <w:sz w:val="32"/>
                <w:szCs w:val="32"/>
                <w:color w:val="auto"/>
                <w:vertAlign w:val="superscript"/>
              </w:rPr>
              <w:t>(5)</w:t>
            </w:r>
          </w:p>
        </w:tc>
        <w:tc>
          <w:tcPr>
            <w:tcW w:w="2420" w:type="dxa"/>
            <w:vAlign w:val="bottom"/>
            <w:tcBorders>
              <w:bottom w:val="single" w:sz="8" w:color="auto"/>
              <w:right w:val="single" w:sz="8" w:color="auto"/>
            </w:tcBorders>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8"/>
              </w:rPr>
              <w:t>210,233</w:t>
            </w:r>
          </w:p>
        </w:tc>
        <w:tc>
          <w:tcPr>
            <w:tcW w:w="1840" w:type="dxa"/>
            <w:vAlign w:val="bottom"/>
            <w:tcBorders>
              <w:bottom w:val="single" w:sz="8" w:color="auto"/>
              <w:right w:val="single" w:sz="8" w:color="auto"/>
            </w:tcBorders>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auto"/>
            </w:tcBorders>
            <w:shd w:val="clear" w:color="auto" w:fill="CEEEFA"/>
          </w:tcPr>
          <w:p>
            <w:pPr>
              <w:spacing w:after="0"/>
              <w:rPr>
                <w:sz w:val="24"/>
                <w:szCs w:val="24"/>
                <w:color w:val="auto"/>
              </w:rPr>
            </w:pPr>
          </w:p>
        </w:tc>
        <w:tc>
          <w:tcPr>
            <w:tcW w:w="1740" w:type="dxa"/>
            <w:vAlign w:val="bottom"/>
            <w:tcBorders>
              <w:bottom w:val="single" w:sz="8" w:color="auto"/>
              <w:right w:val="single" w:sz="8" w:color="auto"/>
            </w:tcBorders>
            <w:shd w:val="clear" w:color="auto" w:fill="CEEEFA"/>
          </w:tcPr>
          <w:p>
            <w:pPr>
              <w:jc w:val="center"/>
              <w:ind w:right="104"/>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bottom w:val="single" w:sz="8" w:color="auto"/>
              <w:right w:val="single" w:sz="8" w:color="auto"/>
            </w:tcBorders>
            <w:shd w:val="clear" w:color="auto" w:fill="CEEEFA"/>
          </w:tcPr>
          <w:p>
            <w:pPr>
              <w:jc w:val="center"/>
              <w:ind w:right="2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gridSpan w:val="3"/>
          </w:tcPr>
          <w:p>
            <w:pPr>
              <w:spacing w:after="0" w:line="276" w:lineRule="exact"/>
              <w:rPr>
                <w:sz w:val="20"/>
                <w:szCs w:val="20"/>
                <w:color w:val="auto"/>
              </w:rPr>
            </w:pPr>
            <w:r>
              <w:rPr>
                <w:rFonts w:ascii="Times New Roman" w:cs="Times New Roman" w:eastAsia="Times New Roman" w:hAnsi="Times New Roman"/>
                <w:sz w:val="20"/>
                <w:szCs w:val="20"/>
                <w:color w:val="auto"/>
              </w:rPr>
              <w:t xml:space="preserve">Douglas J. McEachern </w:t>
            </w:r>
            <w:r>
              <w:rPr>
                <w:rFonts w:ascii="Times New Roman" w:cs="Times New Roman" w:eastAsia="Times New Roman" w:hAnsi="Times New Roman"/>
                <w:sz w:val="32"/>
                <w:szCs w:val="32"/>
                <w:color w:val="auto"/>
                <w:vertAlign w:val="superscript"/>
              </w:rPr>
              <w:t>(6)</w:t>
            </w:r>
          </w:p>
        </w:tc>
        <w:tc>
          <w:tcPr>
            <w:tcW w:w="242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215,608</w:t>
            </w:r>
          </w:p>
        </w:tc>
        <w:tc>
          <w:tcPr>
            <w:tcW w:w="184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bottom w:val="single" w:sz="8" w:color="auto"/>
              <w:right w:val="single" w:sz="8" w:color="auto"/>
            </w:tcBorders>
          </w:tcPr>
          <w:p>
            <w:pPr>
              <w:jc w:val="center"/>
              <w:ind w:right="2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shd w:val="clear" w:color="auto" w:fill="CEEEFA"/>
          </w:tcPr>
          <w:p>
            <w:pPr>
              <w:spacing w:after="0"/>
              <w:rPr>
                <w:sz w:val="24"/>
                <w:szCs w:val="24"/>
                <w:color w:val="auto"/>
              </w:rPr>
            </w:pPr>
          </w:p>
        </w:tc>
        <w:tc>
          <w:tcPr>
            <w:tcW w:w="3220" w:type="dxa"/>
            <w:vAlign w:val="bottom"/>
            <w:tcBorders>
              <w:bottom w:val="single" w:sz="8" w:color="auto"/>
              <w:right w:val="single" w:sz="8" w:color="auto"/>
            </w:tcBorders>
            <w:gridSpan w:val="3"/>
            <w:shd w:val="clear" w:color="auto" w:fill="CEEEFA"/>
          </w:tcPr>
          <w:p>
            <w:pPr>
              <w:spacing w:after="0" w:line="276" w:lineRule="exact"/>
              <w:rPr>
                <w:sz w:val="20"/>
                <w:szCs w:val="20"/>
                <w:color w:val="auto"/>
              </w:rPr>
            </w:pPr>
            <w:r>
              <w:rPr>
                <w:rFonts w:ascii="Times New Roman" w:cs="Times New Roman" w:eastAsia="Times New Roman" w:hAnsi="Times New Roman"/>
                <w:sz w:val="20"/>
                <w:szCs w:val="20"/>
                <w:color w:val="auto"/>
              </w:rPr>
              <w:t xml:space="preserve">S. Craig Tompkins </w:t>
            </w:r>
            <w:r>
              <w:rPr>
                <w:rFonts w:ascii="Times New Roman" w:cs="Times New Roman" w:eastAsia="Times New Roman" w:hAnsi="Times New Roman"/>
                <w:sz w:val="32"/>
                <w:szCs w:val="32"/>
                <w:color w:val="auto"/>
                <w:vertAlign w:val="superscript"/>
              </w:rPr>
              <w:t>(7)</w:t>
            </w:r>
          </w:p>
        </w:tc>
        <w:tc>
          <w:tcPr>
            <w:tcW w:w="2420" w:type="dxa"/>
            <w:vAlign w:val="bottom"/>
            <w:tcBorders>
              <w:bottom w:val="single" w:sz="8" w:color="auto"/>
              <w:right w:val="single" w:sz="8" w:color="auto"/>
            </w:tcBorders>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8"/>
              </w:rPr>
              <w:t>362,078</w:t>
            </w:r>
          </w:p>
        </w:tc>
        <w:tc>
          <w:tcPr>
            <w:tcW w:w="1840" w:type="dxa"/>
            <w:vAlign w:val="bottom"/>
            <w:tcBorders>
              <w:bottom w:val="single" w:sz="8" w:color="auto"/>
              <w:right w:val="single" w:sz="8" w:color="auto"/>
            </w:tcBorders>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auto"/>
            </w:tcBorders>
            <w:shd w:val="clear" w:color="auto" w:fill="CEEEFA"/>
          </w:tcPr>
          <w:p>
            <w:pPr>
              <w:spacing w:after="0"/>
              <w:rPr>
                <w:sz w:val="24"/>
                <w:szCs w:val="24"/>
                <w:color w:val="auto"/>
              </w:rPr>
            </w:pPr>
          </w:p>
        </w:tc>
        <w:tc>
          <w:tcPr>
            <w:tcW w:w="1740" w:type="dxa"/>
            <w:vAlign w:val="bottom"/>
            <w:tcBorders>
              <w:bottom w:val="single" w:sz="8" w:color="auto"/>
              <w:right w:val="single" w:sz="8" w:color="auto"/>
            </w:tcBorders>
            <w:shd w:val="clear" w:color="auto" w:fill="CEEEFA"/>
          </w:tcPr>
          <w:p>
            <w:pPr>
              <w:jc w:val="center"/>
              <w:ind w:right="104"/>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bottom w:val="single" w:sz="8" w:color="auto"/>
              <w:right w:val="single" w:sz="8" w:color="auto"/>
            </w:tcBorders>
            <w:shd w:val="clear" w:color="auto" w:fill="CEEEFA"/>
          </w:tcPr>
          <w:p>
            <w:pPr>
              <w:jc w:val="center"/>
              <w:ind w:right="2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CEEEFA"/>
          </w:tcPr>
          <w:p>
            <w:pPr>
              <w:spacing w:after="0"/>
              <w:rPr>
                <w:sz w:val="18"/>
                <w:szCs w:val="18"/>
                <w:color w:val="auto"/>
              </w:rPr>
            </w:pPr>
          </w:p>
        </w:tc>
        <w:tc>
          <w:tcPr>
            <w:tcW w:w="3220" w:type="dxa"/>
            <w:vAlign w:val="bottom"/>
            <w:tcBorders>
              <w:bottom w:val="single" w:sz="8" w:color="auto"/>
              <w:right w:val="single" w:sz="8" w:color="auto"/>
            </w:tcBorders>
            <w:gridSpan w:val="3"/>
            <w:shd w:val="clear" w:color="auto" w:fill="CEEEFA"/>
          </w:tcPr>
          <w:p>
            <w:pPr>
              <w:spacing w:after="0" w:line="169" w:lineRule="exact"/>
              <w:rPr>
                <w:sz w:val="20"/>
                <w:szCs w:val="20"/>
                <w:color w:val="auto"/>
              </w:rPr>
            </w:pPr>
            <w:r>
              <w:rPr>
                <w:rFonts w:ascii="Times New Roman" w:cs="Times New Roman" w:eastAsia="Times New Roman" w:hAnsi="Times New Roman"/>
                <w:sz w:val="19"/>
                <w:szCs w:val="19"/>
                <w:b w:val="1"/>
                <w:bCs w:val="1"/>
                <w:color w:val="auto"/>
              </w:rPr>
              <w:t>Greater than 5% Stockholders:</w:t>
            </w:r>
          </w:p>
        </w:tc>
        <w:tc>
          <w:tcPr>
            <w:tcW w:w="2420" w:type="dxa"/>
            <w:vAlign w:val="bottom"/>
            <w:tcBorders>
              <w:bottom w:val="single" w:sz="8" w:color="auto"/>
              <w:right w:val="single" w:sz="8" w:color="auto"/>
            </w:tcBorders>
            <w:shd w:val="clear" w:color="auto" w:fill="CEEEFA"/>
          </w:tcPr>
          <w:p>
            <w:pPr>
              <w:spacing w:after="0"/>
              <w:rPr>
                <w:sz w:val="18"/>
                <w:szCs w:val="18"/>
                <w:color w:val="auto"/>
              </w:rPr>
            </w:pPr>
          </w:p>
        </w:tc>
        <w:tc>
          <w:tcPr>
            <w:tcW w:w="1840" w:type="dxa"/>
            <w:vAlign w:val="bottom"/>
            <w:tcBorders>
              <w:bottom w:val="single" w:sz="8" w:color="auto"/>
              <w:right w:val="single" w:sz="8" w:color="auto"/>
            </w:tcBorders>
            <w:shd w:val="clear" w:color="auto" w:fill="CEEEFA"/>
          </w:tcPr>
          <w:p>
            <w:pPr>
              <w:spacing w:after="0"/>
              <w:rPr>
                <w:sz w:val="18"/>
                <w:szCs w:val="18"/>
                <w:color w:val="auto"/>
              </w:rPr>
            </w:pPr>
          </w:p>
        </w:tc>
        <w:tc>
          <w:tcPr>
            <w:tcW w:w="60" w:type="dxa"/>
            <w:vAlign w:val="bottom"/>
            <w:tcBorders>
              <w:bottom w:val="single" w:sz="8" w:color="auto"/>
            </w:tcBorders>
            <w:shd w:val="clear" w:color="auto" w:fill="CEEEFA"/>
          </w:tcPr>
          <w:p>
            <w:pPr>
              <w:spacing w:after="0"/>
              <w:rPr>
                <w:sz w:val="18"/>
                <w:szCs w:val="18"/>
                <w:color w:val="auto"/>
              </w:rPr>
            </w:pPr>
          </w:p>
        </w:tc>
        <w:tc>
          <w:tcPr>
            <w:tcW w:w="1740" w:type="dxa"/>
            <w:vAlign w:val="bottom"/>
            <w:tcBorders>
              <w:bottom w:val="single" w:sz="8" w:color="auto"/>
              <w:right w:val="single" w:sz="8" w:color="auto"/>
            </w:tcBorders>
            <w:shd w:val="clear" w:color="auto" w:fill="CEEEFA"/>
          </w:tcPr>
          <w:p>
            <w:pPr>
              <w:spacing w:after="0"/>
              <w:rPr>
                <w:sz w:val="18"/>
                <w:szCs w:val="18"/>
                <w:color w:val="auto"/>
              </w:rPr>
            </w:pPr>
          </w:p>
        </w:tc>
        <w:tc>
          <w:tcPr>
            <w:tcW w:w="1860" w:type="dxa"/>
            <w:vAlign w:val="bottom"/>
            <w:tcBorders>
              <w:bottom w:val="single" w:sz="8" w:color="auto"/>
              <w:right w:val="single" w:sz="8" w:color="auto"/>
            </w:tcBorders>
            <w:shd w:val="clear" w:color="auto" w:fill="CEEEFA"/>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Borders>
              <w:left w:val="single" w:sz="8" w:color="auto"/>
            </w:tcBorders>
          </w:tcPr>
          <w:p>
            <w:pPr>
              <w:spacing w:after="0"/>
              <w:rPr>
                <w:sz w:val="20"/>
                <w:szCs w:val="20"/>
                <w:color w:val="auto"/>
              </w:rPr>
            </w:pPr>
          </w:p>
        </w:tc>
        <w:tc>
          <w:tcPr>
            <w:tcW w:w="3220" w:type="dxa"/>
            <w:vAlign w:val="bottom"/>
            <w:tcBorders>
              <w:right w:val="single" w:sz="8" w:color="auto"/>
            </w:tcBorders>
            <w:gridSpan w:val="3"/>
          </w:tcPr>
          <w:p>
            <w:pPr>
              <w:spacing w:after="0" w:line="241" w:lineRule="exact"/>
              <w:rPr>
                <w:sz w:val="20"/>
                <w:szCs w:val="20"/>
                <w:color w:val="auto"/>
              </w:rPr>
            </w:pPr>
            <w:r>
              <w:rPr>
                <w:rFonts w:ascii="Times New Roman" w:cs="Times New Roman" w:eastAsia="Times New Roman" w:hAnsi="Times New Roman"/>
                <w:sz w:val="17"/>
                <w:szCs w:val="17"/>
                <w:color w:val="auto"/>
              </w:rPr>
              <w:t xml:space="preserve">James J. Cotter Living Trust </w:t>
            </w: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17"/>
                <w:szCs w:val="17"/>
                <w:color w:val="auto"/>
              </w:rPr>
              <w:t xml:space="preserve"> c/o</w:t>
            </w:r>
          </w:p>
        </w:tc>
        <w:tc>
          <w:tcPr>
            <w:tcW w:w="24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Borders>
              <w:right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right w:val="single" w:sz="8" w:color="auto"/>
            </w:tcBorders>
          </w:tcPr>
          <w:p>
            <w:pPr>
              <w:jc w:val="center"/>
              <w:ind w:right="2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220" w:type="dxa"/>
            <w:vAlign w:val="bottom"/>
            <w:tcBorders>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20"/>
                <w:szCs w:val="20"/>
                <w:color w:val="auto"/>
              </w:rPr>
              <w:t>Reading International, Inc.189 Second</w:t>
            </w:r>
          </w:p>
        </w:tc>
        <w:tc>
          <w:tcPr>
            <w:tcW w:w="24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220" w:type="dxa"/>
            <w:vAlign w:val="bottom"/>
            <w:tcBorders>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20"/>
                <w:szCs w:val="20"/>
                <w:color w:val="auto"/>
              </w:rPr>
              <w:t>Ave., Suite 2SNew York, New York</w:t>
            </w:r>
          </w:p>
        </w:tc>
        <w:tc>
          <w:tcPr>
            <w:tcW w:w="2420" w:type="dxa"/>
            <w:vAlign w:val="bottom"/>
            <w:tcBorders>
              <w:right w:val="single" w:sz="8" w:color="auto"/>
            </w:tcBorders>
            <w:vMerge w:val="restart"/>
          </w:tcPr>
          <w:p>
            <w:pPr>
              <w:jc w:val="center"/>
              <w:ind w:right="41"/>
              <w:spacing w:after="0"/>
              <w:rPr>
                <w:sz w:val="20"/>
                <w:szCs w:val="20"/>
                <w:color w:val="auto"/>
              </w:rPr>
            </w:pPr>
            <w:r>
              <w:rPr>
                <w:rFonts w:ascii="Times New Roman" w:cs="Times New Roman" w:eastAsia="Times New Roman" w:hAnsi="Times New Roman"/>
                <w:sz w:val="20"/>
                <w:szCs w:val="20"/>
                <w:color w:val="auto"/>
                <w:w w:val="99"/>
              </w:rPr>
              <w:t>1,163,649</w:t>
            </w:r>
          </w:p>
        </w:tc>
        <w:tc>
          <w:tcPr>
            <w:tcW w:w="1840" w:type="dxa"/>
            <w:vAlign w:val="bottom"/>
            <w:tcBorders>
              <w:right w:val="single" w:sz="8" w:color="auto"/>
            </w:tcBorders>
            <w:vMerge w:val="restart"/>
          </w:tcPr>
          <w:p>
            <w:pPr>
              <w:jc w:val="center"/>
              <w:ind w:right="41"/>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0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10003</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vMerge w:val="continue"/>
          </w:tcPr>
          <w:p>
            <w:pPr>
              <w:spacing w:after="0"/>
              <w:rPr>
                <w:sz w:val="20"/>
                <w:szCs w:val="20"/>
                <w:color w:val="auto"/>
              </w:rPr>
            </w:pPr>
          </w:p>
        </w:tc>
        <w:tc>
          <w:tcPr>
            <w:tcW w:w="1840" w:type="dxa"/>
            <w:vAlign w:val="bottom"/>
            <w:tcBorders>
              <w:bottom w:val="single" w:sz="8" w:color="auto"/>
              <w:right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tcBorders>
            <w:shd w:val="clear" w:color="auto" w:fill="CEEEFA"/>
          </w:tcPr>
          <w:p>
            <w:pPr>
              <w:spacing w:after="0"/>
              <w:rPr>
                <w:sz w:val="16"/>
                <w:szCs w:val="16"/>
                <w:color w:val="auto"/>
              </w:rPr>
            </w:pPr>
          </w:p>
        </w:tc>
        <w:tc>
          <w:tcPr>
            <w:tcW w:w="3220" w:type="dxa"/>
            <w:vAlign w:val="bottom"/>
            <w:tcBorders>
              <w:right w:val="single" w:sz="8" w:color="auto"/>
            </w:tcBorders>
            <w:gridSpan w:val="3"/>
            <w:shd w:val="clear" w:color="auto" w:fill="CEEEFA"/>
          </w:tcPr>
          <w:p>
            <w:pPr>
              <w:spacing w:after="0" w:line="193" w:lineRule="exact"/>
              <w:rPr>
                <w:sz w:val="20"/>
                <w:szCs w:val="20"/>
                <w:color w:val="auto"/>
              </w:rPr>
            </w:pPr>
            <w:r>
              <w:rPr>
                <w:rFonts w:ascii="Times New Roman" w:cs="Times New Roman" w:eastAsia="Times New Roman" w:hAnsi="Times New Roman"/>
                <w:sz w:val="20"/>
                <w:szCs w:val="20"/>
                <w:color w:val="auto"/>
              </w:rPr>
              <w:t>Estate of James J. Cotter, Sr.</w:t>
            </w:r>
          </w:p>
        </w:tc>
        <w:tc>
          <w:tcPr>
            <w:tcW w:w="2420" w:type="dxa"/>
            <w:vAlign w:val="bottom"/>
            <w:tcBorders>
              <w:right w:val="single" w:sz="8" w:color="auto"/>
            </w:tcBorders>
            <w:shd w:val="clear" w:color="auto" w:fill="CEEEFA"/>
          </w:tcPr>
          <w:p>
            <w:pPr>
              <w:spacing w:after="0"/>
              <w:rPr>
                <w:sz w:val="16"/>
                <w:szCs w:val="16"/>
                <w:color w:val="auto"/>
              </w:rPr>
            </w:pPr>
          </w:p>
        </w:tc>
        <w:tc>
          <w:tcPr>
            <w:tcW w:w="1840" w:type="dxa"/>
            <w:vAlign w:val="bottom"/>
            <w:tcBorders>
              <w:right w:val="single" w:sz="8" w:color="auto"/>
            </w:tcBorders>
            <w:shd w:val="clear" w:color="auto" w:fill="CEEEFA"/>
          </w:tcPr>
          <w:p>
            <w:pPr>
              <w:spacing w:after="0"/>
              <w:rPr>
                <w:sz w:val="16"/>
                <w:szCs w:val="16"/>
                <w:color w:val="auto"/>
              </w:rPr>
            </w:pPr>
          </w:p>
        </w:tc>
        <w:tc>
          <w:tcPr>
            <w:tcW w:w="60" w:type="dxa"/>
            <w:vAlign w:val="bottom"/>
            <w:shd w:val="clear" w:color="auto" w:fill="CEEEFA"/>
          </w:tcPr>
          <w:p>
            <w:pPr>
              <w:spacing w:after="0"/>
              <w:rPr>
                <w:sz w:val="16"/>
                <w:szCs w:val="16"/>
                <w:color w:val="auto"/>
              </w:rPr>
            </w:pPr>
          </w:p>
        </w:tc>
        <w:tc>
          <w:tcPr>
            <w:tcW w:w="1740" w:type="dxa"/>
            <w:vAlign w:val="bottom"/>
            <w:tcBorders>
              <w:right w:val="single" w:sz="8" w:color="auto"/>
            </w:tcBorders>
            <w:shd w:val="clear" w:color="auto" w:fill="CEEEFA"/>
          </w:tcPr>
          <w:p>
            <w:pPr>
              <w:spacing w:after="0"/>
              <w:rPr>
                <w:sz w:val="16"/>
                <w:szCs w:val="16"/>
                <w:color w:val="auto"/>
              </w:rPr>
            </w:pPr>
          </w:p>
        </w:tc>
        <w:tc>
          <w:tcPr>
            <w:tcW w:w="1860" w:type="dxa"/>
            <w:vAlign w:val="bottom"/>
            <w:tcBorders>
              <w:right w:val="single" w:sz="8" w:color="auto"/>
            </w:tcBorders>
            <w:shd w:val="clear" w:color="auto" w:fill="CEEEFA"/>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0" w:type="dxa"/>
            <w:vAlign w:val="bottom"/>
            <w:tcBorders>
              <w:left w:val="single" w:sz="8" w:color="auto"/>
            </w:tcBorders>
            <w:shd w:val="clear" w:color="auto" w:fill="CEEEFA"/>
          </w:tcPr>
          <w:p>
            <w:pPr>
              <w:spacing w:after="0"/>
              <w:rPr>
                <w:sz w:val="22"/>
                <w:szCs w:val="22"/>
                <w:color w:val="auto"/>
              </w:rPr>
            </w:pPr>
          </w:p>
        </w:tc>
        <w:tc>
          <w:tcPr>
            <w:tcW w:w="3220" w:type="dxa"/>
            <w:vAlign w:val="bottom"/>
            <w:tcBorders>
              <w:right w:val="single" w:sz="8" w:color="auto"/>
            </w:tcBorders>
            <w:gridSpan w:val="3"/>
            <w:shd w:val="clear" w:color="auto" w:fill="CEEEFA"/>
          </w:tcPr>
          <w:p>
            <w:pPr>
              <w:spacing w:after="0" w:line="264" w:lineRule="exact"/>
              <w:rPr>
                <w:sz w:val="20"/>
                <w:szCs w:val="20"/>
                <w:color w:val="auto"/>
              </w:rPr>
            </w:pPr>
            <w:r>
              <w:rPr>
                <w:rFonts w:ascii="Times New Roman" w:cs="Times New Roman" w:eastAsia="Times New Roman" w:hAnsi="Times New Roman"/>
                <w:sz w:val="19"/>
                <w:szCs w:val="19"/>
                <w:color w:val="auto"/>
              </w:rPr>
              <w:t xml:space="preserve">(Deceased) </w:t>
            </w:r>
            <w:r>
              <w:rPr>
                <w:rFonts w:ascii="Times New Roman" w:cs="Times New Roman" w:eastAsia="Times New Roman" w:hAnsi="Times New Roman"/>
                <w:sz w:val="30"/>
                <w:szCs w:val="30"/>
                <w:color w:val="auto"/>
                <w:vertAlign w:val="superscript"/>
              </w:rPr>
              <w:t>(8)</w:t>
            </w:r>
            <w:r>
              <w:rPr>
                <w:rFonts w:ascii="Times New Roman" w:cs="Times New Roman" w:eastAsia="Times New Roman" w:hAnsi="Times New Roman"/>
                <w:sz w:val="19"/>
                <w:szCs w:val="19"/>
                <w:color w:val="auto"/>
              </w:rPr>
              <w:t>c/o Reading</w:t>
            </w:r>
          </w:p>
        </w:tc>
        <w:tc>
          <w:tcPr>
            <w:tcW w:w="2420" w:type="dxa"/>
            <w:vAlign w:val="bottom"/>
            <w:tcBorders>
              <w:right w:val="single" w:sz="8" w:color="auto"/>
            </w:tcBorders>
            <w:shd w:val="clear" w:color="auto" w:fill="CEEEFA"/>
          </w:tcPr>
          <w:p>
            <w:pPr>
              <w:spacing w:after="0"/>
              <w:rPr>
                <w:sz w:val="22"/>
                <w:szCs w:val="22"/>
                <w:color w:val="auto"/>
              </w:rPr>
            </w:pPr>
          </w:p>
        </w:tc>
        <w:tc>
          <w:tcPr>
            <w:tcW w:w="1840" w:type="dxa"/>
            <w:vAlign w:val="bottom"/>
            <w:tcBorders>
              <w:right w:val="single" w:sz="8" w:color="auto"/>
            </w:tcBorders>
            <w:shd w:val="clear" w:color="auto" w:fill="CEEEFA"/>
          </w:tcPr>
          <w:p>
            <w:pPr>
              <w:spacing w:after="0"/>
              <w:rPr>
                <w:sz w:val="22"/>
                <w:szCs w:val="22"/>
                <w:color w:val="auto"/>
              </w:rPr>
            </w:pPr>
          </w:p>
        </w:tc>
        <w:tc>
          <w:tcPr>
            <w:tcW w:w="60" w:type="dxa"/>
            <w:vAlign w:val="bottom"/>
            <w:shd w:val="clear" w:color="auto" w:fill="CEEEFA"/>
          </w:tcPr>
          <w:p>
            <w:pPr>
              <w:spacing w:after="0"/>
              <w:rPr>
                <w:sz w:val="22"/>
                <w:szCs w:val="22"/>
                <w:color w:val="auto"/>
              </w:rPr>
            </w:pPr>
          </w:p>
        </w:tc>
        <w:tc>
          <w:tcPr>
            <w:tcW w:w="1740" w:type="dxa"/>
            <w:vAlign w:val="bottom"/>
            <w:tcBorders>
              <w:right w:val="single" w:sz="8" w:color="auto"/>
            </w:tcBorders>
            <w:shd w:val="clear" w:color="auto" w:fill="CEEEFA"/>
          </w:tcPr>
          <w:p>
            <w:pPr>
              <w:spacing w:after="0"/>
              <w:rPr>
                <w:sz w:val="22"/>
                <w:szCs w:val="22"/>
                <w:color w:val="auto"/>
              </w:rPr>
            </w:pPr>
          </w:p>
        </w:tc>
        <w:tc>
          <w:tcPr>
            <w:tcW w:w="1860" w:type="dxa"/>
            <w:vAlign w:val="bottom"/>
            <w:tcBorders>
              <w:right w:val="single" w:sz="8" w:color="auto"/>
            </w:tcBorders>
            <w:shd w:val="clear" w:color="auto" w:fill="CEEEFA"/>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shd w:val="clear" w:color="auto" w:fill="CEEEFA"/>
          </w:tcPr>
          <w:p>
            <w:pPr>
              <w:spacing w:after="0"/>
              <w:rPr>
                <w:sz w:val="18"/>
                <w:szCs w:val="18"/>
                <w:color w:val="auto"/>
              </w:rPr>
            </w:pPr>
          </w:p>
        </w:tc>
        <w:tc>
          <w:tcPr>
            <w:tcW w:w="3220" w:type="dxa"/>
            <w:vAlign w:val="bottom"/>
            <w:tcBorders>
              <w:right w:val="single" w:sz="8" w:color="auto"/>
            </w:tcBorders>
            <w:gridSpan w:val="3"/>
            <w:shd w:val="clear" w:color="auto" w:fill="CEEEFA"/>
          </w:tcPr>
          <w:p>
            <w:pPr>
              <w:spacing w:after="0" w:line="216" w:lineRule="exact"/>
              <w:rPr>
                <w:sz w:val="20"/>
                <w:szCs w:val="20"/>
                <w:color w:val="auto"/>
              </w:rPr>
            </w:pPr>
            <w:r>
              <w:rPr>
                <w:rFonts w:ascii="Times New Roman" w:cs="Times New Roman" w:eastAsia="Times New Roman" w:hAnsi="Times New Roman"/>
                <w:sz w:val="20"/>
                <w:szCs w:val="20"/>
                <w:color w:val="auto"/>
              </w:rPr>
              <w:t>International, Inc.189 Second Ave.,</w:t>
            </w:r>
          </w:p>
        </w:tc>
        <w:tc>
          <w:tcPr>
            <w:tcW w:w="2420" w:type="dxa"/>
            <w:vAlign w:val="bottom"/>
            <w:tcBorders>
              <w:right w:val="single" w:sz="8" w:color="auto"/>
            </w:tcBorders>
            <w:vMerge w:val="restart"/>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8"/>
              </w:rPr>
              <w:t>326,800</w:t>
            </w:r>
          </w:p>
        </w:tc>
        <w:tc>
          <w:tcPr>
            <w:tcW w:w="1840" w:type="dxa"/>
            <w:vAlign w:val="bottom"/>
            <w:tcBorders>
              <w:right w:val="single" w:sz="8" w:color="auto"/>
            </w:tcBorders>
            <w:vMerge w:val="restart"/>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shd w:val="clear" w:color="auto" w:fill="CEEEFA"/>
          </w:tcPr>
          <w:p>
            <w:pPr>
              <w:spacing w:after="0"/>
              <w:rPr>
                <w:sz w:val="18"/>
                <w:szCs w:val="18"/>
                <w:color w:val="auto"/>
              </w:rPr>
            </w:pPr>
          </w:p>
        </w:tc>
        <w:tc>
          <w:tcPr>
            <w:tcW w:w="1740" w:type="dxa"/>
            <w:vAlign w:val="bottom"/>
            <w:tcBorders>
              <w:right w:val="single" w:sz="8" w:color="auto"/>
            </w:tcBorders>
            <w:vMerge w:val="restart"/>
            <w:shd w:val="clear" w:color="auto" w:fill="CEEEFA"/>
          </w:tcPr>
          <w:p>
            <w:pPr>
              <w:jc w:val="center"/>
              <w:ind w:right="84"/>
              <w:spacing w:after="0"/>
              <w:rPr>
                <w:sz w:val="20"/>
                <w:szCs w:val="20"/>
                <w:color w:val="auto"/>
              </w:rPr>
            </w:pPr>
            <w:r>
              <w:rPr>
                <w:rFonts w:ascii="Times New Roman" w:cs="Times New Roman" w:eastAsia="Times New Roman" w:hAnsi="Times New Roman"/>
                <w:sz w:val="20"/>
                <w:szCs w:val="20"/>
                <w:color w:val="auto"/>
                <w:w w:val="98"/>
              </w:rPr>
              <w:t>100,000</w:t>
            </w:r>
          </w:p>
        </w:tc>
        <w:tc>
          <w:tcPr>
            <w:tcW w:w="1860" w:type="dxa"/>
            <w:vAlign w:val="bottom"/>
            <w:tcBorders>
              <w:right w:val="single" w:sz="8" w:color="auto"/>
            </w:tcBorders>
            <w:vMerge w:val="restart"/>
            <w:shd w:val="clear" w:color="auto" w:fill="CEEEFA"/>
          </w:tcPr>
          <w:p>
            <w:pPr>
              <w:jc w:val="center"/>
              <w:ind w:right="25"/>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39"/>
        </w:trPr>
        <w:tc>
          <w:tcPr>
            <w:tcW w:w="120" w:type="dxa"/>
            <w:vAlign w:val="bottom"/>
            <w:tcBorders>
              <w:left w:val="single" w:sz="8" w:color="auto"/>
              <w:bottom w:val="single" w:sz="8" w:color="auto"/>
            </w:tcBorders>
            <w:shd w:val="clear" w:color="auto" w:fill="CEEEFA"/>
          </w:tcPr>
          <w:p>
            <w:pPr>
              <w:spacing w:after="0"/>
              <w:rPr>
                <w:sz w:val="20"/>
                <w:szCs w:val="20"/>
                <w:color w:val="auto"/>
              </w:rPr>
            </w:pPr>
          </w:p>
        </w:tc>
        <w:tc>
          <w:tcPr>
            <w:tcW w:w="3220" w:type="dxa"/>
            <w:vAlign w:val="bottom"/>
            <w:tcBorders>
              <w:bottom w:val="single" w:sz="8" w:color="auto"/>
              <w:right w:val="single" w:sz="8" w:color="auto"/>
            </w:tcBorders>
            <w:gridSpan w:val="3"/>
            <w:shd w:val="clear" w:color="auto" w:fill="CEEEFA"/>
          </w:tcPr>
          <w:p>
            <w:pPr>
              <w:spacing w:after="0"/>
              <w:rPr>
                <w:sz w:val="20"/>
                <w:szCs w:val="20"/>
                <w:color w:val="auto"/>
              </w:rPr>
            </w:pPr>
            <w:r>
              <w:rPr>
                <w:rFonts w:ascii="Times New Roman" w:cs="Times New Roman" w:eastAsia="Times New Roman" w:hAnsi="Times New Roman"/>
                <w:sz w:val="20"/>
                <w:szCs w:val="20"/>
                <w:color w:val="auto"/>
              </w:rPr>
              <w:t>Suite 2SNew York, New York 10003</w:t>
            </w:r>
          </w:p>
        </w:tc>
        <w:tc>
          <w:tcPr>
            <w:tcW w:w="2420" w:type="dxa"/>
            <w:vAlign w:val="bottom"/>
            <w:tcBorders>
              <w:bottom w:val="single" w:sz="8" w:color="auto"/>
              <w:right w:val="single" w:sz="8" w:color="auto"/>
            </w:tcBorders>
            <w:vMerge w:val="continue"/>
            <w:shd w:val="clear" w:color="auto" w:fill="CEEEFA"/>
          </w:tcPr>
          <w:p>
            <w:pPr>
              <w:spacing w:after="0"/>
              <w:rPr>
                <w:sz w:val="20"/>
                <w:szCs w:val="20"/>
                <w:color w:val="auto"/>
              </w:rPr>
            </w:pPr>
          </w:p>
        </w:tc>
        <w:tc>
          <w:tcPr>
            <w:tcW w:w="1840" w:type="dxa"/>
            <w:vAlign w:val="bottom"/>
            <w:tcBorders>
              <w:bottom w:val="single" w:sz="8" w:color="auto"/>
              <w:right w:val="single" w:sz="8" w:color="auto"/>
            </w:tcBorders>
            <w:vMerge w:val="continue"/>
            <w:shd w:val="clear" w:color="auto" w:fill="CEEEFA"/>
          </w:tcPr>
          <w:p>
            <w:pPr>
              <w:spacing w:after="0"/>
              <w:rPr>
                <w:sz w:val="20"/>
                <w:szCs w:val="20"/>
                <w:color w:val="auto"/>
              </w:rPr>
            </w:pPr>
          </w:p>
        </w:tc>
        <w:tc>
          <w:tcPr>
            <w:tcW w:w="60" w:type="dxa"/>
            <w:vAlign w:val="bottom"/>
            <w:tcBorders>
              <w:bottom w:val="single" w:sz="8" w:color="auto"/>
            </w:tcBorders>
            <w:shd w:val="clear" w:color="auto" w:fill="CEEEFA"/>
          </w:tcPr>
          <w:p>
            <w:pPr>
              <w:spacing w:after="0"/>
              <w:rPr>
                <w:sz w:val="20"/>
                <w:szCs w:val="20"/>
                <w:color w:val="auto"/>
              </w:rPr>
            </w:pPr>
          </w:p>
        </w:tc>
        <w:tc>
          <w:tcPr>
            <w:tcW w:w="1740" w:type="dxa"/>
            <w:vAlign w:val="bottom"/>
            <w:tcBorders>
              <w:bottom w:val="single" w:sz="8" w:color="auto"/>
              <w:right w:val="single" w:sz="8" w:color="auto"/>
            </w:tcBorders>
            <w:vMerge w:val="continue"/>
            <w:shd w:val="clear" w:color="auto" w:fill="CEEEFA"/>
          </w:tcPr>
          <w:p>
            <w:pPr>
              <w:spacing w:after="0"/>
              <w:rPr>
                <w:sz w:val="20"/>
                <w:szCs w:val="20"/>
                <w:color w:val="auto"/>
              </w:rPr>
            </w:pPr>
          </w:p>
        </w:tc>
        <w:tc>
          <w:tcPr>
            <w:tcW w:w="1860" w:type="dxa"/>
            <w:vAlign w:val="bottom"/>
            <w:tcBorders>
              <w:bottom w:val="single" w:sz="8" w:color="auto"/>
              <w:right w:val="single" w:sz="8" w:color="auto"/>
            </w:tcBorders>
            <w:vMerge w:val="continue"/>
            <w:shd w:val="clear" w:color="auto" w:fill="CEEEFA"/>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20" w:type="dxa"/>
            <w:vAlign w:val="bottom"/>
            <w:tcBorders>
              <w:left w:val="single" w:sz="8" w:color="auto"/>
            </w:tcBorders>
          </w:tcPr>
          <w:p>
            <w:pPr>
              <w:spacing w:after="0"/>
              <w:rPr>
                <w:sz w:val="20"/>
                <w:szCs w:val="20"/>
                <w:color w:val="auto"/>
              </w:rPr>
            </w:pPr>
          </w:p>
        </w:tc>
        <w:tc>
          <w:tcPr>
            <w:tcW w:w="3220" w:type="dxa"/>
            <w:vAlign w:val="bottom"/>
            <w:tcBorders>
              <w:right w:val="single" w:sz="8" w:color="auto"/>
            </w:tcBorders>
            <w:gridSpan w:val="3"/>
          </w:tcPr>
          <w:p>
            <w:pPr>
              <w:spacing w:after="0" w:line="241" w:lineRule="exact"/>
              <w:rPr>
                <w:sz w:val="20"/>
                <w:szCs w:val="20"/>
                <w:color w:val="auto"/>
              </w:rPr>
            </w:pPr>
            <w:r>
              <w:rPr>
                <w:rFonts w:ascii="Times New Roman" w:cs="Times New Roman" w:eastAsia="Times New Roman" w:hAnsi="Times New Roman"/>
                <w:sz w:val="17"/>
                <w:szCs w:val="17"/>
                <w:color w:val="auto"/>
              </w:rPr>
              <w:t xml:space="preserve">Mark Cuban </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17"/>
                <w:szCs w:val="17"/>
                <w:color w:val="auto"/>
              </w:rPr>
              <w:t>1229 Slocum</w:t>
            </w:r>
          </w:p>
        </w:tc>
        <w:tc>
          <w:tcPr>
            <w:tcW w:w="24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bottom w:val="single" w:sz="8" w:color="auto"/>
            </w:tcBorders>
          </w:tcPr>
          <w:p>
            <w:pPr>
              <w:spacing w:after="0"/>
              <w:rPr>
                <w:sz w:val="21"/>
                <w:szCs w:val="21"/>
                <w:color w:val="auto"/>
              </w:rPr>
            </w:pPr>
          </w:p>
        </w:tc>
        <w:tc>
          <w:tcPr>
            <w:tcW w:w="32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StreetDallas, Texas 75207</w:t>
            </w:r>
          </w:p>
        </w:tc>
        <w:tc>
          <w:tcPr>
            <w:tcW w:w="242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rPr>
              <w:t>72,164</w:t>
            </w:r>
          </w:p>
        </w:tc>
        <w:tc>
          <w:tcPr>
            <w:tcW w:w="184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center"/>
              <w:ind w:right="84"/>
              <w:spacing w:after="0"/>
              <w:rPr>
                <w:sz w:val="20"/>
                <w:szCs w:val="20"/>
                <w:color w:val="auto"/>
              </w:rPr>
            </w:pPr>
            <w:r>
              <w:rPr>
                <w:rFonts w:ascii="Times New Roman" w:cs="Times New Roman" w:eastAsia="Times New Roman" w:hAnsi="Times New Roman"/>
                <w:sz w:val="20"/>
                <w:szCs w:val="20"/>
                <w:color w:val="auto"/>
                <w:w w:val="98"/>
              </w:rPr>
              <w:t>172,355</w:t>
            </w:r>
          </w:p>
        </w:tc>
        <w:tc>
          <w:tcPr>
            <w:tcW w:w="1860" w:type="dxa"/>
            <w:vAlign w:val="bottom"/>
            <w:tcBorders>
              <w:bottom w:val="single" w:sz="8" w:color="auto"/>
              <w:right w:val="single" w:sz="8" w:color="auto"/>
            </w:tcBorders>
          </w:tcPr>
          <w:p>
            <w:pPr>
              <w:jc w:val="center"/>
              <w:ind w:right="25"/>
              <w:spacing w:after="0"/>
              <w:rPr>
                <w:sz w:val="20"/>
                <w:szCs w:val="20"/>
                <w:color w:val="auto"/>
              </w:rPr>
            </w:pPr>
            <w:r>
              <w:rPr>
                <w:rFonts w:ascii="Times New Roman" w:cs="Times New Roman" w:eastAsia="Times New Roman" w:hAnsi="Times New Roman"/>
                <w:sz w:val="20"/>
                <w:szCs w:val="20"/>
                <w:color w:val="auto"/>
                <w:w w:val="96"/>
              </w:rPr>
              <w:t>10.3%</w:t>
            </w:r>
          </w:p>
        </w:tc>
        <w:tc>
          <w:tcPr>
            <w:tcW w:w="0" w:type="dxa"/>
            <w:vAlign w:val="bottom"/>
          </w:tcPr>
          <w:p>
            <w:pPr>
              <w:spacing w:after="0"/>
              <w:rPr>
                <w:sz w:val="1"/>
                <w:szCs w:val="1"/>
                <w:color w:val="auto"/>
              </w:rPr>
            </w:pPr>
          </w:p>
        </w:tc>
      </w:tr>
      <w:tr>
        <w:trPr>
          <w:trHeight w:val="241"/>
        </w:trPr>
        <w:tc>
          <w:tcPr>
            <w:tcW w:w="120" w:type="dxa"/>
            <w:vAlign w:val="bottom"/>
            <w:tcBorders>
              <w:left w:val="single" w:sz="8" w:color="auto"/>
            </w:tcBorders>
            <w:shd w:val="clear" w:color="auto" w:fill="CEEEFA"/>
          </w:tcPr>
          <w:p>
            <w:pPr>
              <w:spacing w:after="0"/>
              <w:rPr>
                <w:sz w:val="20"/>
                <w:szCs w:val="20"/>
                <w:color w:val="auto"/>
              </w:rPr>
            </w:pPr>
          </w:p>
        </w:tc>
        <w:tc>
          <w:tcPr>
            <w:tcW w:w="3220" w:type="dxa"/>
            <w:vAlign w:val="bottom"/>
            <w:tcBorders>
              <w:right w:val="single" w:sz="8" w:color="auto"/>
            </w:tcBorders>
            <w:gridSpan w:val="3"/>
            <w:shd w:val="clear" w:color="auto" w:fill="CEEEFA"/>
          </w:tcPr>
          <w:p>
            <w:pPr>
              <w:spacing w:after="0" w:line="241" w:lineRule="exact"/>
              <w:rPr>
                <w:sz w:val="20"/>
                <w:szCs w:val="20"/>
                <w:color w:val="auto"/>
              </w:rPr>
            </w:pPr>
            <w:r>
              <w:rPr>
                <w:rFonts w:ascii="Times New Roman" w:cs="Times New Roman" w:eastAsia="Times New Roman" w:hAnsi="Times New Roman"/>
                <w:sz w:val="17"/>
                <w:szCs w:val="17"/>
                <w:color w:val="auto"/>
              </w:rPr>
              <w:t xml:space="preserve">GAMCO </w:t>
            </w:r>
            <w:r>
              <w:rPr>
                <w:rFonts w:ascii="Times New Roman" w:cs="Times New Roman" w:eastAsia="Times New Roman" w:hAnsi="Times New Roman"/>
                <w:sz w:val="27"/>
                <w:szCs w:val="27"/>
                <w:color w:val="auto"/>
                <w:vertAlign w:val="superscript"/>
              </w:rPr>
              <w:t>(10)</w:t>
            </w:r>
            <w:r>
              <w:rPr>
                <w:rFonts w:ascii="Times New Roman" w:cs="Times New Roman" w:eastAsia="Times New Roman" w:hAnsi="Times New Roman"/>
                <w:sz w:val="17"/>
                <w:szCs w:val="17"/>
                <w:color w:val="auto"/>
              </w:rPr>
              <w:t>One Corporate</w:t>
            </w:r>
          </w:p>
        </w:tc>
        <w:tc>
          <w:tcPr>
            <w:tcW w:w="2420" w:type="dxa"/>
            <w:vAlign w:val="bottom"/>
            <w:tcBorders>
              <w:right w:val="single" w:sz="8" w:color="auto"/>
            </w:tcBorders>
            <w:shd w:val="clear" w:color="auto" w:fill="CEEEFA"/>
          </w:tcPr>
          <w:p>
            <w:pPr>
              <w:spacing w:after="0"/>
              <w:rPr>
                <w:sz w:val="20"/>
                <w:szCs w:val="20"/>
                <w:color w:val="auto"/>
              </w:rPr>
            </w:pPr>
          </w:p>
        </w:tc>
        <w:tc>
          <w:tcPr>
            <w:tcW w:w="1840" w:type="dxa"/>
            <w:vAlign w:val="bottom"/>
            <w:tcBorders>
              <w:right w:val="single" w:sz="8" w:color="auto"/>
            </w:tcBorders>
            <w:shd w:val="clear" w:color="auto" w:fill="CEEEFA"/>
          </w:tcPr>
          <w:p>
            <w:pPr>
              <w:spacing w:after="0"/>
              <w:rPr>
                <w:sz w:val="20"/>
                <w:szCs w:val="20"/>
                <w:color w:val="auto"/>
              </w:rPr>
            </w:pPr>
          </w:p>
        </w:tc>
        <w:tc>
          <w:tcPr>
            <w:tcW w:w="60" w:type="dxa"/>
            <w:vAlign w:val="bottom"/>
            <w:shd w:val="clear" w:color="auto" w:fill="CEEEFA"/>
          </w:tcPr>
          <w:p>
            <w:pPr>
              <w:spacing w:after="0"/>
              <w:rPr>
                <w:sz w:val="20"/>
                <w:szCs w:val="20"/>
                <w:color w:val="auto"/>
              </w:rPr>
            </w:pPr>
          </w:p>
        </w:tc>
        <w:tc>
          <w:tcPr>
            <w:tcW w:w="1740" w:type="dxa"/>
            <w:vAlign w:val="bottom"/>
            <w:tcBorders>
              <w:right w:val="single" w:sz="8" w:color="auto"/>
            </w:tcBorders>
            <w:shd w:val="clear" w:color="auto" w:fill="CEEEFA"/>
          </w:tcPr>
          <w:p>
            <w:pPr>
              <w:spacing w:after="0"/>
              <w:rPr>
                <w:sz w:val="20"/>
                <w:szCs w:val="20"/>
                <w:color w:val="auto"/>
              </w:rPr>
            </w:pPr>
          </w:p>
        </w:tc>
        <w:tc>
          <w:tcPr>
            <w:tcW w:w="1860" w:type="dxa"/>
            <w:vAlign w:val="bottom"/>
            <w:tcBorders>
              <w:right w:val="single" w:sz="8" w:color="auto"/>
            </w:tcBorders>
            <w:shd w:val="clear" w:color="auto" w:fill="CEEEFA"/>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bottom w:val="single" w:sz="8" w:color="auto"/>
            </w:tcBorders>
            <w:shd w:val="clear" w:color="auto" w:fill="CEEEFA"/>
          </w:tcPr>
          <w:p>
            <w:pPr>
              <w:spacing w:after="0"/>
              <w:rPr>
                <w:sz w:val="21"/>
                <w:szCs w:val="21"/>
                <w:color w:val="auto"/>
              </w:rPr>
            </w:pPr>
          </w:p>
        </w:tc>
        <w:tc>
          <w:tcPr>
            <w:tcW w:w="3220" w:type="dxa"/>
            <w:vAlign w:val="bottom"/>
            <w:tcBorders>
              <w:bottom w:val="single" w:sz="8" w:color="auto"/>
              <w:right w:val="single" w:sz="8" w:color="auto"/>
            </w:tcBorders>
            <w:gridSpan w:val="3"/>
            <w:shd w:val="clear" w:color="auto" w:fill="CEEEFA"/>
          </w:tcPr>
          <w:p>
            <w:pPr>
              <w:spacing w:after="0"/>
              <w:rPr>
                <w:sz w:val="20"/>
                <w:szCs w:val="20"/>
                <w:color w:val="auto"/>
              </w:rPr>
            </w:pPr>
            <w:r>
              <w:rPr>
                <w:rFonts w:ascii="Times New Roman" w:cs="Times New Roman" w:eastAsia="Times New Roman" w:hAnsi="Times New Roman"/>
                <w:sz w:val="20"/>
                <w:szCs w:val="20"/>
                <w:color w:val="auto"/>
              </w:rPr>
              <w:t>CenterRye, New York 10580</w:t>
            </w:r>
          </w:p>
        </w:tc>
        <w:tc>
          <w:tcPr>
            <w:tcW w:w="2420" w:type="dxa"/>
            <w:vAlign w:val="bottom"/>
            <w:tcBorders>
              <w:bottom w:val="single" w:sz="8" w:color="auto"/>
              <w:right w:val="single" w:sz="8" w:color="auto"/>
            </w:tcBorders>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8"/>
              </w:rPr>
              <w:t>581,000</w:t>
            </w:r>
          </w:p>
        </w:tc>
        <w:tc>
          <w:tcPr>
            <w:tcW w:w="1840" w:type="dxa"/>
            <w:vAlign w:val="bottom"/>
            <w:tcBorders>
              <w:bottom w:val="single" w:sz="8" w:color="auto"/>
              <w:right w:val="single" w:sz="8" w:color="auto"/>
            </w:tcBorders>
            <w:shd w:val="clear" w:color="auto" w:fill="CEEEFA"/>
          </w:tcPr>
          <w:p>
            <w:pPr>
              <w:jc w:val="center"/>
              <w:ind w:right="41"/>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auto"/>
            </w:tcBorders>
            <w:shd w:val="clear" w:color="auto" w:fill="CEEEFA"/>
          </w:tcPr>
          <w:p>
            <w:pPr>
              <w:spacing w:after="0"/>
              <w:rPr>
                <w:sz w:val="21"/>
                <w:szCs w:val="21"/>
                <w:color w:val="auto"/>
              </w:rPr>
            </w:pPr>
          </w:p>
        </w:tc>
        <w:tc>
          <w:tcPr>
            <w:tcW w:w="1740" w:type="dxa"/>
            <w:vAlign w:val="bottom"/>
            <w:tcBorders>
              <w:bottom w:val="single" w:sz="8" w:color="auto"/>
              <w:right w:val="single" w:sz="8" w:color="auto"/>
            </w:tcBorders>
            <w:shd w:val="clear" w:color="auto" w:fill="CEEEFA"/>
          </w:tcPr>
          <w:p>
            <w:pPr>
              <w:jc w:val="center"/>
              <w:ind w:right="84"/>
              <w:spacing w:after="0"/>
              <w:rPr>
                <w:sz w:val="20"/>
                <w:szCs w:val="20"/>
                <w:color w:val="auto"/>
              </w:rPr>
            </w:pPr>
            <w:r>
              <w:rPr>
                <w:rFonts w:ascii="Times New Roman" w:cs="Times New Roman" w:eastAsia="Times New Roman" w:hAnsi="Times New Roman"/>
                <w:sz w:val="20"/>
                <w:szCs w:val="20"/>
                <w:color w:val="auto"/>
                <w:w w:val="98"/>
              </w:rPr>
              <w:t>126,060</w:t>
            </w:r>
          </w:p>
        </w:tc>
        <w:tc>
          <w:tcPr>
            <w:tcW w:w="1860" w:type="dxa"/>
            <w:vAlign w:val="bottom"/>
            <w:tcBorders>
              <w:bottom w:val="single" w:sz="8" w:color="auto"/>
              <w:right w:val="single" w:sz="8" w:color="auto"/>
            </w:tcBorders>
            <w:shd w:val="clear" w:color="auto" w:fill="CEEEFA"/>
          </w:tcPr>
          <w:p>
            <w:pPr>
              <w:jc w:val="center"/>
              <w:ind w:right="25"/>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173"/>
        </w:trPr>
        <w:tc>
          <w:tcPr>
            <w:tcW w:w="120" w:type="dxa"/>
            <w:vAlign w:val="bottom"/>
            <w:tcBorders>
              <w:left w:val="single" w:sz="8" w:color="auto"/>
            </w:tcBorders>
          </w:tcPr>
          <w:p>
            <w:pPr>
              <w:spacing w:after="0"/>
              <w:rPr>
                <w:sz w:val="15"/>
                <w:szCs w:val="15"/>
                <w:color w:val="auto"/>
              </w:rPr>
            </w:pPr>
          </w:p>
        </w:tc>
        <w:tc>
          <w:tcPr>
            <w:tcW w:w="3220" w:type="dxa"/>
            <w:vAlign w:val="bottom"/>
            <w:tcBorders>
              <w:right w:val="single" w:sz="8" w:color="auto"/>
            </w:tcBorders>
            <w:gridSpan w:val="3"/>
          </w:tcPr>
          <w:p>
            <w:pPr>
              <w:spacing w:after="0" w:line="173" w:lineRule="exact"/>
              <w:rPr>
                <w:sz w:val="20"/>
                <w:szCs w:val="20"/>
                <w:color w:val="auto"/>
              </w:rPr>
            </w:pPr>
            <w:r>
              <w:rPr>
                <w:rFonts w:ascii="Times New Roman" w:cs="Times New Roman" w:eastAsia="Times New Roman" w:hAnsi="Times New Roman"/>
                <w:sz w:val="20"/>
                <w:szCs w:val="20"/>
                <w:color w:val="auto"/>
              </w:rPr>
              <w:t>All Directors and executive officers as</w:t>
            </w:r>
          </w:p>
        </w:tc>
        <w:tc>
          <w:tcPr>
            <w:tcW w:w="242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tcBorders>
              <w:left w:val="single" w:sz="8" w:color="auto"/>
              <w:bottom w:val="single" w:sz="8" w:color="auto"/>
            </w:tcBorders>
          </w:tcPr>
          <w:p>
            <w:pPr>
              <w:spacing w:after="0"/>
              <w:rPr>
                <w:sz w:val="21"/>
                <w:szCs w:val="21"/>
                <w:color w:val="auto"/>
              </w:rPr>
            </w:pPr>
          </w:p>
        </w:tc>
        <w:tc>
          <w:tcPr>
            <w:tcW w:w="32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a group (13 persons)</w:t>
            </w:r>
          </w:p>
        </w:tc>
        <w:tc>
          <w:tcPr>
            <w:tcW w:w="2420" w:type="dxa"/>
            <w:vAlign w:val="bottom"/>
            <w:tcBorders>
              <w:bottom w:val="single" w:sz="8" w:color="auto"/>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7,100,815</w:t>
            </w:r>
          </w:p>
        </w:tc>
        <w:tc>
          <w:tcPr>
            <w:tcW w:w="1840" w:type="dxa"/>
            <w:vAlign w:val="bottom"/>
            <w:tcBorders>
              <w:bottom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rPr>
              <w:t>30.1%</w:t>
            </w:r>
          </w:p>
        </w:tc>
        <w:tc>
          <w:tcPr>
            <w:tcW w:w="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center"/>
              <w:ind w:right="84"/>
              <w:spacing w:after="0"/>
              <w:rPr>
                <w:sz w:val="20"/>
                <w:szCs w:val="20"/>
                <w:color w:val="auto"/>
              </w:rPr>
            </w:pPr>
            <w:r>
              <w:rPr>
                <w:rFonts w:ascii="Times New Roman" w:cs="Times New Roman" w:eastAsia="Times New Roman" w:hAnsi="Times New Roman"/>
                <w:sz w:val="20"/>
                <w:szCs w:val="20"/>
                <w:color w:val="auto"/>
                <w:w w:val="98"/>
              </w:rPr>
              <w:t>185,100</w:t>
            </w:r>
          </w:p>
        </w:tc>
        <w:tc>
          <w:tcPr>
            <w:tcW w:w="1860" w:type="dxa"/>
            <w:vAlign w:val="bottom"/>
            <w:tcBorders>
              <w:bottom w:val="single" w:sz="8" w:color="auto"/>
              <w:right w:val="single" w:sz="8" w:color="auto"/>
            </w:tcBorders>
          </w:tcPr>
          <w:p>
            <w:pPr>
              <w:jc w:val="center"/>
              <w:ind w:right="25"/>
              <w:spacing w:after="0"/>
              <w:rPr>
                <w:sz w:val="20"/>
                <w:szCs w:val="20"/>
                <w:color w:val="auto"/>
              </w:rPr>
            </w:pPr>
            <w:r>
              <w:rPr>
                <w:rFonts w:ascii="Times New Roman" w:cs="Times New Roman" w:eastAsia="Times New Roman" w:hAnsi="Times New Roman"/>
                <w:sz w:val="20"/>
                <w:szCs w:val="20"/>
                <w:color w:val="auto"/>
                <w:w w:val="96"/>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1300" w:right="20" w:hanging="644"/>
        <w:spacing w:after="0" w:line="239" w:lineRule="auto"/>
        <w:tabs>
          <w:tab w:leader="none" w:pos="13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ownership is determined based on 21,036,670 shares of Class A Stock and 1,680,590 shares of Class B stock outstanding as of March 27, 2026. Beneficial ownership has been determined in accordance with SEC rules. Shares subject to options, RSUs or PRSUs that are currently exercisable or that have vested, or that will become exercisable or have vested within 60 days, following the date as of which this information is provided, are deemed to be beneficially owned by the person holding the options, RSUs or PRSUs and are deemed to be outstanding in computing the percentage ownership of that person, but not in computing the percentage ownership of any other person.</w:t>
      </w:r>
    </w:p>
    <w:p>
      <w:pPr>
        <w:spacing w:after="0" w:line="126" w:lineRule="exact"/>
        <w:rPr>
          <w:rFonts w:ascii="Times New Roman" w:cs="Times New Roman" w:eastAsia="Times New Roman" w:hAnsi="Times New Roman"/>
          <w:sz w:val="15"/>
          <w:szCs w:val="15"/>
          <w:color w:val="auto"/>
        </w:rPr>
      </w:pPr>
    </w:p>
    <w:p>
      <w:pPr>
        <w:jc w:val="both"/>
        <w:ind w:left="1300" w:right="40" w:hanging="644"/>
        <w:spacing w:after="0" w:line="252" w:lineRule="auto"/>
        <w:tabs>
          <w:tab w:leader="none" w:pos="13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A Stock shown includes 875,082 shares held directly and 210,005 shares subject to stock options. The Class A Stock shown also includes 84,956 shares held by the James J. Cotter Education Trust #1. Margaret Cotter is sole Trustee of the James J. Cotter Education Trust #1 and, as such, is deemed to beneficially own such shares. The Class A Stock shown includes 326,800 shares of Class A Stock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9" w:name="page20"/>
    <w:bookmarkEnd w:id="19"/>
    <w:p>
      <w:pPr>
        <w:jc w:val="both"/>
        <w:ind w:left="1300"/>
        <w:spacing w:after="0" w:line="239" w:lineRule="auto"/>
        <w:rPr>
          <w:sz w:val="20"/>
          <w:szCs w:val="20"/>
          <w:color w:val="auto"/>
        </w:rPr>
      </w:pPr>
      <w:r>
        <w:rPr>
          <w:rFonts w:ascii="Times New Roman" w:cs="Times New Roman" w:eastAsia="Times New Roman" w:hAnsi="Times New Roman"/>
          <w:sz w:val="15"/>
          <w:szCs w:val="15"/>
          <w:color w:val="auto"/>
        </w:rPr>
        <w:t>are part of the Cotter Estate. As Co-Executors of the Cotter Estate, Margaret. Cotter and Ellen M. Cotter are each deemed to beneficially own such shares. The shares of Class A Stock shown includes 1,163,649 shares held by the Cotter Living Trust. See footnote 5 to this table for information regarding beneficial ownership of the shares held by the Cotter Estate and/or the Cotter Living Trust. As Co-Trustees of the Living Trust, Margaret Cotter and Ellen Cotter are each</w:t>
      </w:r>
    </w:p>
    <w:p>
      <w:pPr>
        <w:spacing w:after="0" w:line="1"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15"/>
          <w:szCs w:val="15"/>
          <w:color w:val="auto"/>
        </w:rPr>
        <w:t>deemed to beneficially own such shares. The Class A Stock shown also includes 102,751 shares held by the Cotter Foundation, of which Margaret Cotter and Ellen M. Cotter are Co-Trustees and accordingly each deemed a beneficial owner.</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The Class B Stock shown includes 342,266 shares owned directly by Margaret Cotter, 100,000 of shares of Class B stock held by the Cotter Estate, 307,166</w:t>
      </w:r>
    </w:p>
    <w:p>
      <w:pPr>
        <w:spacing w:after="0" w:line="19"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15"/>
          <w:szCs w:val="15"/>
          <w:color w:val="auto"/>
        </w:rPr>
        <w:t>shares owned by Ellen M. Cotter but as to which Ellen M. Cotter has granted sole voting power and, pending negotiation and execution of a definitive stockholders agreement between them, shared dispositive power to Margaret Cotter, and 409,555 shares held of record by the Cotter Estate and/or the Cotter Living Trust, approved for distribution to a to-be-formed trust for the benefit of the children of Margaret Cotter and over which Margaret Cotter has sole voting and dispositive power.</w:t>
      </w:r>
    </w:p>
    <w:p>
      <w:pPr>
        <w:spacing w:after="0" w:line="141"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5"/>
          <w:szCs w:val="15"/>
          <w:color w:val="auto"/>
        </w:rPr>
        <w:t>Margaret Cotter disclaims beneficial ownership of the shares held by the James J. Cotter Education Trust #1, the Cotter Foundation, the Cotter Estate and the Cotter Living Trust, except to the extent of her pecuniary interest, if any, in such shares.</w:t>
      </w:r>
    </w:p>
    <w:p>
      <w:pPr>
        <w:spacing w:after="0" w:line="124" w:lineRule="exact"/>
        <w:rPr>
          <w:sz w:val="20"/>
          <w:szCs w:val="20"/>
          <w:color w:val="auto"/>
        </w:rPr>
      </w:pPr>
    </w:p>
    <w:p>
      <w:pPr>
        <w:jc w:val="both"/>
        <w:ind w:left="1300" w:hanging="644"/>
        <w:spacing w:after="0" w:line="236" w:lineRule="auto"/>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A Stock shown includes 1,066,822 shares held directly and 870,749 shares subject to stock options. The Class A Stock shown also includes 102,751 shares held by the Cotter Foundation of which Ellen M. Cotter and Margaret Cotter are Co-Trustees and accordingly, are each deemed to own such shares. The Class A Stock shown also includes 326,800 shares that are part of the Cotter Estate. As Co- Executors of the Cotter Estate, Ellen M. Cotter and Margaret Cotter are each deemed to beneficially own such shares. The shares of Class A Stock shown also include 1,163,649 shares held by the Cotter Living Trust. See footnote 5 to this table for information regarding beneficial ownership of the shares held by the Cotter Estate and the Cotter Living Trust. As Co-Trustees of the Cotter Living Trust, Ellen M. Cotter and Margaret Cotter are deemed to beneficially own such shares.</w:t>
      </w:r>
    </w:p>
    <w:p>
      <w:pPr>
        <w:spacing w:after="0" w:line="129" w:lineRule="exact"/>
        <w:rPr>
          <w:rFonts w:ascii="Times New Roman" w:cs="Times New Roman" w:eastAsia="Times New Roman" w:hAnsi="Times New Roman"/>
          <w:sz w:val="15"/>
          <w:szCs w:val="15"/>
          <w:color w:val="auto"/>
        </w:rPr>
      </w:pPr>
    </w:p>
    <w:p>
      <w:pPr>
        <w:jc w:val="both"/>
        <w:ind w:left="130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Stock shown includes (i) 50,000 shares owned directly by Ellen M. Cotter, (ii) 100,000 of shares of Class B Stock held by the Cotter Estate and (iii) 307,166 shares of Class B Stock of which Ms. Margaret Cotter has sole voting power and, pending the negotiation and execution of a definitive stockholders agreement between them, shared dispositive power over such shares even though she retains all pecuniary interest in such shares.</w:t>
      </w:r>
    </w:p>
    <w:p>
      <w:pPr>
        <w:spacing w:after="0" w:line="118" w:lineRule="exact"/>
        <w:rPr>
          <w:rFonts w:ascii="Times New Roman" w:cs="Times New Roman" w:eastAsia="Times New Roman" w:hAnsi="Times New Roman"/>
          <w:sz w:val="15"/>
          <w:szCs w:val="15"/>
          <w:color w:val="auto"/>
        </w:rPr>
      </w:pPr>
    </w:p>
    <w:p>
      <w:pPr>
        <w:ind w:left="130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Ellen M. Cotter disclaims beneficial ownership of the shares held by the Cotter Foundation, the Cotter Estate and the Cotter Living Trust, except to the extent of her pecuniary interest, if any, in such shares.</w:t>
      </w:r>
    </w:p>
    <w:p>
      <w:pPr>
        <w:spacing w:after="0" w:line="124" w:lineRule="exact"/>
        <w:rPr>
          <w:rFonts w:ascii="Times New Roman" w:cs="Times New Roman" w:eastAsia="Times New Roman" w:hAnsi="Times New Roman"/>
          <w:sz w:val="15"/>
          <w:szCs w:val="15"/>
          <w:color w:val="auto"/>
        </w:rPr>
      </w:pPr>
    </w:p>
    <w:p>
      <w:pPr>
        <w:ind w:left="1300" w:hanging="644"/>
        <w:spacing w:after="0"/>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A Non-Voting Common Stock shown includes 78,148 shares held directly and 147,603 shares subject to stock options.</w:t>
      </w:r>
    </w:p>
    <w:p>
      <w:pPr>
        <w:spacing w:after="0" w:line="151" w:lineRule="exact"/>
        <w:rPr>
          <w:rFonts w:ascii="Times New Roman" w:cs="Times New Roman" w:eastAsia="Times New Roman" w:hAnsi="Times New Roman"/>
          <w:sz w:val="15"/>
          <w:szCs w:val="15"/>
          <w:color w:val="auto"/>
        </w:rPr>
      </w:pPr>
    </w:p>
    <w:p>
      <w:pPr>
        <w:ind w:left="1300" w:hanging="644"/>
        <w:spacing w:after="0"/>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A Non-Voting Common Stock shown includes 62,630 shares held directly and 147,603 shares subject to stock options.</w:t>
      </w:r>
    </w:p>
    <w:p>
      <w:pPr>
        <w:spacing w:after="0" w:line="165" w:lineRule="exact"/>
        <w:rPr>
          <w:rFonts w:ascii="Times New Roman" w:cs="Times New Roman" w:eastAsia="Times New Roman" w:hAnsi="Times New Roman"/>
          <w:sz w:val="15"/>
          <w:szCs w:val="15"/>
          <w:color w:val="auto"/>
        </w:rPr>
      </w:pPr>
    </w:p>
    <w:p>
      <w:pPr>
        <w:ind w:left="1300" w:hanging="644"/>
        <w:spacing w:after="0"/>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A Non-Voting Common Stock shown includes 68,005 shares held directly and 147,603 shares subject to stock options.</w:t>
      </w:r>
    </w:p>
    <w:p>
      <w:pPr>
        <w:spacing w:after="0" w:line="151" w:lineRule="exact"/>
        <w:rPr>
          <w:rFonts w:ascii="Times New Roman" w:cs="Times New Roman" w:eastAsia="Times New Roman" w:hAnsi="Times New Roman"/>
          <w:sz w:val="15"/>
          <w:szCs w:val="15"/>
          <w:color w:val="auto"/>
        </w:rPr>
      </w:pPr>
    </w:p>
    <w:p>
      <w:pPr>
        <w:ind w:left="1300" w:hanging="644"/>
        <w:spacing w:after="0"/>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A Stock shown includes 148,259 shares held directly and 213,819 shares subject to stock options.</w:t>
      </w:r>
    </w:p>
    <w:p>
      <w:pPr>
        <w:spacing w:after="0" w:line="165" w:lineRule="exact"/>
        <w:rPr>
          <w:rFonts w:ascii="Times New Roman" w:cs="Times New Roman" w:eastAsia="Times New Roman" w:hAnsi="Times New Roman"/>
          <w:sz w:val="15"/>
          <w:szCs w:val="15"/>
          <w:color w:val="auto"/>
        </w:rPr>
      </w:pPr>
    </w:p>
    <w:p>
      <w:pPr>
        <w:jc w:val="both"/>
        <w:ind w:left="1300" w:hanging="644"/>
        <w:spacing w:after="0" w:line="235" w:lineRule="auto"/>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September 19, 2022, (i) subject to the final administration of the Cotter Estate, 327,808 shares of Class B Stock held of record by the Cotter Estate will be distributed to a to-be-formed trust for the benefit of the children of Margaret Cotter, (ii) 307,166 shares of the Class B Stock held by the Cotter Living Trust were conveyed to Ellen M. Cotter, (iii) 307,166 shares of the Class B Stock held by the Cotter Living Trust were conveyed to Margaret Cotter, and (iv) 81,747 shares of the Class B Stock held by the Cotter Living Trust were approved for distribution to the to-be-formed trust for the benefit of the children of Margaret Cotter. As a result of these transactions, the table sets forth only the residual 100,000 shares of such Class B Stock as beneficially owned by the Cotter Estate and no Class B Stock as beneficially owned by the Cotter Living Trust. Margaret Cotter and Ellen M. Cotter continue to have shared voting and dispositive power over the 100,000 shares of Class B Stock beneficially owned by the Estate. Pursuant to the terms of the settlement agreement, Margaret Cotter now has sole voting and sole dispositive power over the 327,808 shares of Class B Stock held by the Cotter Estate and the 81,747 shares of Class B Stock held by the Cotter Living Trust that are to be distributed to the to-be-formed trust for her children.</w:t>
      </w:r>
    </w:p>
    <w:p>
      <w:pPr>
        <w:spacing w:after="0" w:line="126" w:lineRule="exact"/>
        <w:rPr>
          <w:rFonts w:ascii="Times New Roman" w:cs="Times New Roman" w:eastAsia="Times New Roman" w:hAnsi="Times New Roman"/>
          <w:sz w:val="15"/>
          <w:szCs w:val="15"/>
          <w:color w:val="auto"/>
        </w:rPr>
      </w:pPr>
    </w:p>
    <w:p>
      <w:pPr>
        <w:ind w:left="1300" w:hanging="644"/>
        <w:spacing w:after="0"/>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Mr. Cuban's Schedule 13D/A filed with the SEC on July 5, 2023 and his Form 4 filed with the SEC on September 15, 2023.</w:t>
      </w:r>
    </w:p>
    <w:p>
      <w:pPr>
        <w:spacing w:after="0" w:line="151" w:lineRule="exact"/>
        <w:rPr>
          <w:rFonts w:ascii="Times New Roman" w:cs="Times New Roman" w:eastAsia="Times New Roman" w:hAnsi="Times New Roman"/>
          <w:sz w:val="15"/>
          <w:szCs w:val="15"/>
          <w:color w:val="auto"/>
        </w:rPr>
      </w:pPr>
    </w:p>
    <w:p>
      <w:pPr>
        <w:jc w:val="both"/>
        <w:ind w:left="1300" w:hanging="644"/>
        <w:spacing w:after="0" w:line="244" w:lineRule="auto"/>
        <w:tabs>
          <w:tab w:leader="none" w:pos="1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GAMCO Investors, Inc.’s Schedule 13D/A filed with the SEC on November 27, 2024, on behalf of Mario J. Gabelli (“Mario Gabelli”) and various entities which Mario Gabelli directly or indirectly controls or for which he acts as Chief Investment Officer, Mario Gabelli holds 119,530 shares of Class B Voting Common Stock. The Company has reason to believe that Mr. Gabelli also holds an aggregate amount of 565,600 shares of Class A Non-Voting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940"/>
        <w:spacing w:after="0" w:line="469" w:lineRule="auto"/>
        <w:rPr>
          <w:sz w:val="20"/>
          <w:szCs w:val="20"/>
          <w:color w:val="auto"/>
        </w:rPr>
      </w:pPr>
      <w:r>
        <w:rPr>
          <w:rFonts w:ascii="Times New Roman" w:cs="Times New Roman" w:eastAsia="Times New Roman" w:hAnsi="Times New Roman"/>
          <w:sz w:val="19"/>
          <w:szCs w:val="19"/>
          <w:b w:val="1"/>
          <w:bCs w:val="1"/>
          <w:color w:val="auto"/>
        </w:rPr>
        <w:t>Item 13 – Certain Relationships and Related Transactions, and Director Independence CERTAIN RELATIONSHIPS AND RELATED PARTY TRANSACTIONS</w:t>
      </w:r>
    </w:p>
    <w:p>
      <w:pPr>
        <w:spacing w:after="0" w:line="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The members of our Audit Committee are Directors Douglas McEachern, who serves as Chairperson, Guy Adams and Dr. Judy Codding.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u w:val="single" w:color="auto"/>
          <w:color w:val="auto"/>
        </w:rPr>
        <w:t>Acquisition of Sutton Hill Associates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2025, we determined to wind up our long standing master lease agreement with Sutton Hill Capital, LLC (“SHC”) so as to give us</w:t>
      </w:r>
    </w:p>
    <w:p>
      <w:pPr>
        <w:spacing w:after="0" w:line="20" w:lineRule="exact"/>
        <w:rPr>
          <w:sz w:val="20"/>
          <w:szCs w:val="20"/>
          <w:color w:val="auto"/>
        </w:rPr>
      </w:pPr>
    </w:p>
    <w:p>
      <w:pPr>
        <w:jc w:val="both"/>
        <w:ind w:firstLine="8"/>
        <w:spacing w:after="0" w:line="224" w:lineRule="auto"/>
        <w:tabs>
          <w:tab w:leader="none" w:pos="24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ownership of our Cinema 1,2&amp;3 property and (ii) legal, as opposed to only beneficial, title to the ground lessee’s interest in the land and real property improvements constituting our Village East Property in New York City, and to refinance certain short term debt with long term debt. Since the inception of the master lease, SHC has been owned by Sutton Hill Associates, a California general partnership (“SHA”), owned in equal parts by a third party and, initially, by James J. Cotter and now by the Cotter Estate (the “SHA General Partners”). On September 30, 2025, we entered into a purchase and sale agreement with SHA and the SHA General Parters to acquire all of the general partnership interests in SHA for $1.00 cash and the guaranty of certain long term third party indebtedness owed by SHA fair valued at $7.6 million. That transaction closed on December 19, 2025. Through our acquisition of SHA, we acquired SHC, and (a) SHC’s 25% interest in Sutton Hill Properties, LLC (“SHP”), the owner of the land and improvements constituting our Cinema 1,2&amp;3, property and (b) SHC’s ground lessee interest in the land and improvements constituting our Village East Theatre property (the “Village East Ground Lessee Interest”). At the time of the acquisition, we already owned the other 75% interest in SHP and the sub ground lease and personal property elements of our Village East Theatre property and had exercised, but not closed on, our option to acquire for $5.9 million the Village East Ground Lessee Interest. The $5.9 million option purchase price was at that time carried as a short-term liability.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 xml:space="preserve">For additional information see </w:t>
      </w:r>
      <w:r>
        <w:rPr>
          <w:rFonts w:ascii="Times New Roman" w:cs="Times New Roman" w:eastAsia="Times New Roman" w:hAnsi="Times New Roman"/>
          <w:sz w:val="20"/>
          <w:szCs w:val="20"/>
          <w:i w:val="1"/>
          <w:iCs w:val="1"/>
          <w:color w:val="auto"/>
        </w:rPr>
        <w:t>Part II, Item 8 – Financial Statements and Supplementary Data—Notes to Consolidated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Statements - Note 21 </w:t>
      </w:r>
      <w:r>
        <w:rPr>
          <w:rFonts w:ascii="Times New Roman" w:cs="Times New Roman" w:eastAsia="Times New Roman" w:hAnsi="Times New Roman"/>
          <w:sz w:val="20"/>
          <w:szCs w:val="20"/>
          <w:color w:val="auto"/>
        </w:rPr>
        <w:t>in the 2025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Live Theatre Play Investment</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From time to time, our officers and Directors may invest in plays that license our live theatres. The play </w:t>
      </w:r>
      <w:r>
        <w:rPr>
          <w:rFonts w:ascii="Times New Roman" w:cs="Times New Roman" w:eastAsia="Times New Roman" w:hAnsi="Times New Roman"/>
          <w:sz w:val="20"/>
          <w:szCs w:val="20"/>
          <w:i w:val="1"/>
          <w:iCs w:val="1"/>
          <w:color w:val="auto"/>
        </w:rPr>
        <w:t>STOMP,</w:t>
      </w:r>
      <w:r>
        <w:rPr>
          <w:rFonts w:ascii="Times New Roman" w:cs="Times New Roman" w:eastAsia="Times New Roman" w:hAnsi="Times New Roman"/>
          <w:sz w:val="20"/>
          <w:szCs w:val="20"/>
          <w:color w:val="auto"/>
        </w:rPr>
        <w:t xml:space="preserve"> played in our Orpheum Theatre prior to the time we acquired the theatre in 2001, until its final show on January 8, 2023. The Cotter Estate and a third party together own an approximately 5% interest in that play, an interest that they have held since prior to our acquisition of the theatre.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Review, Approval or Ratification of Transactions with Related Persons</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Our Audit Committee has adopted a written charter, which includes responsibility for approval of “Related Party Transactions.” Under its charter, our Audit Committee performs the functions of the “Conflicts Committee” of our Board and is delegated responsibility and authority by our Board to review, consider and negotiate, and to approve or disapprove on behalf of our Company the terms and conditions of any and all Related Party Transactions (defined below) with the same effect as though such actions had been taken by our full Board. Any</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such matter requires no further action by our Board in order to be binding upon our Company, except in the case of matters that, under applicable Nevada law, cannot be delegated to a committee of our Board and must be determined by our full Board. In those cases where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 of our Board cannot be delegated, the Audit Committee nevertheless provides its recommendation to our full Board.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our Audit Committee's Charter, the term "Related Party Transaction" means any transaction or arrangement between our</w:t>
      </w:r>
    </w:p>
    <w:p>
      <w:pPr>
        <w:spacing w:after="0" w:line="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Company on one hand, and on the other hand (i) any one or more directors, executive officers or stockholders holding more than 5% of the voting power of our Company (or any spouse, parent, sibling or heir of any such individual), or (ii) any one or more entities under common</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control with any one of such persons, or (iii) any entity in which one or more such persons holds more than a 10% interest. Related Party Transactions do not include matters related to employment or employee compensation-related issues.</w:t>
      </w:r>
    </w:p>
    <w:p>
      <w:pPr>
        <w:spacing w:after="0" w:line="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The charter provides that our Audit Committee review transactions subject to the policy and determines whether or not to approve or ratify those transactions. In doing so, our Audit Committee considers, among other factors,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0"/>
          <w:szCs w:val="20"/>
          <w:color w:val="auto"/>
        </w:rPr>
        <w:t>the approximate dollar value of the amount involved in the transaction and whether the transaction is material to us;</w:t>
      </w:r>
    </w:p>
    <w:p>
      <w:pPr>
        <w:spacing w:after="0" w:line="22" w:lineRule="exact"/>
        <w:rPr>
          <w:sz w:val="20"/>
          <w:szCs w:val="20"/>
          <w:color w:val="auto"/>
        </w:rPr>
      </w:pPr>
    </w:p>
    <w:p>
      <w:pPr>
        <w:ind w:left="980"/>
        <w:spacing w:after="0" w:line="225" w:lineRule="auto"/>
        <w:rPr>
          <w:sz w:val="20"/>
          <w:szCs w:val="20"/>
          <w:color w:val="auto"/>
        </w:rPr>
      </w:pPr>
      <w:r>
        <w:rPr>
          <w:rFonts w:ascii="Times New Roman" w:cs="Times New Roman" w:eastAsia="Times New Roman" w:hAnsi="Times New Roman"/>
          <w:sz w:val="20"/>
          <w:szCs w:val="20"/>
          <w:color w:val="auto"/>
        </w:rPr>
        <w:t>whether the terms are fair to us, have resulted from arm's length negotiations and are on terms at least as favorable as would apply if the transaction did not involve a related person;</w:t>
      </w:r>
    </w:p>
    <w:p>
      <w:pPr>
        <w:ind w:left="660"/>
        <w:spacing w:after="0"/>
        <w:rPr>
          <w:sz w:val="20"/>
          <w:szCs w:val="20"/>
          <w:color w:val="auto"/>
        </w:rPr>
      </w:pPr>
      <w:r>
        <w:rPr>
          <w:rFonts w:ascii="Times New Roman" w:cs="Times New Roman" w:eastAsia="Times New Roman" w:hAnsi="Times New Roman"/>
          <w:sz w:val="20"/>
          <w:szCs w:val="20"/>
          <w:color w:val="auto"/>
        </w:rPr>
        <w:t>the purpose of, and the potential benefits to us of, the transaction;</w:t>
      </w:r>
    </w:p>
    <w:p>
      <w:pPr>
        <w:ind w:left="660"/>
        <w:spacing w:after="0"/>
        <w:rPr>
          <w:sz w:val="20"/>
          <w:szCs w:val="20"/>
          <w:color w:val="auto"/>
        </w:rPr>
      </w:pPr>
      <w:r>
        <w:rPr>
          <w:rFonts w:ascii="Times New Roman" w:cs="Times New Roman" w:eastAsia="Times New Roman" w:hAnsi="Times New Roman"/>
          <w:sz w:val="20"/>
          <w:szCs w:val="20"/>
          <w:color w:val="auto"/>
        </w:rPr>
        <w:t>whether the transaction was undertaken in our ordinary course of business;</w:t>
      </w:r>
    </w:p>
    <w:p>
      <w:pPr>
        <w:ind w:left="980"/>
        <w:spacing w:after="0" w:line="232" w:lineRule="auto"/>
        <w:rPr>
          <w:sz w:val="20"/>
          <w:szCs w:val="20"/>
          <w:color w:val="auto"/>
        </w:rPr>
      </w:pPr>
      <w:r>
        <w:rPr>
          <w:rFonts w:ascii="Times New Roman" w:cs="Times New Roman" w:eastAsia="Times New Roman" w:hAnsi="Times New Roman"/>
          <w:sz w:val="20"/>
          <w:szCs w:val="20"/>
          <w:color w:val="auto"/>
        </w:rPr>
        <w:t>the related person's interest in the transaction, including the approximate dollar value of the amount of the related person's interest in the transaction without regard to the amount of any profit or loss;</w:t>
      </w:r>
    </w:p>
    <w:p>
      <w:pPr>
        <w:ind w:left="660"/>
        <w:spacing w:after="0" w:line="225" w:lineRule="auto"/>
        <w:rPr>
          <w:sz w:val="20"/>
          <w:szCs w:val="20"/>
          <w:color w:val="auto"/>
        </w:rPr>
      </w:pPr>
      <w:r>
        <w:rPr>
          <w:rFonts w:ascii="Times New Roman" w:cs="Times New Roman" w:eastAsia="Times New Roman" w:hAnsi="Times New Roman"/>
          <w:sz w:val="20"/>
          <w:szCs w:val="20"/>
          <w:color w:val="auto"/>
        </w:rPr>
        <w:t>required public disclosure, if any; and</w:t>
      </w:r>
    </w:p>
    <w:p>
      <w:pPr>
        <w:ind w:left="980"/>
        <w:spacing w:after="0" w:line="236" w:lineRule="auto"/>
        <w:rPr>
          <w:sz w:val="20"/>
          <w:szCs w:val="20"/>
          <w:color w:val="auto"/>
        </w:rPr>
      </w:pPr>
      <w:r>
        <w:rPr>
          <w:rFonts w:ascii="Times New Roman" w:cs="Times New Roman" w:eastAsia="Times New Roman" w:hAnsi="Times New Roman"/>
          <w:sz w:val="20"/>
          <w:szCs w:val="20"/>
          <w:color w:val="auto"/>
        </w:rPr>
        <w:t>any other information regarding the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Director Independence and Board Oversight Structure</w:t>
      </w:r>
    </w:p>
    <w:p>
      <w:pPr>
        <w:spacing w:after="0" w:line="20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Our Company has elected to take advantage of the “controlled company” exemption under applicable listing rules of the Nasdaq Capital Stock Market (the “Nasdaq Listing Rules”). Accordingly, our Company is exempted from the requirement to have a board of</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directors composed of at least a majority of independent directors, as that term is defined in the Nasdaq Listing Rules and SEC Rules (“Independent Directors”) and to have an independent nominating committee and independent Compensation Committee. Nevertheless, our Board has for many years had a majority of Independent Directors and expects to nominate a majority of Independent Directors for election to our Board this year. In determining who is an Independent Director, we follow the definition in section 5605(a)(2) of the Nasdaq Listing</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Rules. Under such rules, we consider the following directors to be independent: Guy Adams, Dr. Judy Codding and Douglas McEachern. Our Board annually reviews the independence of our directors.</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We currently have an Audit Committee and a Compensation Committee; each composed entirely of Independent Directors. Historically, our Lead Independent Director chairs meetings of the Independent Directors (typically held as a separate part of board meetings) and acts as liaison between our Chair, Vice-Chair and our Independent Directors.</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We also currently have a four-member Executive Committee composed of our Chair, Vice-Chair, our Lead Technology and Cyber Risk Director (Guy W. Adams) and Dr. Judy Codding. As a consequence of this structure, the concurrence of at least one non-management member of the Executive Committee is required in order for the Executive Committee to take action.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Board has adopted (and updated as appropriate) the following: (i) a charter for our Compensation Committee, (ii) a charter for</w:t>
      </w:r>
    </w:p>
    <w:p>
      <w:pPr>
        <w:spacing w:after="0" w:line="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our Audit Committee, (iii) a Code of Business Conduct and Ethics, (iv) a Supplemental Insider Trading Policy restricting trading in our stock by our Directors and executive officers, (v) an Anti-Discrimination, Anti-Harassment and Anti-Bullying policy, (vi) a Whistleblower Policy,</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and (vii) a Stock Ownership Policy, setting out minimum stock ownership levels for our directors and senior executives.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color w:val="auto"/>
        </w:rPr>
        <w:t>In recognition of the special risks involved with technology and cyber security, Director Adams serves as our Lead Technology and Cyber Risk Director and Board’s liaison with our Chief Executive Officer (“CEO”), Chief Financial Officer (“CFO”), Chief Information Officer and General Counsel in connection with the assessment of our Company’s technology and cyber security needs and the implementation of appropriate policies and procedures to meet those needs. He ensures that relevant information is brought to our Board, and coordinates the timely presentation of such information to, and facilitates the consideration of such information by, all directors. He also</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coordinates with our management timely and appropriate director education with respect to such matters to enhance director understanding of the issues involved and the options available to our Company. In preparation for this role, Director Adams, in 2018, completed the Cyber-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 Oversight course presented by the National Association of Corporate Directors.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We believe that our Directors bring a broad range of leadership experience to our Company and regularly contribute to the thoughtful discussion involved in effectively overseeing the business and affairs of our Company. We believe that all Board members are well-engaged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in their responsibilities and that all Board members express their views and consider the opinions expressed by other Directors. Our Independent Directors are involved in the leadership structure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20"/>
          <w:szCs w:val="20"/>
          <w:color w:val="auto"/>
        </w:rPr>
        <w:t>by serving on our Executive Committee, our Audit Committee and our Compensation Committee, each of which has a separate independent Chair. Nominations to our Board for the Annual Meeting will be made by our entire Board.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 Principal Accounting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Principal Accounting Fees for Professional Services Rendered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independent public accountants, Grant Thornton LLP, have audited our financial statements for the fiscal year ended</w:t>
      </w:r>
    </w:p>
    <w:p>
      <w:pPr>
        <w:spacing w:after="0" w:line="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December 31, 2025, and are expected to have a representative present at the 2026 Annual Meeting of Stockholders, who will have the opportunity to make a statement if he or she desires to do so and is expected to be available to respond to appropriate questions.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Audit Fees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aggregate fees for professional services for the audit of our financial statements, audit of internal controls related to the</w:t>
      </w:r>
    </w:p>
    <w:p>
      <w:pPr>
        <w:spacing w:after="0" w:line="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Sarbanes-Oxley Act, and the reviews of the financial statements included in our Form 10-K and Forms 10-Q provided by Grant Thornton LLP for 2025 and 2024 was approximately $1,351,490 and $1,440,000,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Audit-Related Fees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 Thornton LLP did not provide us with any audit related services for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Tax Fees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 Thornton LLP did not provide us with any professional services for tax compliance, tax advice, or tax planning in 2025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All Other Fees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 Thornton LLP did not provide us with any products or services for 2025 or 2024, other than as set forth above.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Pre-Approval Policies and Procedures</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Our Audit Committee must pre-approve, to the extent required by applicable law, all audit services and permissible non-audit services provided by our independent registered public accounting firm, except for any de minimis non-audit services. Non-audit services</w:t>
      </w:r>
    </w:p>
    <w:p>
      <w:pPr>
        <w:spacing w:after="0" w:line="2"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9"/>
          <w:szCs w:val="19"/>
          <w:color w:val="auto"/>
        </w:rPr>
        <w:t>are considered de minimis if (i) the aggregate amount of all such non-audit services constitutes less than 5% of the total amount of revenues we paid to our independent registered public accounting firm during the fiscal year in which they are provided; (ii) we did not recognize such</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0"/>
          <w:szCs w:val="20"/>
          <w:color w:val="auto"/>
        </w:rPr>
        <w:t>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 Exhibits and Financial Statement Schedules</w:t>
      </w:r>
    </w:p>
    <w:p>
      <w:pPr>
        <w:spacing w:after="0" w:line="206" w:lineRule="exact"/>
        <w:rPr>
          <w:sz w:val="20"/>
          <w:szCs w:val="20"/>
          <w:color w:val="auto"/>
        </w:rPr>
      </w:pPr>
    </w:p>
    <w:p>
      <w:pPr>
        <w:ind w:right="2620"/>
        <w:spacing w:after="0" w:line="255" w:lineRule="auto"/>
        <w:rPr>
          <w:sz w:val="20"/>
          <w:szCs w:val="20"/>
          <w:color w:val="auto"/>
        </w:rPr>
      </w:pPr>
      <w:r>
        <w:rPr>
          <w:rFonts w:ascii="Times New Roman" w:cs="Times New Roman" w:eastAsia="Times New Roman" w:hAnsi="Times New Roman"/>
          <w:sz w:val="20"/>
          <w:szCs w:val="20"/>
          <w:color w:val="auto"/>
        </w:rPr>
        <w:t>The information required by this Item is set forth in the Exhibit Index that precedes the signature page to this Form 10-K/A.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ExhibitNo.</w:t>
            </w:r>
          </w:p>
        </w:tc>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502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Links for Exhibits Incorporated by Reference</w:t>
            </w:r>
          </w:p>
        </w:tc>
        <w:tc>
          <w:tcPr>
            <w:tcW w:w="0" w:type="dxa"/>
            <w:vAlign w:val="bottom"/>
          </w:tcPr>
          <w:p>
            <w:pPr>
              <w:spacing w:after="0"/>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vMerge w:val="restart"/>
            <w:shd w:val="clear" w:color="auto" w:fill="CEEEFA"/>
          </w:tcPr>
          <w:p>
            <w:pPr>
              <w:ind w:left="180"/>
              <w:spacing w:after="0"/>
              <w:rPr>
                <w:sz w:val="20"/>
                <w:szCs w:val="20"/>
                <w:color w:val="auto"/>
              </w:rPr>
            </w:pPr>
            <w:r>
              <w:rPr>
                <w:rFonts w:ascii="Times New Roman" w:cs="Times New Roman" w:eastAsia="Times New Roman" w:hAnsi="Times New Roman"/>
                <w:sz w:val="16"/>
                <w:szCs w:val="16"/>
                <w:color w:val="auto"/>
              </w:rPr>
              <w:t>Amended and Restated Articles of Incorporation of Reading International,</w:t>
            </w: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3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3.1 to the Company’s Annual Report on Form 10-K for the</w:t>
              </w:r>
            </w:hyperlink>
          </w:p>
        </w:tc>
        <w:tc>
          <w:tcPr>
            <w:tcW w:w="0" w:type="dxa"/>
            <w:vAlign w:val="bottom"/>
          </w:tcPr>
          <w:p>
            <w:pPr>
              <w:spacing w:after="0"/>
              <w:rPr>
                <w:sz w:val="1"/>
                <w:szCs w:val="1"/>
                <w:color w:val="auto"/>
              </w:rPr>
            </w:pPr>
          </w:p>
        </w:tc>
      </w:tr>
      <w:tr>
        <w:trPr>
          <w:trHeight w:val="20"/>
        </w:trPr>
        <w:tc>
          <w:tcPr>
            <w:tcW w:w="940" w:type="dxa"/>
            <w:vAlign w:val="bottom"/>
            <w:shd w:val="clear" w:color="auto" w:fill="CEEEFA"/>
          </w:tcPr>
          <w:p>
            <w:pPr>
              <w:spacing w:after="0" w:line="20" w:lineRule="exact"/>
              <w:rPr>
                <w:sz w:val="1"/>
                <w:szCs w:val="1"/>
                <w:color w:val="auto"/>
              </w:rPr>
            </w:pPr>
          </w:p>
        </w:tc>
        <w:tc>
          <w:tcPr>
            <w:tcW w:w="5300" w:type="dxa"/>
            <w:vAlign w:val="bottom"/>
            <w:vMerge w:val="continue"/>
            <w:shd w:val="clear" w:color="auto" w:fill="CEEEFA"/>
          </w:tcPr>
          <w:p>
            <w:pPr>
              <w:spacing w:after="0" w:line="20" w:lineRule="exact"/>
              <w:rPr>
                <w:sz w:val="1"/>
                <w:szCs w:val="1"/>
                <w:color w:val="auto"/>
              </w:rPr>
            </w:pPr>
          </w:p>
        </w:tc>
        <w:tc>
          <w:tcPr>
            <w:tcW w:w="320" w:type="dxa"/>
            <w:vAlign w:val="bottom"/>
            <w:shd w:val="clear" w:color="auto" w:fill="CEEEFA"/>
          </w:tcPr>
          <w:p>
            <w:pPr>
              <w:spacing w:after="0" w:line="20" w:lineRule="exact"/>
              <w:rPr>
                <w:sz w:val="1"/>
                <w:szCs w:val="1"/>
                <w:color w:val="auto"/>
              </w:rPr>
            </w:pPr>
          </w:p>
        </w:tc>
        <w:tc>
          <w:tcPr>
            <w:tcW w:w="260" w:type="dxa"/>
            <w:vAlign w:val="bottom"/>
            <w:tcBorders>
              <w:right w:val="single" w:sz="8" w:color="467886"/>
            </w:tcBorders>
            <w:shd w:val="clear" w:color="auto" w:fill="CEEEFA"/>
          </w:tcPr>
          <w:p>
            <w:pPr>
              <w:spacing w:after="0" w:line="20" w:lineRule="exact"/>
              <w:rPr>
                <w:sz w:val="1"/>
                <w:szCs w:val="1"/>
                <w:color w:val="auto"/>
              </w:rPr>
            </w:pPr>
          </w:p>
        </w:tc>
        <w:tc>
          <w:tcPr>
            <w:tcW w:w="540" w:type="dxa"/>
            <w:vAlign w:val="bottom"/>
            <w:shd w:val="clear" w:color="auto" w:fill="467886"/>
          </w:tcPr>
          <w:p>
            <w:pPr>
              <w:spacing w:after="0" w:line="20" w:lineRule="exact"/>
              <w:rPr>
                <w:sz w:val="1"/>
                <w:szCs w:val="1"/>
                <w:color w:val="auto"/>
              </w:rPr>
            </w:pPr>
          </w:p>
        </w:tc>
        <w:tc>
          <w:tcPr>
            <w:tcW w:w="180" w:type="dxa"/>
            <w:vAlign w:val="bottom"/>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80" w:type="dxa"/>
            <w:vAlign w:val="bottom"/>
            <w:shd w:val="clear" w:color="auto" w:fill="467886"/>
          </w:tcPr>
          <w:p>
            <w:pPr>
              <w:spacing w:after="0" w:line="20" w:lineRule="exact"/>
              <w:rPr>
                <w:sz w:val="1"/>
                <w:szCs w:val="1"/>
                <w:color w:val="auto"/>
              </w:rPr>
            </w:pPr>
          </w:p>
        </w:tc>
        <w:tc>
          <w:tcPr>
            <w:tcW w:w="24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78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60" w:type="dxa"/>
            <w:vAlign w:val="bottom"/>
            <w:tcBorders>
              <w:left w:val="single" w:sz="8" w:color="CEEEFA"/>
            </w:tcBorders>
            <w:shd w:val="clear" w:color="auto" w:fill="CEEEFA"/>
          </w:tcPr>
          <w:p>
            <w:pPr>
              <w:spacing w:after="0" w:line="20" w:lineRule="exact"/>
              <w:rPr>
                <w:sz w:val="1"/>
                <w:szCs w:val="1"/>
                <w:color w:val="auto"/>
              </w:rPr>
            </w:pPr>
          </w:p>
        </w:tc>
        <w:tc>
          <w:tcPr>
            <w:tcW w:w="20" w:type="dxa"/>
            <w:vAlign w:val="bottom"/>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shd w:val="clear" w:color="auto" w:fill="CEEEFA"/>
          </w:tcPr>
          <w:p>
            <w:pPr>
              <w:spacing w:after="0"/>
              <w:rPr>
                <w:sz w:val="13"/>
                <w:szCs w:val="13"/>
                <w:color w:val="auto"/>
              </w:rPr>
            </w:pPr>
          </w:p>
        </w:tc>
        <w:tc>
          <w:tcPr>
            <w:tcW w:w="5300" w:type="dxa"/>
            <w:vAlign w:val="bottom"/>
            <w:vMerge w:val="continue"/>
            <w:shd w:val="clear" w:color="auto" w:fill="CEEEFA"/>
          </w:tcPr>
          <w:p>
            <w:pPr>
              <w:spacing w:after="0"/>
              <w:rPr>
                <w:sz w:val="13"/>
                <w:szCs w:val="13"/>
                <w:color w:val="auto"/>
              </w:rPr>
            </w:pPr>
          </w:p>
        </w:tc>
        <w:tc>
          <w:tcPr>
            <w:tcW w:w="4940" w:type="dxa"/>
            <w:vAlign w:val="bottom"/>
            <w:gridSpan w:val="16"/>
            <w:shd w:val="clear" w:color="auto" w:fill="CEEEFA"/>
          </w:tcPr>
          <w:p>
            <w:pPr>
              <w:spacing w:after="0" w:line="155" w:lineRule="exact"/>
              <w:rPr>
                <w:rFonts w:ascii="Times New Roman" w:cs="Times New Roman" w:eastAsia="Times New Roman" w:hAnsi="Times New Roman"/>
                <w:sz w:val="16"/>
                <w:szCs w:val="16"/>
                <w:color w:val="467886"/>
              </w:rPr>
            </w:pPr>
            <w:hyperlink r:id="rId34">
              <w:r>
                <w:rPr>
                  <w:rFonts w:ascii="Times New Roman" w:cs="Times New Roman" w:eastAsia="Times New Roman" w:hAnsi="Times New Roman"/>
                  <w:sz w:val="16"/>
                  <w:szCs w:val="16"/>
                  <w:color w:val="467886"/>
                </w:rPr>
                <w:t>year ended December 31, 2015</w:t>
              </w:r>
              <w:r>
                <w:rPr>
                  <w:rFonts w:ascii="Times New Roman" w:cs="Times New Roman" w:eastAsia="Times New Roman" w:hAnsi="Times New Roman"/>
                  <w:sz w:val="16"/>
                  <w:szCs w:val="16"/>
                  <w:color w:val="000000"/>
                </w:rPr>
                <w:t>, filed on April 29, 2016 and incorporated</w:t>
              </w:r>
            </w:hyperlink>
          </w:p>
        </w:tc>
        <w:tc>
          <w:tcPr>
            <w:tcW w:w="60" w:type="dxa"/>
            <w:vAlign w:val="bottom"/>
            <w:tcBorders>
              <w:left w:val="single" w:sz="8" w:color="CEEEFA"/>
            </w:tcBorders>
            <w:shd w:val="clear" w:color="auto" w:fill="CEEEFA"/>
          </w:tcPr>
          <w:p>
            <w:pPr>
              <w:spacing w:after="0"/>
              <w:rPr>
                <w:sz w:val="13"/>
                <w:szCs w:val="13"/>
                <w:color w:val="auto"/>
              </w:rPr>
            </w:pPr>
          </w:p>
        </w:tc>
        <w:tc>
          <w:tcPr>
            <w:tcW w:w="20" w:type="dxa"/>
            <w:vAlign w:val="bottom"/>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Borders>
              <w:top w:val="single" w:sz="8" w:color="CEEEFA"/>
            </w:tcBorders>
            <w:shd w:val="clear" w:color="auto" w:fill="CEEEFA"/>
          </w:tcPr>
          <w:p>
            <w:pPr>
              <w:ind w:left="20"/>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5300" w:type="dxa"/>
            <w:vAlign w:val="bottom"/>
            <w:tcBorders>
              <w:top w:val="single" w:sz="8" w:color="CEEEFA"/>
            </w:tcBorders>
            <w:shd w:val="clear" w:color="auto" w:fill="CEEEFA"/>
          </w:tcPr>
          <w:p>
            <w:pPr>
              <w:ind w:left="180"/>
              <w:spacing w:after="0" w:line="183" w:lineRule="exact"/>
              <w:rPr>
                <w:sz w:val="20"/>
                <w:szCs w:val="20"/>
                <w:color w:val="auto"/>
              </w:rPr>
            </w:pPr>
            <w:r>
              <w:rPr>
                <w:rFonts w:ascii="Times New Roman" w:cs="Times New Roman" w:eastAsia="Times New Roman" w:hAnsi="Times New Roman"/>
                <w:sz w:val="16"/>
                <w:szCs w:val="16"/>
                <w:color w:val="auto"/>
              </w:rPr>
              <w:t>Inc., a Nevada corporation, effective as of August 6, 2014</w:t>
            </w:r>
          </w:p>
        </w:tc>
        <w:tc>
          <w:tcPr>
            <w:tcW w:w="2020" w:type="dxa"/>
            <w:vAlign w:val="bottom"/>
            <w:tcBorders>
              <w:top w:val="single" w:sz="8" w:color="467886"/>
            </w:tcBorders>
            <w:gridSpan w:val="7"/>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herein by reference.</w:t>
            </w:r>
          </w:p>
        </w:tc>
        <w:tc>
          <w:tcPr>
            <w:tcW w:w="240" w:type="dxa"/>
            <w:vAlign w:val="bottom"/>
            <w:tcBorders>
              <w:top w:val="single" w:sz="8" w:color="CEEEFA"/>
            </w:tcBorders>
            <w:shd w:val="clear" w:color="auto" w:fill="CEEEFA"/>
          </w:tcPr>
          <w:p>
            <w:pPr>
              <w:spacing w:after="0"/>
              <w:rPr>
                <w:sz w:val="15"/>
                <w:szCs w:val="15"/>
                <w:color w:val="auto"/>
              </w:rPr>
            </w:pPr>
          </w:p>
        </w:tc>
        <w:tc>
          <w:tcPr>
            <w:tcW w:w="220" w:type="dxa"/>
            <w:vAlign w:val="bottom"/>
            <w:tcBorders>
              <w:top w:val="single" w:sz="8" w:color="CEEEFA"/>
            </w:tcBorders>
            <w:shd w:val="clear" w:color="auto" w:fill="CEEEFA"/>
          </w:tcPr>
          <w:p>
            <w:pPr>
              <w:spacing w:after="0"/>
              <w:rPr>
                <w:sz w:val="15"/>
                <w:szCs w:val="15"/>
                <w:color w:val="auto"/>
              </w:rPr>
            </w:pPr>
          </w:p>
        </w:tc>
        <w:tc>
          <w:tcPr>
            <w:tcW w:w="20" w:type="dxa"/>
            <w:vAlign w:val="bottom"/>
            <w:tcBorders>
              <w:top w:val="single" w:sz="8" w:color="CEEEFA"/>
            </w:tcBorders>
            <w:shd w:val="clear" w:color="auto" w:fill="CEEEFA"/>
          </w:tcPr>
          <w:p>
            <w:pPr>
              <w:spacing w:after="0"/>
              <w:rPr>
                <w:sz w:val="15"/>
                <w:szCs w:val="15"/>
                <w:color w:val="auto"/>
              </w:rPr>
            </w:pPr>
          </w:p>
        </w:tc>
        <w:tc>
          <w:tcPr>
            <w:tcW w:w="1780" w:type="dxa"/>
            <w:vAlign w:val="bottom"/>
            <w:tcBorders>
              <w:top w:val="single" w:sz="8" w:color="CEEEFA"/>
            </w:tcBorders>
            <w:shd w:val="clear" w:color="auto" w:fill="CEEEFA"/>
          </w:tcPr>
          <w:p>
            <w:pPr>
              <w:spacing w:after="0"/>
              <w:rPr>
                <w:sz w:val="15"/>
                <w:szCs w:val="15"/>
                <w:color w:val="auto"/>
              </w:rPr>
            </w:pPr>
          </w:p>
        </w:tc>
        <w:tc>
          <w:tcPr>
            <w:tcW w:w="80" w:type="dxa"/>
            <w:vAlign w:val="bottom"/>
            <w:tcBorders>
              <w:top w:val="single" w:sz="8" w:color="CEEEFA"/>
            </w:tcBorders>
            <w:shd w:val="clear" w:color="auto" w:fill="CEEEFA"/>
          </w:tcPr>
          <w:p>
            <w:pPr>
              <w:spacing w:after="0"/>
              <w:rPr>
                <w:sz w:val="15"/>
                <w:szCs w:val="15"/>
                <w:color w:val="auto"/>
              </w:rPr>
            </w:pPr>
          </w:p>
        </w:tc>
        <w:tc>
          <w:tcPr>
            <w:tcW w:w="160" w:type="dxa"/>
            <w:vAlign w:val="bottom"/>
            <w:tcBorders>
              <w:top w:val="single" w:sz="8" w:color="CEEEFA"/>
            </w:tcBorders>
            <w:shd w:val="clear" w:color="auto" w:fill="CEEEFA"/>
          </w:tcPr>
          <w:p>
            <w:pPr>
              <w:spacing w:after="0"/>
              <w:rPr>
                <w:sz w:val="15"/>
                <w:szCs w:val="15"/>
                <w:color w:val="auto"/>
              </w:rPr>
            </w:pPr>
          </w:p>
        </w:tc>
        <w:tc>
          <w:tcPr>
            <w:tcW w:w="360" w:type="dxa"/>
            <w:vAlign w:val="bottom"/>
            <w:tcBorders>
              <w:top w:val="single" w:sz="8" w:color="CEEEFA"/>
              <w:right w:val="single" w:sz="8" w:color="CEEEFA"/>
            </w:tcBorders>
            <w:shd w:val="clear" w:color="auto" w:fill="CEEEFA"/>
          </w:tcPr>
          <w:p>
            <w:pPr>
              <w:spacing w:after="0"/>
              <w:rPr>
                <w:sz w:val="15"/>
                <w:szCs w:val="15"/>
                <w:color w:val="auto"/>
              </w:rPr>
            </w:pPr>
          </w:p>
        </w:tc>
        <w:tc>
          <w:tcPr>
            <w:tcW w:w="40" w:type="dxa"/>
            <w:vAlign w:val="bottom"/>
            <w:tcBorders>
              <w:top w:val="single" w:sz="8" w:color="CEEEFA"/>
            </w:tcBorders>
            <w:shd w:val="clear" w:color="auto" w:fill="CEEEFA"/>
          </w:tcPr>
          <w:p>
            <w:pPr>
              <w:spacing w:after="0"/>
              <w:rPr>
                <w:sz w:val="15"/>
                <w:szCs w:val="15"/>
                <w:color w:val="auto"/>
              </w:rPr>
            </w:pPr>
          </w:p>
        </w:tc>
        <w:tc>
          <w:tcPr>
            <w:tcW w:w="20" w:type="dxa"/>
            <w:vAlign w:val="bottom"/>
            <w:tcBorders>
              <w:top w:val="single" w:sz="8" w:color="CEEEFA"/>
            </w:tcBorders>
            <w:shd w:val="clear" w:color="auto" w:fill="CEEEFA"/>
          </w:tcPr>
          <w:p>
            <w:pPr>
              <w:spacing w:after="0"/>
              <w:rPr>
                <w:sz w:val="15"/>
                <w:szCs w:val="15"/>
                <w:color w:val="auto"/>
              </w:rPr>
            </w:pPr>
          </w:p>
        </w:tc>
        <w:tc>
          <w:tcPr>
            <w:tcW w:w="60" w:type="dxa"/>
            <w:vAlign w:val="bottom"/>
            <w:tcBorders>
              <w:top w:val="single" w:sz="8" w:color="CEEEFA"/>
              <w:left w:val="single" w:sz="8" w:color="CEEEFA"/>
            </w:tcBorders>
            <w:shd w:val="clear" w:color="auto" w:fill="CEEEFA"/>
          </w:tcPr>
          <w:p>
            <w:pPr>
              <w:spacing w:after="0"/>
              <w:rPr>
                <w:sz w:val="15"/>
                <w:szCs w:val="15"/>
                <w:color w:val="auto"/>
              </w:rPr>
            </w:pPr>
          </w:p>
        </w:tc>
        <w:tc>
          <w:tcPr>
            <w:tcW w:w="20" w:type="dxa"/>
            <w:vAlign w:val="bottom"/>
            <w:tcBorders>
              <w:top w:val="single" w:sz="8" w:color="CEEEFA"/>
            </w:tcBorders>
            <w:shd w:val="clear" w:color="auto" w:fill="CEEEFA"/>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Amended and Restated Bylaws of Reading International, Inc., a Nevada</w:t>
            </w: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3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3.2 to the Company’s Annual Report on Form 10-K for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467886"/>
            </w:tcBorders>
          </w:tcPr>
          <w:p>
            <w:pPr>
              <w:spacing w:after="0" w:line="20" w:lineRule="exact"/>
              <w:rPr>
                <w:sz w:val="1"/>
                <w:szCs w:val="1"/>
                <w:color w:val="auto"/>
              </w:rPr>
            </w:pPr>
          </w:p>
        </w:tc>
        <w:tc>
          <w:tcPr>
            <w:tcW w:w="540" w:type="dxa"/>
            <w:vAlign w:val="bottom"/>
            <w:shd w:val="clear" w:color="auto" w:fill="467886"/>
          </w:tcPr>
          <w:p>
            <w:pPr>
              <w:spacing w:after="0" w:line="20" w:lineRule="exact"/>
              <w:rPr>
                <w:sz w:val="1"/>
                <w:szCs w:val="1"/>
                <w:color w:val="auto"/>
              </w:rPr>
            </w:pPr>
          </w:p>
        </w:tc>
        <w:tc>
          <w:tcPr>
            <w:tcW w:w="180" w:type="dxa"/>
            <w:vAlign w:val="bottom"/>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78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4940" w:type="dxa"/>
            <w:vAlign w:val="bottom"/>
            <w:gridSpan w:val="16"/>
          </w:tcPr>
          <w:p>
            <w:pPr>
              <w:spacing w:after="0" w:line="155" w:lineRule="exact"/>
              <w:rPr>
                <w:rFonts w:ascii="Times New Roman" w:cs="Times New Roman" w:eastAsia="Times New Roman" w:hAnsi="Times New Roman"/>
                <w:sz w:val="16"/>
                <w:szCs w:val="16"/>
                <w:color w:val="467886"/>
              </w:rPr>
            </w:pPr>
            <w:hyperlink r:id="rId35">
              <w:r>
                <w:rPr>
                  <w:rFonts w:ascii="Times New Roman" w:cs="Times New Roman" w:eastAsia="Times New Roman" w:hAnsi="Times New Roman"/>
                  <w:sz w:val="16"/>
                  <w:szCs w:val="16"/>
                  <w:color w:val="467886"/>
                </w:rPr>
                <w:t>year ended December 31, 2017</w:t>
              </w:r>
              <w:r>
                <w:rPr>
                  <w:rFonts w:ascii="Times New Roman" w:cs="Times New Roman" w:eastAsia="Times New Roman" w:hAnsi="Times New Roman"/>
                  <w:sz w:val="16"/>
                  <w:szCs w:val="16"/>
                  <w:color w:val="000000"/>
                </w:rPr>
                <w:t>, filed on March 16, 2018 and incorporated</w:t>
              </w:r>
            </w:hyperlink>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5300" w:type="dxa"/>
            <w:vAlign w:val="bottom"/>
          </w:tcPr>
          <w:p>
            <w:pPr>
              <w:ind w:left="180"/>
              <w:spacing w:after="0" w:line="183" w:lineRule="exact"/>
              <w:rPr>
                <w:sz w:val="20"/>
                <w:szCs w:val="20"/>
                <w:color w:val="auto"/>
              </w:rPr>
            </w:pPr>
            <w:r>
              <w:rPr>
                <w:rFonts w:ascii="Times New Roman" w:cs="Times New Roman" w:eastAsia="Times New Roman" w:hAnsi="Times New Roman"/>
                <w:sz w:val="16"/>
                <w:szCs w:val="16"/>
                <w:color w:val="auto"/>
              </w:rPr>
              <w:t>corporation, effective as of November 7, 2017(1)</w:t>
            </w:r>
          </w:p>
        </w:tc>
        <w:tc>
          <w:tcPr>
            <w:tcW w:w="2020" w:type="dxa"/>
            <w:vAlign w:val="bottom"/>
            <w:tcBorders>
              <w:top w:val="single" w:sz="8" w:color="467886"/>
            </w:tcBorders>
            <w:gridSpan w:val="7"/>
          </w:tcPr>
          <w:p>
            <w:pPr>
              <w:spacing w:after="0" w:line="183" w:lineRule="exact"/>
              <w:rPr>
                <w:sz w:val="20"/>
                <w:szCs w:val="20"/>
                <w:color w:val="auto"/>
              </w:rPr>
            </w:pPr>
            <w:r>
              <w:rPr>
                <w:rFonts w:ascii="Times New Roman" w:cs="Times New Roman" w:eastAsia="Times New Roman" w:hAnsi="Times New Roman"/>
                <w:sz w:val="16"/>
                <w:szCs w:val="16"/>
                <w:color w:val="auto"/>
              </w:rPr>
              <w:t>herein by reference.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ind w:left="180"/>
              <w:spacing w:after="0" w:line="148" w:lineRule="exact"/>
              <w:rPr>
                <w:sz w:val="20"/>
                <w:szCs w:val="20"/>
                <w:color w:val="auto"/>
              </w:rPr>
            </w:pPr>
            <w:r>
              <w:rPr>
                <w:rFonts w:ascii="Times New Roman" w:cs="Times New Roman" w:eastAsia="Times New Roman" w:hAnsi="Times New Roman"/>
                <w:sz w:val="16"/>
                <w:szCs w:val="16"/>
                <w:color w:val="auto"/>
              </w:rPr>
              <w:t>Form of Preferred Securities Certificate evidencing the preferred securities of</w:t>
            </w: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3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4.1 to the Company’s report on Form 8-K filed on</w:t>
              </w:r>
            </w:hyperlink>
          </w:p>
        </w:tc>
        <w:tc>
          <w:tcPr>
            <w:tcW w:w="0" w:type="dxa"/>
            <w:vAlign w:val="bottom"/>
          </w:tcPr>
          <w:p>
            <w:pPr>
              <w:spacing w:after="0"/>
              <w:rPr>
                <w:sz w:val="1"/>
                <w:szCs w:val="1"/>
                <w:color w:val="auto"/>
              </w:rPr>
            </w:pPr>
          </w:p>
        </w:tc>
      </w:tr>
      <w:tr>
        <w:trPr>
          <w:trHeight w:val="155"/>
        </w:trPr>
        <w:tc>
          <w:tcPr>
            <w:tcW w:w="94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5300" w:type="dxa"/>
            <w:vAlign w:val="bottom"/>
            <w:tcBorders>
              <w:top w:val="single" w:sz="8" w:color="CEEEFA"/>
            </w:tcBorders>
            <w:shd w:val="clear" w:color="auto" w:fill="CEEEFA"/>
          </w:tcPr>
          <w:p>
            <w:pPr>
              <w:ind w:left="180"/>
              <w:spacing w:after="0" w:line="155" w:lineRule="exact"/>
              <w:rPr>
                <w:sz w:val="20"/>
                <w:szCs w:val="20"/>
                <w:color w:val="auto"/>
              </w:rPr>
            </w:pPr>
            <w:r>
              <w:rPr>
                <w:rFonts w:ascii="Times New Roman" w:cs="Times New Roman" w:eastAsia="Times New Roman" w:hAnsi="Times New Roman"/>
                <w:sz w:val="16"/>
                <w:szCs w:val="16"/>
                <w:color w:val="auto"/>
              </w:rPr>
              <w:t>Reading International Trust I</w:t>
            </w:r>
          </w:p>
        </w:tc>
        <w:tc>
          <w:tcPr>
            <w:tcW w:w="58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w w:val="93"/>
              </w:rPr>
            </w:pPr>
            <w:hyperlink r:id="rId36">
              <w:r>
                <w:rPr>
                  <w:rFonts w:ascii="Times New Roman" w:cs="Times New Roman" w:eastAsia="Times New Roman" w:hAnsi="Times New Roman"/>
                  <w:sz w:val="16"/>
                  <w:szCs w:val="16"/>
                  <w:color w:val="467886"/>
                  <w:w w:val="93"/>
                </w:rPr>
                <w:t>February</w:t>
              </w:r>
            </w:hyperlink>
          </w:p>
        </w:tc>
        <w:tc>
          <w:tcPr>
            <w:tcW w:w="3780" w:type="dxa"/>
            <w:vAlign w:val="bottom"/>
            <w:tcBorders>
              <w:top w:val="single" w:sz="8" w:color="467886"/>
            </w:tcBorders>
            <w:gridSpan w:val="10"/>
            <w:shd w:val="clear" w:color="auto" w:fill="CEEEFA"/>
          </w:tcPr>
          <w:p>
            <w:pPr>
              <w:ind w:left="60"/>
              <w:spacing w:after="0" w:line="155" w:lineRule="exact"/>
              <w:rPr>
                <w:rFonts w:ascii="Times New Roman" w:cs="Times New Roman" w:eastAsia="Times New Roman" w:hAnsi="Times New Roman"/>
                <w:sz w:val="16"/>
                <w:szCs w:val="16"/>
                <w:color w:val="467886"/>
              </w:rPr>
            </w:pPr>
            <w:hyperlink r:id="rId36">
              <w:r>
                <w:rPr>
                  <w:rFonts w:ascii="Times New Roman" w:cs="Times New Roman" w:eastAsia="Times New Roman" w:hAnsi="Times New Roman"/>
                  <w:sz w:val="16"/>
                  <w:szCs w:val="16"/>
                  <w:color w:val="467886"/>
                </w:rPr>
                <w:t>9, 2007</w:t>
              </w:r>
              <w:r>
                <w:rPr>
                  <w:rFonts w:ascii="Times New Roman" w:cs="Times New Roman" w:eastAsia="Times New Roman" w:hAnsi="Times New Roman"/>
                  <w:sz w:val="16"/>
                  <w:szCs w:val="16"/>
                  <w:color w:val="000000"/>
                </w:rPr>
                <w:t>, and incorporated herein by reference.</w:t>
              </w:r>
            </w:hyperlink>
          </w:p>
        </w:tc>
        <w:tc>
          <w:tcPr>
            <w:tcW w:w="160" w:type="dxa"/>
            <w:vAlign w:val="bottom"/>
            <w:tcBorders>
              <w:top w:val="single" w:sz="8" w:color="CEEEFA"/>
            </w:tcBorders>
            <w:shd w:val="clear" w:color="auto" w:fill="CEEEFA"/>
          </w:tcPr>
          <w:p>
            <w:pPr>
              <w:spacing w:after="0"/>
              <w:rPr>
                <w:sz w:val="13"/>
                <w:szCs w:val="13"/>
                <w:color w:val="auto"/>
              </w:rPr>
            </w:pPr>
          </w:p>
        </w:tc>
        <w:tc>
          <w:tcPr>
            <w:tcW w:w="360" w:type="dxa"/>
            <w:vAlign w:val="bottom"/>
            <w:tcBorders>
              <w:top w:val="single" w:sz="8" w:color="CEEEFA"/>
              <w:right w:val="single" w:sz="8" w:color="CEEEFA"/>
            </w:tcBorders>
            <w:shd w:val="clear" w:color="auto" w:fill="CEEEFA"/>
          </w:tcPr>
          <w:p>
            <w:pPr>
              <w:spacing w:after="0"/>
              <w:rPr>
                <w:sz w:val="13"/>
                <w:szCs w:val="13"/>
                <w:color w:val="auto"/>
              </w:rPr>
            </w:pPr>
          </w:p>
        </w:tc>
        <w:tc>
          <w:tcPr>
            <w:tcW w:w="40" w:type="dxa"/>
            <w:vAlign w:val="bottom"/>
            <w:tcBorders>
              <w:top w:val="single" w:sz="8" w:color="CEEEFA"/>
            </w:tcBorders>
            <w:shd w:val="clear" w:color="auto" w:fill="CEEEFA"/>
          </w:tcPr>
          <w:p>
            <w:pPr>
              <w:spacing w:after="0"/>
              <w:rPr>
                <w:sz w:val="13"/>
                <w:szCs w:val="13"/>
                <w:color w:val="auto"/>
              </w:rPr>
            </w:pPr>
          </w:p>
        </w:tc>
        <w:tc>
          <w:tcPr>
            <w:tcW w:w="20" w:type="dxa"/>
            <w:vAlign w:val="bottom"/>
            <w:tcBorders>
              <w:top w:val="single" w:sz="8" w:color="CEEEFA"/>
            </w:tcBorders>
            <w:shd w:val="clear" w:color="auto" w:fill="CEEEFA"/>
          </w:tcPr>
          <w:p>
            <w:pPr>
              <w:spacing w:after="0"/>
              <w:rPr>
                <w:sz w:val="13"/>
                <w:szCs w:val="13"/>
                <w:color w:val="auto"/>
              </w:rPr>
            </w:pPr>
          </w:p>
        </w:tc>
        <w:tc>
          <w:tcPr>
            <w:tcW w:w="60" w:type="dxa"/>
            <w:vAlign w:val="bottom"/>
            <w:tcBorders>
              <w:top w:val="single" w:sz="8" w:color="CEEEFA"/>
              <w:left w:val="single" w:sz="8" w:color="CEEEFA"/>
            </w:tcBorders>
            <w:shd w:val="clear" w:color="auto" w:fill="CEEEFA"/>
          </w:tcPr>
          <w:p>
            <w:pPr>
              <w:spacing w:after="0"/>
              <w:rPr>
                <w:sz w:val="13"/>
                <w:szCs w:val="13"/>
                <w:color w:val="auto"/>
              </w:rPr>
            </w:pPr>
          </w:p>
        </w:tc>
        <w:tc>
          <w:tcPr>
            <w:tcW w:w="20" w:type="dxa"/>
            <w:vAlign w:val="bottom"/>
            <w:tcBorders>
              <w:top w:val="single" w:sz="8" w:color="CEEEFA"/>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CEEEFA"/>
          </w:tcPr>
          <w:p>
            <w:pPr>
              <w:spacing w:after="0"/>
              <w:rPr>
                <w:sz w:val="2"/>
                <w:szCs w:val="2"/>
                <w:color w:val="auto"/>
              </w:rPr>
            </w:pPr>
          </w:p>
        </w:tc>
        <w:tc>
          <w:tcPr>
            <w:tcW w:w="40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240" w:type="dxa"/>
            <w:vAlign w:val="bottom"/>
            <w:shd w:val="clear" w:color="auto" w:fill="CEEEFA"/>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tcPr>
          <w:p>
            <w:pPr>
              <w:spacing w:after="0"/>
              <w:rPr>
                <w:sz w:val="12"/>
                <w:szCs w:val="12"/>
                <w:color w:val="auto"/>
              </w:rPr>
            </w:pPr>
          </w:p>
        </w:tc>
        <w:tc>
          <w:tcPr>
            <w:tcW w:w="530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auto"/>
              </w:rPr>
              <w:t>Form of Common Securities Certificate evidencing common securities of</w:t>
            </w: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3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4.2 to the Company’s report on Form 8-K filed on</w:t>
              </w:r>
            </w:hyperlink>
          </w:p>
        </w:tc>
        <w:tc>
          <w:tcPr>
            <w:tcW w:w="0" w:type="dxa"/>
            <w:vAlign w:val="bottom"/>
          </w:tcPr>
          <w:p>
            <w:pPr>
              <w:spacing w:after="0"/>
              <w:rPr>
                <w:sz w:val="1"/>
                <w:szCs w:val="1"/>
                <w:color w:val="auto"/>
              </w:rPr>
            </w:pPr>
          </w:p>
        </w:tc>
      </w:tr>
      <w:tr>
        <w:trPr>
          <w:trHeight w:val="156"/>
        </w:trPr>
        <w:tc>
          <w:tcPr>
            <w:tcW w:w="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4.2</w:t>
            </w:r>
          </w:p>
        </w:tc>
        <w:tc>
          <w:tcPr>
            <w:tcW w:w="530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Reading International Trust I</w:t>
            </w:r>
          </w:p>
        </w:tc>
        <w:tc>
          <w:tcPr>
            <w:tcW w:w="580" w:type="dxa"/>
            <w:vAlign w:val="bottom"/>
            <w:gridSpan w:val="2"/>
          </w:tcPr>
          <w:p>
            <w:pPr>
              <w:spacing w:after="0" w:line="155" w:lineRule="exact"/>
              <w:rPr>
                <w:rFonts w:ascii="Times New Roman" w:cs="Times New Roman" w:eastAsia="Times New Roman" w:hAnsi="Times New Roman"/>
                <w:sz w:val="16"/>
                <w:szCs w:val="16"/>
                <w:color w:val="467886"/>
                <w:w w:val="93"/>
              </w:rPr>
            </w:pPr>
            <w:hyperlink r:id="rId37">
              <w:r>
                <w:rPr>
                  <w:rFonts w:ascii="Times New Roman" w:cs="Times New Roman" w:eastAsia="Times New Roman" w:hAnsi="Times New Roman"/>
                  <w:sz w:val="16"/>
                  <w:szCs w:val="16"/>
                  <w:color w:val="467886"/>
                  <w:w w:val="93"/>
                </w:rPr>
                <w:t>February</w:t>
              </w:r>
            </w:hyperlink>
          </w:p>
        </w:tc>
        <w:tc>
          <w:tcPr>
            <w:tcW w:w="3780" w:type="dxa"/>
            <w:vAlign w:val="bottom"/>
            <w:tcBorders>
              <w:top w:val="single" w:sz="8" w:color="467886"/>
            </w:tcBorders>
            <w:gridSpan w:val="10"/>
          </w:tcPr>
          <w:p>
            <w:pPr>
              <w:ind w:left="60"/>
              <w:spacing w:after="0" w:line="155" w:lineRule="exact"/>
              <w:rPr>
                <w:rFonts w:ascii="Times New Roman" w:cs="Times New Roman" w:eastAsia="Times New Roman" w:hAnsi="Times New Roman"/>
                <w:sz w:val="16"/>
                <w:szCs w:val="16"/>
                <w:color w:val="467886"/>
              </w:rPr>
            </w:pPr>
            <w:hyperlink r:id="rId37">
              <w:r>
                <w:rPr>
                  <w:rFonts w:ascii="Times New Roman" w:cs="Times New Roman" w:eastAsia="Times New Roman" w:hAnsi="Times New Roman"/>
                  <w:sz w:val="16"/>
                  <w:szCs w:val="16"/>
                  <w:color w:val="467886"/>
                </w:rPr>
                <w:t>9, 2007</w:t>
              </w:r>
              <w:r>
                <w:rPr>
                  <w:rFonts w:ascii="Times New Roman" w:cs="Times New Roman" w:eastAsia="Times New Roman" w:hAnsi="Times New Roman"/>
                  <w:sz w:val="16"/>
                  <w:szCs w:val="16"/>
                  <w:color w:val="000000"/>
                </w:rPr>
                <w:t>, and incorporated herein by reference.</w:t>
              </w:r>
            </w:hyperlink>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ind w:left="180"/>
              <w:spacing w:after="0" w:line="148" w:lineRule="exact"/>
              <w:rPr>
                <w:sz w:val="20"/>
                <w:szCs w:val="20"/>
                <w:color w:val="auto"/>
              </w:rPr>
            </w:pPr>
            <w:r>
              <w:rPr>
                <w:rFonts w:ascii="Times New Roman" w:cs="Times New Roman" w:eastAsia="Times New Roman" w:hAnsi="Times New Roman"/>
                <w:sz w:val="16"/>
                <w:szCs w:val="16"/>
                <w:color w:val="auto"/>
              </w:rPr>
              <w:t>Form of Reading International, Inc. and Reading New Zealand, Limited,</w:t>
            </w: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3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4.3 to the Company’s report on Form 8-K filed on</w:t>
              </w:r>
            </w:hyperlink>
          </w:p>
        </w:tc>
        <w:tc>
          <w:tcPr>
            <w:tcW w:w="0" w:type="dxa"/>
            <w:vAlign w:val="bottom"/>
          </w:tcPr>
          <w:p>
            <w:pPr>
              <w:spacing w:after="0"/>
              <w:rPr>
                <w:sz w:val="1"/>
                <w:szCs w:val="1"/>
                <w:color w:val="auto"/>
              </w:rPr>
            </w:pPr>
          </w:p>
        </w:tc>
      </w:tr>
      <w:tr>
        <w:trPr>
          <w:trHeight w:val="156"/>
        </w:trPr>
        <w:tc>
          <w:tcPr>
            <w:tcW w:w="94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4.3</w:t>
            </w:r>
          </w:p>
        </w:tc>
        <w:tc>
          <w:tcPr>
            <w:tcW w:w="5300" w:type="dxa"/>
            <w:vAlign w:val="bottom"/>
            <w:tcBorders>
              <w:top w:val="single" w:sz="8" w:color="CEEEFA"/>
            </w:tcBorders>
            <w:shd w:val="clear" w:color="auto" w:fill="CEEEFA"/>
          </w:tcPr>
          <w:p>
            <w:pPr>
              <w:ind w:left="180"/>
              <w:spacing w:after="0" w:line="155" w:lineRule="exact"/>
              <w:rPr>
                <w:sz w:val="20"/>
                <w:szCs w:val="20"/>
                <w:color w:val="auto"/>
              </w:rPr>
            </w:pPr>
            <w:r>
              <w:rPr>
                <w:rFonts w:ascii="Times New Roman" w:cs="Times New Roman" w:eastAsia="Times New Roman" w:hAnsi="Times New Roman"/>
                <w:sz w:val="16"/>
                <w:szCs w:val="16"/>
                <w:color w:val="auto"/>
              </w:rPr>
              <w:t>Junior Subordinated Note due 2027</w:t>
            </w:r>
          </w:p>
        </w:tc>
        <w:tc>
          <w:tcPr>
            <w:tcW w:w="58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w w:val="93"/>
              </w:rPr>
            </w:pPr>
            <w:hyperlink r:id="rId38">
              <w:r>
                <w:rPr>
                  <w:rFonts w:ascii="Times New Roman" w:cs="Times New Roman" w:eastAsia="Times New Roman" w:hAnsi="Times New Roman"/>
                  <w:sz w:val="16"/>
                  <w:szCs w:val="16"/>
                  <w:color w:val="467886"/>
                  <w:w w:val="93"/>
                </w:rPr>
                <w:t>February</w:t>
              </w:r>
            </w:hyperlink>
          </w:p>
        </w:tc>
        <w:tc>
          <w:tcPr>
            <w:tcW w:w="3780" w:type="dxa"/>
            <w:vAlign w:val="bottom"/>
            <w:tcBorders>
              <w:top w:val="single" w:sz="8" w:color="467886"/>
            </w:tcBorders>
            <w:gridSpan w:val="10"/>
            <w:shd w:val="clear" w:color="auto" w:fill="CEEEFA"/>
          </w:tcPr>
          <w:p>
            <w:pPr>
              <w:ind w:left="60"/>
              <w:spacing w:after="0" w:line="155" w:lineRule="exact"/>
              <w:rPr>
                <w:rFonts w:ascii="Times New Roman" w:cs="Times New Roman" w:eastAsia="Times New Roman" w:hAnsi="Times New Roman"/>
                <w:sz w:val="16"/>
                <w:szCs w:val="16"/>
                <w:color w:val="467886"/>
              </w:rPr>
            </w:pPr>
            <w:hyperlink r:id="rId38">
              <w:r>
                <w:rPr>
                  <w:rFonts w:ascii="Times New Roman" w:cs="Times New Roman" w:eastAsia="Times New Roman" w:hAnsi="Times New Roman"/>
                  <w:sz w:val="16"/>
                  <w:szCs w:val="16"/>
                  <w:color w:val="467886"/>
                </w:rPr>
                <w:t>9, 2007</w:t>
              </w:r>
              <w:r>
                <w:rPr>
                  <w:rFonts w:ascii="Times New Roman" w:cs="Times New Roman" w:eastAsia="Times New Roman" w:hAnsi="Times New Roman"/>
                  <w:sz w:val="16"/>
                  <w:szCs w:val="16"/>
                  <w:color w:val="000000"/>
                </w:rPr>
                <w:t>, and incorporated herein by reference.</w:t>
              </w:r>
            </w:hyperlink>
          </w:p>
        </w:tc>
        <w:tc>
          <w:tcPr>
            <w:tcW w:w="160" w:type="dxa"/>
            <w:vAlign w:val="bottom"/>
            <w:tcBorders>
              <w:top w:val="single" w:sz="8" w:color="CEEEFA"/>
            </w:tcBorders>
            <w:shd w:val="clear" w:color="auto" w:fill="CEEEFA"/>
          </w:tcPr>
          <w:p>
            <w:pPr>
              <w:spacing w:after="0"/>
              <w:rPr>
                <w:sz w:val="13"/>
                <w:szCs w:val="13"/>
                <w:color w:val="auto"/>
              </w:rPr>
            </w:pPr>
          </w:p>
        </w:tc>
        <w:tc>
          <w:tcPr>
            <w:tcW w:w="360" w:type="dxa"/>
            <w:vAlign w:val="bottom"/>
            <w:tcBorders>
              <w:top w:val="single" w:sz="8" w:color="CEEEFA"/>
              <w:right w:val="single" w:sz="8" w:color="CEEEFA"/>
            </w:tcBorders>
            <w:shd w:val="clear" w:color="auto" w:fill="CEEEFA"/>
          </w:tcPr>
          <w:p>
            <w:pPr>
              <w:spacing w:after="0"/>
              <w:rPr>
                <w:sz w:val="13"/>
                <w:szCs w:val="13"/>
                <w:color w:val="auto"/>
              </w:rPr>
            </w:pPr>
          </w:p>
        </w:tc>
        <w:tc>
          <w:tcPr>
            <w:tcW w:w="40" w:type="dxa"/>
            <w:vAlign w:val="bottom"/>
            <w:tcBorders>
              <w:top w:val="single" w:sz="8" w:color="CEEEFA"/>
            </w:tcBorders>
            <w:shd w:val="clear" w:color="auto" w:fill="CEEEFA"/>
          </w:tcPr>
          <w:p>
            <w:pPr>
              <w:spacing w:after="0"/>
              <w:rPr>
                <w:sz w:val="13"/>
                <w:szCs w:val="13"/>
                <w:color w:val="auto"/>
              </w:rPr>
            </w:pPr>
          </w:p>
        </w:tc>
        <w:tc>
          <w:tcPr>
            <w:tcW w:w="20" w:type="dxa"/>
            <w:vAlign w:val="bottom"/>
            <w:tcBorders>
              <w:top w:val="single" w:sz="8" w:color="CEEEFA"/>
            </w:tcBorders>
            <w:shd w:val="clear" w:color="auto" w:fill="CEEEFA"/>
          </w:tcPr>
          <w:p>
            <w:pPr>
              <w:spacing w:after="0"/>
              <w:rPr>
                <w:sz w:val="13"/>
                <w:szCs w:val="13"/>
                <w:color w:val="auto"/>
              </w:rPr>
            </w:pPr>
          </w:p>
        </w:tc>
        <w:tc>
          <w:tcPr>
            <w:tcW w:w="60" w:type="dxa"/>
            <w:vAlign w:val="bottom"/>
            <w:tcBorders>
              <w:top w:val="single" w:sz="8" w:color="CEEEFA"/>
              <w:left w:val="single" w:sz="8" w:color="CEEEFA"/>
            </w:tcBorders>
            <w:shd w:val="clear" w:color="auto" w:fill="CEEEFA"/>
          </w:tcPr>
          <w:p>
            <w:pPr>
              <w:spacing w:after="0"/>
              <w:rPr>
                <w:sz w:val="13"/>
                <w:szCs w:val="13"/>
                <w:color w:val="auto"/>
              </w:rPr>
            </w:pPr>
          </w:p>
        </w:tc>
        <w:tc>
          <w:tcPr>
            <w:tcW w:w="20" w:type="dxa"/>
            <w:vAlign w:val="bottom"/>
            <w:tcBorders>
              <w:top w:val="single" w:sz="8" w:color="CEEEFA"/>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CEEEFA"/>
          </w:tcPr>
          <w:p>
            <w:pPr>
              <w:spacing w:after="0"/>
              <w:rPr>
                <w:sz w:val="2"/>
                <w:szCs w:val="2"/>
                <w:color w:val="auto"/>
              </w:rPr>
            </w:pPr>
          </w:p>
        </w:tc>
        <w:tc>
          <w:tcPr>
            <w:tcW w:w="40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240" w:type="dxa"/>
            <w:vAlign w:val="bottom"/>
            <w:shd w:val="clear" w:color="auto" w:fill="CEEEFA"/>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tcPr>
          <w:p>
            <w:pPr>
              <w:spacing w:after="0"/>
              <w:rPr>
                <w:sz w:val="12"/>
                <w:szCs w:val="12"/>
                <w:color w:val="auto"/>
              </w:rPr>
            </w:pPr>
          </w:p>
        </w:tc>
        <w:tc>
          <w:tcPr>
            <w:tcW w:w="530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auto"/>
              </w:rPr>
              <w:t>Indenture among Reading International, Inc., Reading New Zealand Limited,</w:t>
            </w: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3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 to the Company’s report on Form 8-K dated</w:t>
              </w:r>
            </w:hyperlink>
          </w:p>
        </w:tc>
        <w:tc>
          <w:tcPr>
            <w:tcW w:w="0" w:type="dxa"/>
            <w:vAlign w:val="bottom"/>
          </w:tcPr>
          <w:p>
            <w:pPr>
              <w:spacing w:after="0"/>
              <w:rPr>
                <w:sz w:val="1"/>
                <w:szCs w:val="1"/>
                <w:color w:val="auto"/>
              </w:rPr>
            </w:pPr>
          </w:p>
        </w:tc>
      </w:tr>
      <w:tr>
        <w:trPr>
          <w:trHeight w:val="156"/>
        </w:trPr>
        <w:tc>
          <w:tcPr>
            <w:tcW w:w="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4.4</w:t>
            </w:r>
          </w:p>
        </w:tc>
        <w:tc>
          <w:tcPr>
            <w:tcW w:w="530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and Wells Fargo Bank, N.A., as indenture trustee.</w:t>
            </w:r>
          </w:p>
        </w:tc>
        <w:tc>
          <w:tcPr>
            <w:tcW w:w="580" w:type="dxa"/>
            <w:vAlign w:val="bottom"/>
            <w:gridSpan w:val="2"/>
          </w:tcPr>
          <w:p>
            <w:pPr>
              <w:spacing w:after="0" w:line="155" w:lineRule="exact"/>
              <w:rPr>
                <w:rFonts w:ascii="Times New Roman" w:cs="Times New Roman" w:eastAsia="Times New Roman" w:hAnsi="Times New Roman"/>
                <w:sz w:val="16"/>
                <w:szCs w:val="16"/>
                <w:color w:val="467886"/>
                <w:w w:val="93"/>
              </w:rPr>
            </w:pPr>
            <w:hyperlink r:id="rId39">
              <w:r>
                <w:rPr>
                  <w:rFonts w:ascii="Times New Roman" w:cs="Times New Roman" w:eastAsia="Times New Roman" w:hAnsi="Times New Roman"/>
                  <w:sz w:val="16"/>
                  <w:szCs w:val="16"/>
                  <w:color w:val="467886"/>
                  <w:w w:val="93"/>
                </w:rPr>
                <w:t>February</w:t>
              </w:r>
            </w:hyperlink>
          </w:p>
        </w:tc>
        <w:tc>
          <w:tcPr>
            <w:tcW w:w="3700" w:type="dxa"/>
            <w:vAlign w:val="bottom"/>
            <w:tcBorders>
              <w:top w:val="single" w:sz="8" w:color="467886"/>
            </w:tcBorders>
            <w:gridSpan w:val="9"/>
          </w:tcPr>
          <w:p>
            <w:pPr>
              <w:ind w:left="60"/>
              <w:spacing w:after="0" w:line="155" w:lineRule="exact"/>
              <w:rPr>
                <w:rFonts w:ascii="Times New Roman" w:cs="Times New Roman" w:eastAsia="Times New Roman" w:hAnsi="Times New Roman"/>
                <w:sz w:val="16"/>
                <w:szCs w:val="16"/>
                <w:color w:val="467886"/>
              </w:rPr>
            </w:pPr>
            <w:hyperlink r:id="rId39">
              <w:r>
                <w:rPr>
                  <w:rFonts w:ascii="Times New Roman" w:cs="Times New Roman" w:eastAsia="Times New Roman" w:hAnsi="Times New Roman"/>
                  <w:sz w:val="16"/>
                  <w:szCs w:val="16"/>
                  <w:color w:val="467886"/>
                </w:rPr>
                <w:t>5, 2007</w:t>
              </w:r>
              <w:r>
                <w:rPr>
                  <w:rFonts w:ascii="Times New Roman" w:cs="Times New Roman" w:eastAsia="Times New Roman" w:hAnsi="Times New Roman"/>
                  <w:sz w:val="16"/>
                  <w:szCs w:val="16"/>
                  <w:color w:val="000000"/>
                </w:rPr>
                <w:t>, and incorporated herein by reference.</w:t>
              </w:r>
            </w:hyperlink>
          </w:p>
        </w:tc>
        <w:tc>
          <w:tcPr>
            <w:tcW w:w="2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40" w:type="dxa"/>
            <w:vAlign w:val="bottom"/>
            <w:vMerge w:val="restart"/>
            <w:shd w:val="clear" w:color="auto" w:fill="CEEEFA"/>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5300" w:type="dxa"/>
            <w:vAlign w:val="bottom"/>
            <w:vMerge w:val="restart"/>
            <w:shd w:val="clear" w:color="auto" w:fill="CEEEFA"/>
          </w:tcPr>
          <w:p>
            <w:pPr>
              <w:ind w:left="180"/>
              <w:spacing w:after="0"/>
              <w:rPr>
                <w:sz w:val="20"/>
                <w:szCs w:val="20"/>
                <w:color w:val="auto"/>
              </w:rPr>
            </w:pPr>
            <w:r>
              <w:rPr>
                <w:rFonts w:ascii="Times New Roman" w:cs="Times New Roman" w:eastAsia="Times New Roman" w:hAnsi="Times New Roman"/>
                <w:sz w:val="16"/>
                <w:szCs w:val="16"/>
                <w:color w:val="auto"/>
              </w:rPr>
              <w:t>Form of Indenture</w:t>
            </w: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4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4.4 to the Company’s report on Form S-3 on October 20,</w:t>
              </w:r>
            </w:hyperlink>
          </w:p>
        </w:tc>
        <w:tc>
          <w:tcPr>
            <w:tcW w:w="0" w:type="dxa"/>
            <w:vAlign w:val="bottom"/>
          </w:tcPr>
          <w:p>
            <w:pPr>
              <w:spacing w:after="0"/>
              <w:rPr>
                <w:sz w:val="1"/>
                <w:szCs w:val="1"/>
                <w:color w:val="auto"/>
              </w:rPr>
            </w:pPr>
          </w:p>
        </w:tc>
      </w:tr>
      <w:tr>
        <w:trPr>
          <w:trHeight w:val="20"/>
        </w:trPr>
        <w:tc>
          <w:tcPr>
            <w:tcW w:w="940" w:type="dxa"/>
            <w:vAlign w:val="bottom"/>
            <w:vMerge w:val="continue"/>
            <w:shd w:val="clear" w:color="auto" w:fill="CEEEFA"/>
          </w:tcPr>
          <w:p>
            <w:pPr>
              <w:spacing w:after="0" w:line="20" w:lineRule="exact"/>
              <w:rPr>
                <w:sz w:val="1"/>
                <w:szCs w:val="1"/>
                <w:color w:val="auto"/>
              </w:rPr>
            </w:pPr>
          </w:p>
        </w:tc>
        <w:tc>
          <w:tcPr>
            <w:tcW w:w="5300" w:type="dxa"/>
            <w:vAlign w:val="bottom"/>
            <w:vMerge w:val="continue"/>
            <w:shd w:val="clear" w:color="auto" w:fill="CEEEFA"/>
          </w:tcPr>
          <w:p>
            <w:pPr>
              <w:spacing w:after="0" w:line="20" w:lineRule="exact"/>
              <w:rPr>
                <w:sz w:val="1"/>
                <w:szCs w:val="1"/>
                <w:color w:val="auto"/>
              </w:rPr>
            </w:pPr>
          </w:p>
        </w:tc>
        <w:tc>
          <w:tcPr>
            <w:tcW w:w="320" w:type="dxa"/>
            <w:vAlign w:val="bottom"/>
            <w:shd w:val="clear" w:color="auto" w:fill="CEEEFA"/>
          </w:tcPr>
          <w:p>
            <w:pPr>
              <w:spacing w:after="0" w:line="20" w:lineRule="exact"/>
              <w:rPr>
                <w:sz w:val="1"/>
                <w:szCs w:val="1"/>
                <w:color w:val="auto"/>
              </w:rPr>
            </w:pPr>
          </w:p>
        </w:tc>
        <w:tc>
          <w:tcPr>
            <w:tcW w:w="260" w:type="dxa"/>
            <w:vAlign w:val="bottom"/>
            <w:tcBorders>
              <w:right w:val="single" w:sz="8" w:color="467886"/>
            </w:tcBorders>
            <w:shd w:val="clear" w:color="auto" w:fill="CEEEFA"/>
          </w:tcPr>
          <w:p>
            <w:pPr>
              <w:spacing w:after="0" w:line="20" w:lineRule="exact"/>
              <w:rPr>
                <w:sz w:val="1"/>
                <w:szCs w:val="1"/>
                <w:color w:val="auto"/>
              </w:rPr>
            </w:pPr>
          </w:p>
        </w:tc>
        <w:tc>
          <w:tcPr>
            <w:tcW w:w="720" w:type="dxa"/>
            <w:vAlign w:val="bottom"/>
            <w:gridSpan w:val="2"/>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20" w:type="dxa"/>
            <w:vAlign w:val="bottom"/>
            <w:gridSpan w:val="3"/>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40" w:type="dxa"/>
            <w:vAlign w:val="bottom"/>
            <w:vMerge w:val="restart"/>
            <w:shd w:val="clear" w:color="auto" w:fill="CEEEFA"/>
          </w:tcPr>
          <w:p>
            <w:pPr>
              <w:spacing w:after="0" w:line="20" w:lineRule="exact"/>
              <w:rPr>
                <w:sz w:val="1"/>
                <w:szCs w:val="1"/>
                <w:color w:val="auto"/>
              </w:rPr>
            </w:pPr>
          </w:p>
        </w:tc>
        <w:tc>
          <w:tcPr>
            <w:tcW w:w="20" w:type="dxa"/>
            <w:vAlign w:val="bottom"/>
            <w:vMerge w:val="restart"/>
            <w:shd w:val="clear" w:color="auto" w:fill="CEEEFA"/>
          </w:tcPr>
          <w:p>
            <w:pPr>
              <w:spacing w:after="0" w:line="20" w:lineRule="exact"/>
              <w:rPr>
                <w:sz w:val="1"/>
                <w:szCs w:val="1"/>
                <w:color w:val="auto"/>
              </w:rPr>
            </w:pPr>
          </w:p>
        </w:tc>
        <w:tc>
          <w:tcPr>
            <w:tcW w:w="60" w:type="dxa"/>
            <w:vAlign w:val="bottom"/>
            <w:tcBorders>
              <w:left w:val="single" w:sz="8" w:color="CEEEFA"/>
            </w:tcBorders>
            <w:vMerge w:val="restart"/>
            <w:shd w:val="clear" w:color="auto" w:fill="CEEEFA"/>
          </w:tcPr>
          <w:p>
            <w:pPr>
              <w:spacing w:after="0" w:line="20" w:lineRule="exact"/>
              <w:rPr>
                <w:sz w:val="1"/>
                <w:szCs w:val="1"/>
                <w:color w:val="auto"/>
              </w:rPr>
            </w:pPr>
          </w:p>
        </w:tc>
        <w:tc>
          <w:tcPr>
            <w:tcW w:w="2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shd w:val="clear" w:color="auto" w:fill="CEEEFA"/>
          </w:tcPr>
          <w:p>
            <w:pPr>
              <w:spacing w:after="0"/>
              <w:rPr>
                <w:sz w:val="13"/>
                <w:szCs w:val="13"/>
                <w:color w:val="auto"/>
              </w:rPr>
            </w:pPr>
          </w:p>
        </w:tc>
        <w:tc>
          <w:tcPr>
            <w:tcW w:w="5300" w:type="dxa"/>
            <w:vAlign w:val="bottom"/>
            <w:vMerge w:val="continue"/>
            <w:shd w:val="clear" w:color="auto" w:fill="CEEEFA"/>
          </w:tcPr>
          <w:p>
            <w:pPr>
              <w:spacing w:after="0"/>
              <w:rPr>
                <w:sz w:val="13"/>
                <w:szCs w:val="13"/>
                <w:color w:val="auto"/>
              </w:rPr>
            </w:pPr>
          </w:p>
        </w:tc>
        <w:tc>
          <w:tcPr>
            <w:tcW w:w="4880" w:type="dxa"/>
            <w:vAlign w:val="bottom"/>
            <w:tcBorders>
              <w:right w:val="single" w:sz="8" w:color="CEEEFA"/>
            </w:tcBorders>
            <w:gridSpan w:val="14"/>
            <w:shd w:val="clear" w:color="auto" w:fill="CEEEFA"/>
          </w:tcPr>
          <w:p>
            <w:pPr>
              <w:spacing w:after="0" w:line="155" w:lineRule="exact"/>
              <w:rPr>
                <w:rFonts w:ascii="Times New Roman" w:cs="Times New Roman" w:eastAsia="Times New Roman" w:hAnsi="Times New Roman"/>
                <w:sz w:val="16"/>
                <w:szCs w:val="16"/>
                <w:color w:val="467886"/>
              </w:rPr>
            </w:pPr>
            <w:hyperlink r:id="rId40">
              <w:r>
                <w:rPr>
                  <w:rFonts w:ascii="Times New Roman" w:cs="Times New Roman" w:eastAsia="Times New Roman" w:hAnsi="Times New Roman"/>
                  <w:sz w:val="16"/>
                  <w:szCs w:val="16"/>
                  <w:color w:val="467886"/>
                </w:rPr>
                <w:t>2009</w:t>
              </w:r>
              <w:r>
                <w:rPr>
                  <w:rFonts w:ascii="Times New Roman" w:cs="Times New Roman" w:eastAsia="Times New Roman" w:hAnsi="Times New Roman"/>
                  <w:sz w:val="16"/>
                  <w:szCs w:val="16"/>
                  <w:color w:val="000000"/>
                </w:rPr>
                <w:t>, and incorporated herein by reference.</w:t>
              </w:r>
            </w:hyperlink>
          </w:p>
        </w:tc>
        <w:tc>
          <w:tcPr>
            <w:tcW w:w="40" w:type="dxa"/>
            <w:vAlign w:val="bottom"/>
            <w:vMerge w:val="continue"/>
            <w:shd w:val="clear" w:color="auto" w:fill="CEEEFA"/>
          </w:tcPr>
          <w:p>
            <w:pPr>
              <w:spacing w:after="0"/>
              <w:rPr>
                <w:sz w:val="13"/>
                <w:szCs w:val="13"/>
                <w:color w:val="auto"/>
              </w:rPr>
            </w:pPr>
          </w:p>
        </w:tc>
        <w:tc>
          <w:tcPr>
            <w:tcW w:w="20" w:type="dxa"/>
            <w:vAlign w:val="bottom"/>
            <w:vMerge w:val="continue"/>
            <w:shd w:val="clear" w:color="auto" w:fill="CEEEFA"/>
          </w:tcPr>
          <w:p>
            <w:pPr>
              <w:spacing w:after="0"/>
              <w:rPr>
                <w:sz w:val="13"/>
                <w:szCs w:val="13"/>
                <w:color w:val="auto"/>
              </w:rPr>
            </w:pPr>
          </w:p>
        </w:tc>
        <w:tc>
          <w:tcPr>
            <w:tcW w:w="60" w:type="dxa"/>
            <w:vAlign w:val="bottom"/>
            <w:tcBorders>
              <w:left w:val="single" w:sz="8" w:color="CEEEFA"/>
            </w:tcBorders>
            <w:vMerge w:val="continue"/>
            <w:shd w:val="clear" w:color="auto" w:fill="CEEEFA"/>
          </w:tcPr>
          <w:p>
            <w:pPr>
              <w:spacing w:after="0"/>
              <w:rPr>
                <w:sz w:val="13"/>
                <w:szCs w:val="13"/>
                <w:color w:val="auto"/>
              </w:rPr>
            </w:pPr>
          </w:p>
        </w:tc>
        <w:tc>
          <w:tcPr>
            <w:tcW w:w="20" w:type="dxa"/>
            <w:vAlign w:val="bottom"/>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CEEEFA"/>
            </w:tcBorders>
            <w:shd w:val="clear" w:color="auto" w:fill="CEEEFA"/>
          </w:tcPr>
          <w:p>
            <w:pPr>
              <w:spacing w:after="0"/>
              <w:rPr>
                <w:sz w:val="2"/>
                <w:szCs w:val="2"/>
                <w:color w:val="auto"/>
              </w:rPr>
            </w:pPr>
          </w:p>
        </w:tc>
        <w:tc>
          <w:tcPr>
            <w:tcW w:w="540" w:type="dxa"/>
            <w:vAlign w:val="bottom"/>
            <w:shd w:val="clear" w:color="auto" w:fill="CEEEFA"/>
          </w:tcPr>
          <w:p>
            <w:pPr>
              <w:spacing w:after="0"/>
              <w:rPr>
                <w:sz w:val="2"/>
                <w:szCs w:val="2"/>
                <w:color w:val="auto"/>
              </w:rPr>
            </w:pPr>
          </w:p>
        </w:tc>
        <w:tc>
          <w:tcPr>
            <w:tcW w:w="180" w:type="dxa"/>
            <w:vAlign w:val="bottom"/>
            <w:shd w:val="clear" w:color="auto" w:fill="CEEEFA"/>
          </w:tcPr>
          <w:p>
            <w:pPr>
              <w:spacing w:after="0"/>
              <w:rPr>
                <w:sz w:val="2"/>
                <w:szCs w:val="2"/>
                <w:color w:val="auto"/>
              </w:rPr>
            </w:pPr>
          </w:p>
        </w:tc>
        <w:tc>
          <w:tcPr>
            <w:tcW w:w="40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240" w:type="dxa"/>
            <w:vAlign w:val="bottom"/>
            <w:shd w:val="clear" w:color="auto" w:fill="CEEEFA"/>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tcPr>
          <w:p>
            <w:pPr>
              <w:spacing w:after="0"/>
              <w:rPr>
                <w:sz w:val="12"/>
                <w:szCs w:val="12"/>
                <w:color w:val="auto"/>
              </w:rPr>
            </w:pPr>
          </w:p>
        </w:tc>
        <w:tc>
          <w:tcPr>
            <w:tcW w:w="10320" w:type="dxa"/>
            <w:vAlign w:val="bottom"/>
            <w:gridSpan w:val="19"/>
          </w:tcPr>
          <w:p>
            <w:pPr>
              <w:ind w:left="180"/>
              <w:spacing w:after="0" w:line="148"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Description of Registrant’s Securities Registered Pursuant to Section 12 of the </w:t>
            </w:r>
            <w:hyperlink r:id="rId4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4.6 to the Company’s Annual Report on Form 10-K for the</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5300" w:type="dxa"/>
            <w:vAlign w:val="bottom"/>
            <w:vMerge w:val="restart"/>
          </w:tcPr>
          <w:p>
            <w:pPr>
              <w:ind w:left="180"/>
              <w:spacing w:after="0" w:line="175" w:lineRule="exact"/>
              <w:rPr>
                <w:sz w:val="20"/>
                <w:szCs w:val="20"/>
                <w:color w:val="auto"/>
              </w:rPr>
            </w:pPr>
            <w:r>
              <w:rPr>
                <w:rFonts w:ascii="Times New Roman" w:cs="Times New Roman" w:eastAsia="Times New Roman" w:hAnsi="Times New Roman"/>
                <w:sz w:val="16"/>
                <w:szCs w:val="16"/>
                <w:color w:val="auto"/>
              </w:rPr>
              <w:t>Securities Exchange Act of 1934</w:t>
            </w:r>
          </w:p>
        </w:tc>
        <w:tc>
          <w:tcPr>
            <w:tcW w:w="580" w:type="dxa"/>
            <w:vAlign w:val="bottom"/>
            <w:tcBorders>
              <w:right w:val="single" w:sz="8" w:color="467886"/>
            </w:tcBorders>
            <w:gridSpan w:val="2"/>
          </w:tcPr>
          <w:p>
            <w:pPr>
              <w:spacing w:after="0" w:line="20" w:lineRule="exact"/>
              <w:rPr>
                <w:sz w:val="1"/>
                <w:szCs w:val="1"/>
                <w:color w:val="auto"/>
              </w:rPr>
            </w:pPr>
          </w:p>
        </w:tc>
        <w:tc>
          <w:tcPr>
            <w:tcW w:w="720" w:type="dxa"/>
            <w:vAlign w:val="bottom"/>
            <w:gridSpan w:val="2"/>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20" w:type="dxa"/>
            <w:vAlign w:val="bottom"/>
            <w:gridSpan w:val="3"/>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300" w:type="dxa"/>
            <w:vAlign w:val="bottom"/>
            <w:vMerge w:val="continue"/>
          </w:tcPr>
          <w:p>
            <w:pPr>
              <w:spacing w:after="0"/>
              <w:rPr>
                <w:sz w:val="13"/>
                <w:szCs w:val="13"/>
                <w:color w:val="auto"/>
              </w:rPr>
            </w:pPr>
          </w:p>
        </w:tc>
        <w:tc>
          <w:tcPr>
            <w:tcW w:w="4940" w:type="dxa"/>
            <w:vAlign w:val="bottom"/>
            <w:gridSpan w:val="16"/>
          </w:tcPr>
          <w:p>
            <w:pPr>
              <w:spacing w:after="0" w:line="155" w:lineRule="exact"/>
              <w:rPr>
                <w:rFonts w:ascii="Times New Roman" w:cs="Times New Roman" w:eastAsia="Times New Roman" w:hAnsi="Times New Roman"/>
                <w:sz w:val="16"/>
                <w:szCs w:val="16"/>
                <w:color w:val="467886"/>
              </w:rPr>
            </w:pPr>
            <w:hyperlink r:id="rId41">
              <w:r>
                <w:rPr>
                  <w:rFonts w:ascii="Times New Roman" w:cs="Times New Roman" w:eastAsia="Times New Roman" w:hAnsi="Times New Roman"/>
                  <w:sz w:val="16"/>
                  <w:szCs w:val="16"/>
                  <w:color w:val="467886"/>
                </w:rPr>
                <w:t>year ended December 31, 2021</w:t>
              </w:r>
              <w:r>
                <w:rPr>
                  <w:rFonts w:ascii="Times New Roman" w:cs="Times New Roman" w:eastAsia="Times New Roman" w:hAnsi="Times New Roman"/>
                  <w:sz w:val="16"/>
                  <w:szCs w:val="16"/>
                  <w:color w:val="000000"/>
                </w:rPr>
                <w:t>, and incorporated herein by reference.</w:t>
              </w:r>
            </w:hyperlink>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467886"/>
          </w:tcPr>
          <w:p>
            <w:pPr>
              <w:spacing w:after="0"/>
              <w:rPr>
                <w:sz w:val="2"/>
                <w:szCs w:val="2"/>
                <w:color w:val="auto"/>
              </w:rPr>
            </w:pPr>
          </w:p>
        </w:tc>
        <w:tc>
          <w:tcPr>
            <w:tcW w:w="400" w:type="dxa"/>
            <w:vAlign w:val="bottom"/>
            <w:shd w:val="clear" w:color="auto" w:fill="467886"/>
          </w:tcPr>
          <w:p>
            <w:pPr>
              <w:spacing w:after="0"/>
              <w:rPr>
                <w:sz w:val="2"/>
                <w:szCs w:val="2"/>
                <w:color w:val="auto"/>
              </w:rPr>
            </w:pPr>
          </w:p>
        </w:tc>
        <w:tc>
          <w:tcPr>
            <w:tcW w:w="40" w:type="dxa"/>
            <w:vAlign w:val="bottom"/>
            <w:shd w:val="clear" w:color="auto" w:fill="467886"/>
          </w:tcPr>
          <w:p>
            <w:pPr>
              <w:spacing w:after="0"/>
              <w:rPr>
                <w:sz w:val="2"/>
                <w:szCs w:val="2"/>
                <w:color w:val="auto"/>
              </w:rPr>
            </w:pPr>
          </w:p>
        </w:tc>
        <w:tc>
          <w:tcPr>
            <w:tcW w:w="280" w:type="dxa"/>
            <w:vAlign w:val="bottom"/>
            <w:shd w:val="clear" w:color="auto" w:fill="467886"/>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spacing w:after="0"/>
              <w:rPr>
                <w:sz w:val="12"/>
                <w:szCs w:val="12"/>
                <w:color w:val="auto"/>
              </w:rPr>
            </w:pP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4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Appendix A to the Company’s Proxy Statement filed on November</w:t>
              </w:r>
            </w:hyperlink>
          </w:p>
        </w:tc>
        <w:tc>
          <w:tcPr>
            <w:tcW w:w="0" w:type="dxa"/>
            <w:vAlign w:val="bottom"/>
          </w:tcPr>
          <w:p>
            <w:pPr>
              <w:spacing w:after="0"/>
              <w:rPr>
                <w:sz w:val="1"/>
                <w:szCs w:val="1"/>
                <w:color w:val="auto"/>
              </w:rPr>
            </w:pPr>
          </w:p>
        </w:tc>
      </w:tr>
      <w:tr>
        <w:trPr>
          <w:trHeight w:val="155"/>
        </w:trPr>
        <w:tc>
          <w:tcPr>
            <w:tcW w:w="94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5300" w:type="dxa"/>
            <w:vAlign w:val="bottom"/>
            <w:tcBorders>
              <w:top w:val="single" w:sz="8" w:color="CEEEFA"/>
            </w:tcBorders>
            <w:shd w:val="clear" w:color="auto" w:fill="CEEEFA"/>
          </w:tcPr>
          <w:p>
            <w:pPr>
              <w:ind w:left="180"/>
              <w:spacing w:after="0" w:line="155" w:lineRule="exact"/>
              <w:rPr>
                <w:sz w:val="20"/>
                <w:szCs w:val="20"/>
                <w:color w:val="auto"/>
              </w:rPr>
            </w:pPr>
            <w:r>
              <w:rPr>
                <w:rFonts w:ascii="Times New Roman" w:cs="Times New Roman" w:eastAsia="Times New Roman" w:hAnsi="Times New Roman"/>
                <w:sz w:val="16"/>
                <w:szCs w:val="16"/>
                <w:color w:val="auto"/>
              </w:rPr>
              <w:t>Reading International, Inc. 2020 Stock Incentive Plan</w:t>
            </w:r>
          </w:p>
        </w:tc>
        <w:tc>
          <w:tcPr>
            <w:tcW w:w="58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rPr>
            </w:pPr>
            <w:hyperlink r:id="rId42">
              <w:r>
                <w:rPr>
                  <w:rFonts w:ascii="Times New Roman" w:cs="Times New Roman" w:eastAsia="Times New Roman" w:hAnsi="Times New Roman"/>
                  <w:sz w:val="16"/>
                  <w:szCs w:val="16"/>
                  <w:color w:val="467886"/>
                </w:rPr>
                <w:t>6, 2020</w:t>
              </w:r>
              <w:r>
                <w:rPr>
                  <w:rFonts w:ascii="Times New Roman" w:cs="Times New Roman" w:eastAsia="Times New Roman" w:hAnsi="Times New Roman"/>
                  <w:sz w:val="16"/>
                  <w:szCs w:val="16"/>
                  <w:color w:val="000000"/>
                </w:rPr>
                <w:t>,</w:t>
              </w:r>
            </w:hyperlink>
          </w:p>
        </w:tc>
        <w:tc>
          <w:tcPr>
            <w:tcW w:w="4360" w:type="dxa"/>
            <w:vAlign w:val="bottom"/>
            <w:tcBorders>
              <w:top w:val="single" w:sz="8" w:color="467886"/>
            </w:tcBorders>
            <w:gridSpan w:val="14"/>
            <w:shd w:val="clear" w:color="auto" w:fill="CEEEFA"/>
          </w:tcPr>
          <w:p>
            <w:pPr>
              <w:spacing w:after="0" w:line="155" w:lineRule="exact"/>
              <w:rPr>
                <w:rFonts w:ascii="Times New Roman" w:cs="Times New Roman" w:eastAsia="Times New Roman" w:hAnsi="Times New Roman"/>
                <w:sz w:val="16"/>
                <w:szCs w:val="16"/>
                <w:color w:val="auto"/>
              </w:rPr>
            </w:pPr>
            <w:hyperlink r:id="rId42">
              <w:r>
                <w:rPr>
                  <w:rFonts w:ascii="Times New Roman" w:cs="Times New Roman" w:eastAsia="Times New Roman" w:hAnsi="Times New Roman"/>
                  <w:sz w:val="16"/>
                  <w:szCs w:val="16"/>
                  <w:color w:val="auto"/>
                </w:rPr>
                <w:t>and incorporated herein by reference.</w:t>
              </w:r>
            </w:hyperlink>
          </w:p>
        </w:tc>
        <w:tc>
          <w:tcPr>
            <w:tcW w:w="60" w:type="dxa"/>
            <w:vAlign w:val="bottom"/>
            <w:tcBorders>
              <w:top w:val="single" w:sz="8" w:color="CEEEFA"/>
              <w:left w:val="single" w:sz="8" w:color="CEEEFA"/>
            </w:tcBorders>
            <w:shd w:val="clear" w:color="auto" w:fill="CEEEFA"/>
          </w:tcPr>
          <w:p>
            <w:pPr>
              <w:spacing w:after="0"/>
              <w:rPr>
                <w:sz w:val="13"/>
                <w:szCs w:val="13"/>
                <w:color w:val="auto"/>
              </w:rPr>
            </w:pPr>
          </w:p>
        </w:tc>
        <w:tc>
          <w:tcPr>
            <w:tcW w:w="20" w:type="dxa"/>
            <w:vAlign w:val="bottom"/>
            <w:tcBorders>
              <w:top w:val="single" w:sz="8" w:color="CEEEFA"/>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CEEEFA"/>
            </w:tcBorders>
            <w:shd w:val="clear" w:color="auto" w:fill="467886"/>
          </w:tcPr>
          <w:p>
            <w:pPr>
              <w:spacing w:after="0"/>
              <w:rPr>
                <w:sz w:val="2"/>
                <w:szCs w:val="2"/>
                <w:color w:val="auto"/>
              </w:rPr>
            </w:pPr>
          </w:p>
        </w:tc>
        <w:tc>
          <w:tcPr>
            <w:tcW w:w="540" w:type="dxa"/>
            <w:vAlign w:val="bottom"/>
            <w:shd w:val="clear" w:color="auto" w:fill="CEEEFA"/>
          </w:tcPr>
          <w:p>
            <w:pPr>
              <w:spacing w:after="0"/>
              <w:rPr>
                <w:sz w:val="2"/>
                <w:szCs w:val="2"/>
                <w:color w:val="auto"/>
              </w:rPr>
            </w:pPr>
          </w:p>
        </w:tc>
        <w:tc>
          <w:tcPr>
            <w:tcW w:w="180" w:type="dxa"/>
            <w:vAlign w:val="bottom"/>
            <w:shd w:val="clear" w:color="auto" w:fill="CEEEFA"/>
          </w:tcPr>
          <w:p>
            <w:pPr>
              <w:spacing w:after="0"/>
              <w:rPr>
                <w:sz w:val="2"/>
                <w:szCs w:val="2"/>
                <w:color w:val="auto"/>
              </w:rPr>
            </w:pPr>
          </w:p>
        </w:tc>
        <w:tc>
          <w:tcPr>
            <w:tcW w:w="40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240" w:type="dxa"/>
            <w:vAlign w:val="bottom"/>
            <w:shd w:val="clear" w:color="auto" w:fill="CEEEFA"/>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4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Appendix A to the Company’s Proxy Statement filed on October</w:t>
              </w:r>
            </w:hyperlink>
          </w:p>
        </w:tc>
        <w:tc>
          <w:tcPr>
            <w:tcW w:w="0" w:type="dxa"/>
            <w:vAlign w:val="bottom"/>
          </w:tcPr>
          <w:p>
            <w:pPr>
              <w:spacing w:after="0"/>
              <w:rPr>
                <w:sz w:val="1"/>
                <w:szCs w:val="1"/>
                <w:color w:val="auto"/>
              </w:rPr>
            </w:pPr>
          </w:p>
        </w:tc>
      </w:tr>
      <w:tr>
        <w:trPr>
          <w:trHeight w:val="163"/>
        </w:trPr>
        <w:tc>
          <w:tcPr>
            <w:tcW w:w="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10.2*</w:t>
            </w:r>
          </w:p>
        </w:tc>
        <w:tc>
          <w:tcPr>
            <w:tcW w:w="530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First Amendment to Reading International, Inc. 2020 Stock Incentive Plan</w:t>
            </w:r>
          </w:p>
        </w:tc>
        <w:tc>
          <w:tcPr>
            <w:tcW w:w="580" w:type="dxa"/>
            <w:vAlign w:val="bottom"/>
            <w:tcBorders>
              <w:bottom w:val="single" w:sz="8" w:color="467886"/>
            </w:tcBorders>
            <w:gridSpan w:val="2"/>
          </w:tcPr>
          <w:p>
            <w:pPr>
              <w:spacing w:after="0" w:line="155" w:lineRule="exact"/>
              <w:rPr>
                <w:rFonts w:ascii="Times New Roman" w:cs="Times New Roman" w:eastAsia="Times New Roman" w:hAnsi="Times New Roman"/>
                <w:sz w:val="16"/>
                <w:szCs w:val="16"/>
                <w:color w:val="467886"/>
                <w:w w:val="96"/>
              </w:rPr>
            </w:pPr>
            <w:hyperlink r:id="rId43">
              <w:r>
                <w:rPr>
                  <w:rFonts w:ascii="Times New Roman" w:cs="Times New Roman" w:eastAsia="Times New Roman" w:hAnsi="Times New Roman"/>
                  <w:sz w:val="16"/>
                  <w:szCs w:val="16"/>
                  <w:color w:val="467886"/>
                  <w:w w:val="96"/>
                </w:rPr>
                <w:t>27, 2023</w:t>
              </w:r>
            </w:hyperlink>
          </w:p>
        </w:tc>
        <w:tc>
          <w:tcPr>
            <w:tcW w:w="4300" w:type="dxa"/>
            <w:vAlign w:val="bottom"/>
            <w:tcBorders>
              <w:top w:val="single" w:sz="8" w:color="467886"/>
            </w:tcBorders>
            <w:gridSpan w:val="12"/>
          </w:tcPr>
          <w:p>
            <w:pPr>
              <w:spacing w:after="0" w:line="155" w:lineRule="exact"/>
              <w:rPr>
                <w:rFonts w:ascii="Times New Roman" w:cs="Times New Roman" w:eastAsia="Times New Roman" w:hAnsi="Times New Roman"/>
                <w:sz w:val="16"/>
                <w:szCs w:val="16"/>
                <w:color w:val="auto"/>
              </w:rPr>
            </w:pPr>
            <w:hyperlink r:id="rId43">
              <w:r>
                <w:rPr>
                  <w:rFonts w:ascii="Times New Roman" w:cs="Times New Roman" w:eastAsia="Times New Roman" w:hAnsi="Times New Roman"/>
                  <w:sz w:val="16"/>
                  <w:szCs w:val="16"/>
                  <w:color w:val="auto"/>
                </w:rPr>
                <w:t>, and incorporated herein by reference.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spacing w:after="0"/>
              <w:rPr>
                <w:sz w:val="12"/>
                <w:szCs w:val="12"/>
                <w:color w:val="auto"/>
              </w:rPr>
            </w:pP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4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Appendix A to the Company’s Proxy Statement filed on October</w:t>
              </w:r>
            </w:hyperlink>
          </w:p>
        </w:tc>
        <w:tc>
          <w:tcPr>
            <w:tcW w:w="0" w:type="dxa"/>
            <w:vAlign w:val="bottom"/>
          </w:tcPr>
          <w:p>
            <w:pPr>
              <w:spacing w:after="0"/>
              <w:rPr>
                <w:sz w:val="1"/>
                <w:szCs w:val="1"/>
                <w:color w:val="auto"/>
              </w:rPr>
            </w:pPr>
          </w:p>
        </w:tc>
      </w:tr>
      <w:tr>
        <w:trPr>
          <w:trHeight w:val="156"/>
        </w:trPr>
        <w:tc>
          <w:tcPr>
            <w:tcW w:w="94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5300" w:type="dxa"/>
            <w:vAlign w:val="bottom"/>
            <w:tcBorders>
              <w:top w:val="single" w:sz="8" w:color="CEEEFA"/>
            </w:tcBorders>
            <w:shd w:val="clear" w:color="auto" w:fill="CEEEFA"/>
          </w:tcPr>
          <w:p>
            <w:pPr>
              <w:ind w:left="180"/>
              <w:spacing w:after="0" w:line="155" w:lineRule="exact"/>
              <w:rPr>
                <w:sz w:val="20"/>
                <w:szCs w:val="20"/>
                <w:color w:val="auto"/>
              </w:rPr>
            </w:pPr>
            <w:r>
              <w:rPr>
                <w:rFonts w:ascii="Times New Roman" w:cs="Times New Roman" w:eastAsia="Times New Roman" w:hAnsi="Times New Roman"/>
                <w:sz w:val="16"/>
                <w:szCs w:val="16"/>
                <w:color w:val="auto"/>
              </w:rPr>
              <w:t>Second Amendment to Reading International, Inc. 2020 Stock Incentive Plan</w:t>
            </w:r>
          </w:p>
        </w:tc>
        <w:tc>
          <w:tcPr>
            <w:tcW w:w="58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w w:val="96"/>
              </w:rPr>
            </w:pPr>
            <w:hyperlink r:id="rId44">
              <w:r>
                <w:rPr>
                  <w:rFonts w:ascii="Times New Roman" w:cs="Times New Roman" w:eastAsia="Times New Roman" w:hAnsi="Times New Roman"/>
                  <w:sz w:val="16"/>
                  <w:szCs w:val="16"/>
                  <w:color w:val="467886"/>
                  <w:w w:val="96"/>
                </w:rPr>
                <w:t>25, 2024</w:t>
              </w:r>
            </w:hyperlink>
          </w:p>
        </w:tc>
        <w:tc>
          <w:tcPr>
            <w:tcW w:w="4300" w:type="dxa"/>
            <w:vAlign w:val="bottom"/>
            <w:tcBorders>
              <w:top w:val="single" w:sz="8" w:color="467886"/>
              <w:right w:val="single" w:sz="8" w:color="CEEEFA"/>
            </w:tcBorders>
            <w:gridSpan w:val="12"/>
            <w:shd w:val="clear" w:color="auto" w:fill="CEEEFA"/>
          </w:tcPr>
          <w:p>
            <w:pPr>
              <w:spacing w:after="0" w:line="155" w:lineRule="exact"/>
              <w:rPr>
                <w:rFonts w:ascii="Times New Roman" w:cs="Times New Roman" w:eastAsia="Times New Roman" w:hAnsi="Times New Roman"/>
                <w:sz w:val="16"/>
                <w:szCs w:val="16"/>
                <w:color w:val="auto"/>
              </w:rPr>
            </w:pPr>
            <w:hyperlink r:id="rId44">
              <w:r>
                <w:rPr>
                  <w:rFonts w:ascii="Times New Roman" w:cs="Times New Roman" w:eastAsia="Times New Roman" w:hAnsi="Times New Roman"/>
                  <w:sz w:val="16"/>
                  <w:szCs w:val="16"/>
                  <w:color w:val="auto"/>
                </w:rPr>
                <w:t>, and incorporated herein by reference.</w:t>
              </w:r>
            </w:hyperlink>
          </w:p>
        </w:tc>
        <w:tc>
          <w:tcPr>
            <w:tcW w:w="40" w:type="dxa"/>
            <w:vAlign w:val="bottom"/>
            <w:tcBorders>
              <w:top w:val="single" w:sz="8" w:color="CEEEFA"/>
            </w:tcBorders>
            <w:shd w:val="clear" w:color="auto" w:fill="CEEEFA"/>
          </w:tcPr>
          <w:p>
            <w:pPr>
              <w:spacing w:after="0"/>
              <w:rPr>
                <w:sz w:val="13"/>
                <w:szCs w:val="13"/>
                <w:color w:val="auto"/>
              </w:rPr>
            </w:pPr>
          </w:p>
        </w:tc>
        <w:tc>
          <w:tcPr>
            <w:tcW w:w="20" w:type="dxa"/>
            <w:vAlign w:val="bottom"/>
            <w:tcBorders>
              <w:top w:val="single" w:sz="8" w:color="CEEEFA"/>
            </w:tcBorders>
            <w:shd w:val="clear" w:color="auto" w:fill="CEEEFA"/>
          </w:tcPr>
          <w:p>
            <w:pPr>
              <w:spacing w:after="0"/>
              <w:rPr>
                <w:sz w:val="13"/>
                <w:szCs w:val="13"/>
                <w:color w:val="auto"/>
              </w:rPr>
            </w:pPr>
          </w:p>
        </w:tc>
        <w:tc>
          <w:tcPr>
            <w:tcW w:w="60" w:type="dxa"/>
            <w:vAlign w:val="bottom"/>
            <w:tcBorders>
              <w:top w:val="single" w:sz="8" w:color="CEEEFA"/>
              <w:left w:val="single" w:sz="8" w:color="CEEEFA"/>
            </w:tcBorders>
            <w:shd w:val="clear" w:color="auto" w:fill="CEEEFA"/>
          </w:tcPr>
          <w:p>
            <w:pPr>
              <w:spacing w:after="0"/>
              <w:rPr>
                <w:sz w:val="13"/>
                <w:szCs w:val="13"/>
                <w:color w:val="auto"/>
              </w:rPr>
            </w:pPr>
          </w:p>
        </w:tc>
        <w:tc>
          <w:tcPr>
            <w:tcW w:w="20" w:type="dxa"/>
            <w:vAlign w:val="bottom"/>
            <w:tcBorders>
              <w:top w:val="single" w:sz="8" w:color="CEEEFA"/>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CEEEFA"/>
          </w:tcPr>
          <w:p>
            <w:pPr>
              <w:spacing w:after="0"/>
              <w:rPr>
                <w:sz w:val="2"/>
                <w:szCs w:val="2"/>
                <w:color w:val="auto"/>
              </w:rPr>
            </w:pPr>
          </w:p>
        </w:tc>
        <w:tc>
          <w:tcPr>
            <w:tcW w:w="180" w:type="dxa"/>
            <w:vAlign w:val="bottom"/>
            <w:shd w:val="clear" w:color="auto" w:fill="CEEEFA"/>
          </w:tcPr>
          <w:p>
            <w:pPr>
              <w:spacing w:after="0"/>
              <w:rPr>
                <w:sz w:val="2"/>
                <w:szCs w:val="2"/>
                <w:color w:val="auto"/>
              </w:rPr>
            </w:pPr>
          </w:p>
        </w:tc>
        <w:tc>
          <w:tcPr>
            <w:tcW w:w="40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240" w:type="dxa"/>
            <w:vAlign w:val="bottom"/>
            <w:shd w:val="clear" w:color="auto" w:fill="CEEEFA"/>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40" w:type="dxa"/>
            <w:vAlign w:val="bottom"/>
          </w:tcPr>
          <w:p>
            <w:pPr>
              <w:spacing w:after="0"/>
              <w:rPr>
                <w:sz w:val="12"/>
                <w:szCs w:val="12"/>
                <w:color w:val="auto"/>
              </w:rPr>
            </w:pPr>
          </w:p>
        </w:tc>
        <w:tc>
          <w:tcPr>
            <w:tcW w:w="530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auto"/>
              </w:rPr>
              <w:t>Form of Restricted Stock Unit Agreement (with Grant Notice) (Non-</w:t>
            </w: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4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10.7 to the Company’s Annual Report on Form 10-K for the</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5300" w:type="dxa"/>
            <w:vAlign w:val="bottom"/>
            <w:vMerge w:val="restart"/>
          </w:tcPr>
          <w:p>
            <w:pPr>
              <w:ind w:left="180"/>
              <w:spacing w:after="0" w:line="175" w:lineRule="exact"/>
              <w:rPr>
                <w:sz w:val="20"/>
                <w:szCs w:val="20"/>
                <w:color w:val="auto"/>
              </w:rPr>
            </w:pPr>
            <w:r>
              <w:rPr>
                <w:rFonts w:ascii="Times New Roman" w:cs="Times New Roman" w:eastAsia="Times New Roman" w:hAnsi="Times New Roman"/>
                <w:sz w:val="16"/>
                <w:szCs w:val="16"/>
                <w:color w:val="auto"/>
              </w:rPr>
              <w:t>Employee Directors) under the 2020 Stock Incentive Plan</w:t>
            </w:r>
          </w:p>
        </w:tc>
        <w:tc>
          <w:tcPr>
            <w:tcW w:w="580" w:type="dxa"/>
            <w:vAlign w:val="bottom"/>
            <w:tcBorders>
              <w:right w:val="single" w:sz="8" w:color="467886"/>
            </w:tcBorders>
            <w:gridSpan w:val="2"/>
          </w:tcPr>
          <w:p>
            <w:pPr>
              <w:spacing w:after="0" w:line="20" w:lineRule="exact"/>
              <w:rPr>
                <w:sz w:val="1"/>
                <w:szCs w:val="1"/>
                <w:color w:val="auto"/>
              </w:rPr>
            </w:pPr>
          </w:p>
        </w:tc>
        <w:tc>
          <w:tcPr>
            <w:tcW w:w="720" w:type="dxa"/>
            <w:vAlign w:val="bottom"/>
            <w:gridSpan w:val="2"/>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20" w:type="dxa"/>
            <w:vAlign w:val="bottom"/>
            <w:gridSpan w:val="3"/>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6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tcPr>
          <w:p>
            <w:pPr>
              <w:spacing w:after="0"/>
              <w:rPr>
                <w:sz w:val="13"/>
                <w:szCs w:val="13"/>
                <w:color w:val="auto"/>
              </w:rPr>
            </w:pPr>
          </w:p>
        </w:tc>
        <w:tc>
          <w:tcPr>
            <w:tcW w:w="5300" w:type="dxa"/>
            <w:vAlign w:val="bottom"/>
            <w:vMerge w:val="continue"/>
          </w:tcPr>
          <w:p>
            <w:pPr>
              <w:spacing w:after="0"/>
              <w:rPr>
                <w:sz w:val="13"/>
                <w:szCs w:val="13"/>
                <w:color w:val="auto"/>
              </w:rPr>
            </w:pPr>
          </w:p>
        </w:tc>
        <w:tc>
          <w:tcPr>
            <w:tcW w:w="5000" w:type="dxa"/>
            <w:vAlign w:val="bottom"/>
            <w:gridSpan w:val="17"/>
          </w:tcPr>
          <w:p>
            <w:pPr>
              <w:spacing w:after="0" w:line="155" w:lineRule="exact"/>
              <w:rPr>
                <w:rFonts w:ascii="Times New Roman" w:cs="Times New Roman" w:eastAsia="Times New Roman" w:hAnsi="Times New Roman"/>
                <w:sz w:val="16"/>
                <w:szCs w:val="16"/>
                <w:color w:val="467886"/>
              </w:rPr>
            </w:pPr>
            <w:hyperlink r:id="rId45">
              <w:r>
                <w:rPr>
                  <w:rFonts w:ascii="Times New Roman" w:cs="Times New Roman" w:eastAsia="Times New Roman" w:hAnsi="Times New Roman"/>
                  <w:sz w:val="16"/>
                  <w:szCs w:val="16"/>
                  <w:color w:val="467886"/>
                </w:rPr>
                <w:t>year ended December 31, 2021</w:t>
              </w:r>
              <w:r>
                <w:rPr>
                  <w:rFonts w:ascii="Times New Roman" w:cs="Times New Roman" w:eastAsia="Times New Roman" w:hAnsi="Times New Roman"/>
                  <w:sz w:val="16"/>
                  <w:szCs w:val="16"/>
                  <w:color w:val="000000"/>
                </w:rPr>
                <w:t>, and incorporated herein by reference</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467886"/>
          </w:tcPr>
          <w:p>
            <w:pPr>
              <w:spacing w:after="0"/>
              <w:rPr>
                <w:sz w:val="2"/>
                <w:szCs w:val="2"/>
                <w:color w:val="auto"/>
              </w:rPr>
            </w:pPr>
          </w:p>
        </w:tc>
        <w:tc>
          <w:tcPr>
            <w:tcW w:w="400" w:type="dxa"/>
            <w:vAlign w:val="bottom"/>
            <w:shd w:val="clear" w:color="auto" w:fill="467886"/>
          </w:tcPr>
          <w:p>
            <w:pPr>
              <w:spacing w:after="0"/>
              <w:rPr>
                <w:sz w:val="2"/>
                <w:szCs w:val="2"/>
                <w:color w:val="auto"/>
              </w:rPr>
            </w:pPr>
          </w:p>
        </w:tc>
        <w:tc>
          <w:tcPr>
            <w:tcW w:w="40" w:type="dxa"/>
            <w:vAlign w:val="bottom"/>
            <w:shd w:val="clear" w:color="auto" w:fill="467886"/>
          </w:tcPr>
          <w:p>
            <w:pPr>
              <w:spacing w:after="0"/>
              <w:rPr>
                <w:sz w:val="2"/>
                <w:szCs w:val="2"/>
                <w:color w:val="auto"/>
              </w:rPr>
            </w:pPr>
          </w:p>
        </w:tc>
        <w:tc>
          <w:tcPr>
            <w:tcW w:w="280" w:type="dxa"/>
            <w:vAlign w:val="bottom"/>
            <w:shd w:val="clear" w:color="auto" w:fill="467886"/>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ind w:left="180"/>
              <w:spacing w:after="0" w:line="148" w:lineRule="exact"/>
              <w:rPr>
                <w:sz w:val="20"/>
                <w:szCs w:val="20"/>
                <w:color w:val="auto"/>
              </w:rPr>
            </w:pPr>
            <w:r>
              <w:rPr>
                <w:rFonts w:ascii="Times New Roman" w:cs="Times New Roman" w:eastAsia="Times New Roman" w:hAnsi="Times New Roman"/>
                <w:sz w:val="16"/>
                <w:szCs w:val="16"/>
                <w:color w:val="auto"/>
              </w:rPr>
              <w:t>Form of Restricted Stock Unit Agreement (with Grant Notice) (Executive</w:t>
            </w: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4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10.8 to the Company’s Annual Report on Form 10-K for the</w:t>
              </w:r>
            </w:hyperlink>
          </w:p>
        </w:tc>
        <w:tc>
          <w:tcPr>
            <w:tcW w:w="0" w:type="dxa"/>
            <w:vAlign w:val="bottom"/>
          </w:tcPr>
          <w:p>
            <w:pPr>
              <w:spacing w:after="0"/>
              <w:rPr>
                <w:sz w:val="1"/>
                <w:szCs w:val="1"/>
                <w:color w:val="auto"/>
              </w:rPr>
            </w:pPr>
          </w:p>
        </w:tc>
      </w:tr>
      <w:tr>
        <w:trPr>
          <w:trHeight w:val="20"/>
        </w:trPr>
        <w:tc>
          <w:tcPr>
            <w:tcW w:w="94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5300" w:type="dxa"/>
            <w:vAlign w:val="bottom"/>
            <w:vMerge w:val="restart"/>
            <w:shd w:val="clear" w:color="auto" w:fill="CEEEFA"/>
          </w:tcPr>
          <w:p>
            <w:pPr>
              <w:ind w:left="180"/>
              <w:spacing w:after="0" w:line="175" w:lineRule="exact"/>
              <w:rPr>
                <w:sz w:val="20"/>
                <w:szCs w:val="20"/>
                <w:color w:val="auto"/>
              </w:rPr>
            </w:pPr>
            <w:r>
              <w:rPr>
                <w:rFonts w:ascii="Times New Roman" w:cs="Times New Roman" w:eastAsia="Times New Roman" w:hAnsi="Times New Roman"/>
                <w:sz w:val="16"/>
                <w:szCs w:val="16"/>
                <w:color w:val="auto"/>
              </w:rPr>
              <w:t>Officer) under the 2020 Stock Incentive Plan</w:t>
            </w:r>
          </w:p>
        </w:tc>
        <w:tc>
          <w:tcPr>
            <w:tcW w:w="580" w:type="dxa"/>
            <w:vAlign w:val="bottom"/>
            <w:tcBorders>
              <w:right w:val="single" w:sz="8" w:color="467886"/>
            </w:tcBorders>
            <w:gridSpan w:val="2"/>
            <w:shd w:val="clear" w:color="auto" w:fill="CEEEFA"/>
          </w:tcPr>
          <w:p>
            <w:pPr>
              <w:spacing w:after="0" w:line="20" w:lineRule="exact"/>
              <w:rPr>
                <w:sz w:val="1"/>
                <w:szCs w:val="1"/>
                <w:color w:val="auto"/>
              </w:rPr>
            </w:pPr>
          </w:p>
        </w:tc>
        <w:tc>
          <w:tcPr>
            <w:tcW w:w="720" w:type="dxa"/>
            <w:vAlign w:val="bottom"/>
            <w:gridSpan w:val="2"/>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20" w:type="dxa"/>
            <w:vAlign w:val="bottom"/>
            <w:gridSpan w:val="3"/>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6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shd w:val="clear" w:color="auto" w:fill="CEEEFA"/>
          </w:tcPr>
          <w:p>
            <w:pPr>
              <w:spacing w:after="0"/>
              <w:rPr>
                <w:sz w:val="13"/>
                <w:szCs w:val="13"/>
                <w:color w:val="auto"/>
              </w:rPr>
            </w:pPr>
          </w:p>
        </w:tc>
        <w:tc>
          <w:tcPr>
            <w:tcW w:w="5300" w:type="dxa"/>
            <w:vAlign w:val="bottom"/>
            <w:vMerge w:val="continue"/>
            <w:shd w:val="clear" w:color="auto" w:fill="CEEEFA"/>
          </w:tcPr>
          <w:p>
            <w:pPr>
              <w:spacing w:after="0"/>
              <w:rPr>
                <w:sz w:val="13"/>
                <w:szCs w:val="13"/>
                <w:color w:val="auto"/>
              </w:rPr>
            </w:pPr>
          </w:p>
        </w:tc>
        <w:tc>
          <w:tcPr>
            <w:tcW w:w="5000" w:type="dxa"/>
            <w:vAlign w:val="bottom"/>
            <w:gridSpan w:val="17"/>
            <w:shd w:val="clear" w:color="auto" w:fill="CEEEFA"/>
          </w:tcPr>
          <w:p>
            <w:pPr>
              <w:spacing w:after="0" w:line="155" w:lineRule="exact"/>
              <w:rPr>
                <w:rFonts w:ascii="Times New Roman" w:cs="Times New Roman" w:eastAsia="Times New Roman" w:hAnsi="Times New Roman"/>
                <w:sz w:val="16"/>
                <w:szCs w:val="16"/>
                <w:color w:val="467886"/>
              </w:rPr>
            </w:pPr>
            <w:hyperlink r:id="rId46">
              <w:r>
                <w:rPr>
                  <w:rFonts w:ascii="Times New Roman" w:cs="Times New Roman" w:eastAsia="Times New Roman" w:hAnsi="Times New Roman"/>
                  <w:sz w:val="16"/>
                  <w:szCs w:val="16"/>
                  <w:color w:val="467886"/>
                </w:rPr>
                <w:t>year ended December 31, 2021</w:t>
              </w:r>
              <w:r>
                <w:rPr>
                  <w:rFonts w:ascii="Times New Roman" w:cs="Times New Roman" w:eastAsia="Times New Roman" w:hAnsi="Times New Roman"/>
                  <w:sz w:val="16"/>
                  <w:szCs w:val="16"/>
                  <w:color w:val="000000"/>
                </w:rPr>
                <w:t>, and incorporated herein by reference</w:t>
              </w:r>
            </w:hyperlink>
          </w:p>
        </w:tc>
        <w:tc>
          <w:tcPr>
            <w:tcW w:w="20" w:type="dxa"/>
            <w:vAlign w:val="bottom"/>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467886"/>
          </w:tcPr>
          <w:p>
            <w:pPr>
              <w:spacing w:after="0"/>
              <w:rPr>
                <w:sz w:val="2"/>
                <w:szCs w:val="2"/>
                <w:color w:val="auto"/>
              </w:rPr>
            </w:pPr>
          </w:p>
        </w:tc>
        <w:tc>
          <w:tcPr>
            <w:tcW w:w="400" w:type="dxa"/>
            <w:vAlign w:val="bottom"/>
            <w:shd w:val="clear" w:color="auto" w:fill="467886"/>
          </w:tcPr>
          <w:p>
            <w:pPr>
              <w:spacing w:after="0"/>
              <w:rPr>
                <w:sz w:val="2"/>
                <w:szCs w:val="2"/>
                <w:color w:val="auto"/>
              </w:rPr>
            </w:pPr>
          </w:p>
        </w:tc>
        <w:tc>
          <w:tcPr>
            <w:tcW w:w="40" w:type="dxa"/>
            <w:vAlign w:val="bottom"/>
            <w:shd w:val="clear" w:color="auto" w:fill="467886"/>
          </w:tcPr>
          <w:p>
            <w:pPr>
              <w:spacing w:after="0"/>
              <w:rPr>
                <w:sz w:val="2"/>
                <w:szCs w:val="2"/>
                <w:color w:val="auto"/>
              </w:rPr>
            </w:pPr>
          </w:p>
        </w:tc>
        <w:tc>
          <w:tcPr>
            <w:tcW w:w="280" w:type="dxa"/>
            <w:vAlign w:val="bottom"/>
            <w:shd w:val="clear" w:color="auto" w:fill="467886"/>
          </w:tcPr>
          <w:p>
            <w:pPr>
              <w:spacing w:after="0"/>
              <w:rPr>
                <w:sz w:val="2"/>
                <w:szCs w:val="2"/>
                <w:color w:val="auto"/>
              </w:rPr>
            </w:pPr>
          </w:p>
        </w:tc>
        <w:tc>
          <w:tcPr>
            <w:tcW w:w="240" w:type="dxa"/>
            <w:vAlign w:val="bottom"/>
            <w:shd w:val="clear" w:color="auto" w:fill="CEEEFA"/>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tcPr>
          <w:p>
            <w:pPr>
              <w:spacing w:after="0"/>
              <w:rPr>
                <w:sz w:val="12"/>
                <w:szCs w:val="12"/>
                <w:color w:val="auto"/>
              </w:rPr>
            </w:pPr>
          </w:p>
        </w:tc>
        <w:tc>
          <w:tcPr>
            <w:tcW w:w="530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auto"/>
              </w:rPr>
              <w:t>Form of Stock Option Agreement (Employee/Executive Officer) under the</w:t>
            </w: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4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5300" w:type="dxa"/>
            <w:vAlign w:val="bottom"/>
            <w:vMerge w:val="restart"/>
          </w:tcPr>
          <w:p>
            <w:pPr>
              <w:ind w:left="180"/>
              <w:spacing w:after="0" w:line="175" w:lineRule="exact"/>
              <w:rPr>
                <w:sz w:val="20"/>
                <w:szCs w:val="20"/>
                <w:color w:val="auto"/>
              </w:rPr>
            </w:pPr>
            <w:r>
              <w:rPr>
                <w:rFonts w:ascii="Times New Roman" w:cs="Times New Roman" w:eastAsia="Times New Roman" w:hAnsi="Times New Roman"/>
                <w:sz w:val="16"/>
                <w:szCs w:val="16"/>
                <w:color w:val="auto"/>
              </w:rPr>
              <w:t>2020 Stock Incentive Plan</w:t>
            </w:r>
          </w:p>
        </w:tc>
        <w:tc>
          <w:tcPr>
            <w:tcW w:w="580" w:type="dxa"/>
            <w:vAlign w:val="bottom"/>
            <w:tcBorders>
              <w:right w:val="single" w:sz="8" w:color="467886"/>
            </w:tcBorders>
            <w:gridSpan w:val="2"/>
          </w:tcPr>
          <w:p>
            <w:pPr>
              <w:spacing w:after="0" w:line="20" w:lineRule="exact"/>
              <w:rPr>
                <w:sz w:val="1"/>
                <w:szCs w:val="1"/>
                <w:color w:val="auto"/>
              </w:rPr>
            </w:pPr>
          </w:p>
        </w:tc>
        <w:tc>
          <w:tcPr>
            <w:tcW w:w="720" w:type="dxa"/>
            <w:vAlign w:val="bottom"/>
            <w:gridSpan w:val="2"/>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20" w:type="dxa"/>
            <w:vAlign w:val="bottom"/>
            <w:gridSpan w:val="3"/>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5300" w:type="dxa"/>
            <w:vAlign w:val="bottom"/>
            <w:vMerge w:val="continue"/>
          </w:tcPr>
          <w:p>
            <w:pPr>
              <w:spacing w:after="0"/>
              <w:rPr>
                <w:sz w:val="13"/>
                <w:szCs w:val="13"/>
                <w:color w:val="auto"/>
              </w:rPr>
            </w:pPr>
          </w:p>
        </w:tc>
        <w:tc>
          <w:tcPr>
            <w:tcW w:w="4920" w:type="dxa"/>
            <w:vAlign w:val="bottom"/>
            <w:gridSpan w:val="15"/>
          </w:tcPr>
          <w:p>
            <w:pPr>
              <w:spacing w:after="0" w:line="155" w:lineRule="exact"/>
              <w:rPr>
                <w:rFonts w:ascii="Times New Roman" w:cs="Times New Roman" w:eastAsia="Times New Roman" w:hAnsi="Times New Roman"/>
                <w:sz w:val="16"/>
                <w:szCs w:val="16"/>
                <w:color w:val="467886"/>
                <w:w w:val="99"/>
              </w:rPr>
            </w:pPr>
            <w:hyperlink r:id="rId47">
              <w:r>
                <w:rPr>
                  <w:rFonts w:ascii="Times New Roman" w:cs="Times New Roman" w:eastAsia="Times New Roman" w:hAnsi="Times New Roman"/>
                  <w:sz w:val="16"/>
                  <w:szCs w:val="16"/>
                  <w:color w:val="467886"/>
                  <w:w w:val="99"/>
                </w:rPr>
                <w:t>the quarter ended September 30, 2025</w:t>
              </w:r>
              <w:r>
                <w:rPr>
                  <w:rFonts w:ascii="Times New Roman" w:cs="Times New Roman" w:eastAsia="Times New Roman" w:hAnsi="Times New Roman"/>
                  <w:sz w:val="16"/>
                  <w:szCs w:val="16"/>
                  <w:color w:val="000000"/>
                  <w:w w:val="99"/>
                </w:rPr>
                <w:t>, and incorporated herein by reference.</w:t>
              </w:r>
            </w:hyperlink>
          </w:p>
        </w:tc>
        <w:tc>
          <w:tcPr>
            <w:tcW w:w="2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467886"/>
          </w:tcPr>
          <w:p>
            <w:pPr>
              <w:spacing w:after="0"/>
              <w:rPr>
                <w:sz w:val="2"/>
                <w:szCs w:val="2"/>
                <w:color w:val="auto"/>
              </w:rPr>
            </w:pPr>
          </w:p>
        </w:tc>
        <w:tc>
          <w:tcPr>
            <w:tcW w:w="400" w:type="dxa"/>
            <w:vAlign w:val="bottom"/>
            <w:shd w:val="clear" w:color="auto" w:fill="467886"/>
          </w:tcPr>
          <w:p>
            <w:pPr>
              <w:spacing w:after="0"/>
              <w:rPr>
                <w:sz w:val="2"/>
                <w:szCs w:val="2"/>
                <w:color w:val="auto"/>
              </w:rPr>
            </w:pPr>
          </w:p>
        </w:tc>
        <w:tc>
          <w:tcPr>
            <w:tcW w:w="40" w:type="dxa"/>
            <w:vAlign w:val="bottom"/>
            <w:shd w:val="clear" w:color="auto" w:fill="467886"/>
          </w:tcPr>
          <w:p>
            <w:pPr>
              <w:spacing w:after="0"/>
              <w:rPr>
                <w:sz w:val="2"/>
                <w:szCs w:val="2"/>
                <w:color w:val="auto"/>
              </w:rPr>
            </w:pPr>
          </w:p>
        </w:tc>
        <w:tc>
          <w:tcPr>
            <w:tcW w:w="280" w:type="dxa"/>
            <w:vAlign w:val="bottom"/>
            <w:shd w:val="clear" w:color="auto" w:fill="467886"/>
          </w:tcPr>
          <w:p>
            <w:pPr>
              <w:spacing w:after="0"/>
              <w:rPr>
                <w:sz w:val="2"/>
                <w:szCs w:val="2"/>
                <w:color w:val="auto"/>
              </w:rPr>
            </w:pPr>
          </w:p>
        </w:tc>
        <w:tc>
          <w:tcPr>
            <w:tcW w:w="240" w:type="dxa"/>
            <w:vAlign w:val="bottom"/>
            <w:shd w:val="clear" w:color="auto" w:fill="467886"/>
          </w:tcPr>
          <w:p>
            <w:pPr>
              <w:spacing w:after="0"/>
              <w:rPr>
                <w:sz w:val="2"/>
                <w:szCs w:val="2"/>
                <w:color w:val="auto"/>
              </w:rPr>
            </w:pPr>
          </w:p>
        </w:tc>
        <w:tc>
          <w:tcPr>
            <w:tcW w:w="220" w:type="dxa"/>
            <w:vAlign w:val="bottom"/>
            <w:shd w:val="clear" w:color="auto" w:fill="467886"/>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ind w:left="180"/>
              <w:spacing w:after="0" w:line="148" w:lineRule="exact"/>
              <w:rPr>
                <w:sz w:val="20"/>
                <w:szCs w:val="20"/>
                <w:color w:val="auto"/>
              </w:rPr>
            </w:pPr>
            <w:r>
              <w:rPr>
                <w:rFonts w:ascii="Times New Roman" w:cs="Times New Roman" w:eastAsia="Times New Roman" w:hAnsi="Times New Roman"/>
                <w:sz w:val="16"/>
                <w:szCs w:val="16"/>
                <w:color w:val="auto"/>
              </w:rPr>
              <w:t>Form of Stock Option Agreement (Directors) under the 2020 Stock Incentive</w:t>
            </w: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4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10.9 to the Company’s Annual Report on Form 10-K for the</w:t>
              </w:r>
            </w:hyperlink>
          </w:p>
        </w:tc>
        <w:tc>
          <w:tcPr>
            <w:tcW w:w="0" w:type="dxa"/>
            <w:vAlign w:val="bottom"/>
          </w:tcPr>
          <w:p>
            <w:pPr>
              <w:spacing w:after="0"/>
              <w:rPr>
                <w:sz w:val="1"/>
                <w:szCs w:val="1"/>
                <w:color w:val="auto"/>
              </w:rPr>
            </w:pPr>
          </w:p>
        </w:tc>
      </w:tr>
      <w:tr>
        <w:trPr>
          <w:trHeight w:val="20"/>
        </w:trPr>
        <w:tc>
          <w:tcPr>
            <w:tcW w:w="94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5300" w:type="dxa"/>
            <w:vAlign w:val="bottom"/>
            <w:vMerge w:val="restart"/>
            <w:shd w:val="clear" w:color="auto" w:fill="CEEEFA"/>
          </w:tcPr>
          <w:p>
            <w:pPr>
              <w:ind w:left="180"/>
              <w:spacing w:after="0" w:line="175" w:lineRule="exact"/>
              <w:rPr>
                <w:sz w:val="20"/>
                <w:szCs w:val="20"/>
                <w:color w:val="auto"/>
              </w:rPr>
            </w:pPr>
            <w:r>
              <w:rPr>
                <w:rFonts w:ascii="Times New Roman" w:cs="Times New Roman" w:eastAsia="Times New Roman" w:hAnsi="Times New Roman"/>
                <w:sz w:val="16"/>
                <w:szCs w:val="16"/>
                <w:color w:val="auto"/>
              </w:rPr>
              <w:t>Plan</w:t>
            </w:r>
          </w:p>
        </w:tc>
        <w:tc>
          <w:tcPr>
            <w:tcW w:w="580" w:type="dxa"/>
            <w:vAlign w:val="bottom"/>
            <w:tcBorders>
              <w:right w:val="single" w:sz="8" w:color="467886"/>
            </w:tcBorders>
            <w:gridSpan w:val="2"/>
            <w:shd w:val="clear" w:color="auto" w:fill="CEEEFA"/>
          </w:tcPr>
          <w:p>
            <w:pPr>
              <w:spacing w:after="0" w:line="20" w:lineRule="exact"/>
              <w:rPr>
                <w:sz w:val="1"/>
                <w:szCs w:val="1"/>
                <w:color w:val="auto"/>
              </w:rPr>
            </w:pPr>
          </w:p>
        </w:tc>
        <w:tc>
          <w:tcPr>
            <w:tcW w:w="720" w:type="dxa"/>
            <w:vAlign w:val="bottom"/>
            <w:gridSpan w:val="2"/>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40" w:type="dxa"/>
            <w:vAlign w:val="bottom"/>
            <w:gridSpan w:val="2"/>
            <w:shd w:val="clear" w:color="auto" w:fill="467886"/>
          </w:tcPr>
          <w:p>
            <w:pPr>
              <w:spacing w:after="0" w:line="20" w:lineRule="exact"/>
              <w:rPr>
                <w:sz w:val="1"/>
                <w:szCs w:val="1"/>
                <w:color w:val="auto"/>
              </w:rPr>
            </w:pPr>
          </w:p>
        </w:tc>
        <w:tc>
          <w:tcPr>
            <w:tcW w:w="2020" w:type="dxa"/>
            <w:vAlign w:val="bottom"/>
            <w:gridSpan w:val="3"/>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gridSpan w:val="2"/>
            <w:shd w:val="clear" w:color="auto" w:fill="467886"/>
          </w:tcPr>
          <w:p>
            <w:pPr>
              <w:spacing w:after="0" w:line="20" w:lineRule="exact"/>
              <w:rPr>
                <w:sz w:val="1"/>
                <w:szCs w:val="1"/>
                <w:color w:val="auto"/>
              </w:rPr>
            </w:pPr>
          </w:p>
        </w:tc>
        <w:tc>
          <w:tcPr>
            <w:tcW w:w="6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continue"/>
            <w:shd w:val="clear" w:color="auto" w:fill="CEEEFA"/>
          </w:tcPr>
          <w:p>
            <w:pPr>
              <w:spacing w:after="0"/>
              <w:rPr>
                <w:sz w:val="13"/>
                <w:szCs w:val="13"/>
                <w:color w:val="auto"/>
              </w:rPr>
            </w:pPr>
          </w:p>
        </w:tc>
        <w:tc>
          <w:tcPr>
            <w:tcW w:w="5300" w:type="dxa"/>
            <w:vAlign w:val="bottom"/>
            <w:vMerge w:val="continue"/>
            <w:shd w:val="clear" w:color="auto" w:fill="CEEEFA"/>
          </w:tcPr>
          <w:p>
            <w:pPr>
              <w:spacing w:after="0"/>
              <w:rPr>
                <w:sz w:val="13"/>
                <w:szCs w:val="13"/>
                <w:color w:val="auto"/>
              </w:rPr>
            </w:pPr>
          </w:p>
        </w:tc>
        <w:tc>
          <w:tcPr>
            <w:tcW w:w="5000" w:type="dxa"/>
            <w:vAlign w:val="bottom"/>
            <w:gridSpan w:val="17"/>
            <w:shd w:val="clear" w:color="auto" w:fill="CEEEFA"/>
          </w:tcPr>
          <w:p>
            <w:pPr>
              <w:spacing w:after="0" w:line="155" w:lineRule="exact"/>
              <w:rPr>
                <w:rFonts w:ascii="Times New Roman" w:cs="Times New Roman" w:eastAsia="Times New Roman" w:hAnsi="Times New Roman"/>
                <w:sz w:val="16"/>
                <w:szCs w:val="16"/>
                <w:color w:val="467886"/>
              </w:rPr>
            </w:pPr>
            <w:hyperlink r:id="rId48">
              <w:r>
                <w:rPr>
                  <w:rFonts w:ascii="Times New Roman" w:cs="Times New Roman" w:eastAsia="Times New Roman" w:hAnsi="Times New Roman"/>
                  <w:sz w:val="16"/>
                  <w:szCs w:val="16"/>
                  <w:color w:val="467886"/>
                </w:rPr>
                <w:t>year ended December 31, 2021</w:t>
              </w:r>
              <w:r>
                <w:rPr>
                  <w:rFonts w:ascii="Times New Roman" w:cs="Times New Roman" w:eastAsia="Times New Roman" w:hAnsi="Times New Roman"/>
                  <w:sz w:val="16"/>
                  <w:szCs w:val="16"/>
                  <w:color w:val="000000"/>
                </w:rPr>
                <w:t>, and incorporated herein by reference.</w:t>
              </w:r>
            </w:hyperlink>
          </w:p>
        </w:tc>
        <w:tc>
          <w:tcPr>
            <w:tcW w:w="20" w:type="dxa"/>
            <w:vAlign w:val="bottom"/>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467886"/>
          </w:tcPr>
          <w:p>
            <w:pPr>
              <w:spacing w:after="0"/>
              <w:rPr>
                <w:sz w:val="2"/>
                <w:szCs w:val="2"/>
                <w:color w:val="auto"/>
              </w:rPr>
            </w:pPr>
          </w:p>
        </w:tc>
        <w:tc>
          <w:tcPr>
            <w:tcW w:w="400" w:type="dxa"/>
            <w:vAlign w:val="bottom"/>
            <w:shd w:val="clear" w:color="auto" w:fill="467886"/>
          </w:tcPr>
          <w:p>
            <w:pPr>
              <w:spacing w:after="0"/>
              <w:rPr>
                <w:sz w:val="2"/>
                <w:szCs w:val="2"/>
                <w:color w:val="auto"/>
              </w:rPr>
            </w:pPr>
          </w:p>
        </w:tc>
        <w:tc>
          <w:tcPr>
            <w:tcW w:w="40" w:type="dxa"/>
            <w:vAlign w:val="bottom"/>
            <w:shd w:val="clear" w:color="auto" w:fill="467886"/>
          </w:tcPr>
          <w:p>
            <w:pPr>
              <w:spacing w:after="0"/>
              <w:rPr>
                <w:sz w:val="2"/>
                <w:szCs w:val="2"/>
                <w:color w:val="auto"/>
              </w:rPr>
            </w:pPr>
          </w:p>
        </w:tc>
        <w:tc>
          <w:tcPr>
            <w:tcW w:w="280" w:type="dxa"/>
            <w:vAlign w:val="bottom"/>
            <w:shd w:val="clear" w:color="auto" w:fill="467886"/>
          </w:tcPr>
          <w:p>
            <w:pPr>
              <w:spacing w:after="0"/>
              <w:rPr>
                <w:sz w:val="2"/>
                <w:szCs w:val="2"/>
                <w:color w:val="auto"/>
              </w:rPr>
            </w:pPr>
          </w:p>
        </w:tc>
        <w:tc>
          <w:tcPr>
            <w:tcW w:w="240" w:type="dxa"/>
            <w:vAlign w:val="bottom"/>
            <w:shd w:val="clear" w:color="auto" w:fill="CEEEFA"/>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4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10.47 to the Company’s Annual Report on Form 10- K/A</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80" w:type="dxa"/>
            <w:vAlign w:val="bottom"/>
            <w:tcBorders>
              <w:right w:val="single" w:sz="8" w:color="467886"/>
            </w:tcBorders>
            <w:gridSpan w:val="2"/>
          </w:tcPr>
          <w:p>
            <w:pPr>
              <w:spacing w:after="0" w:line="20" w:lineRule="exact"/>
              <w:rPr>
                <w:sz w:val="1"/>
                <w:szCs w:val="1"/>
                <w:color w:val="auto"/>
              </w:rPr>
            </w:pPr>
          </w:p>
        </w:tc>
        <w:tc>
          <w:tcPr>
            <w:tcW w:w="720" w:type="dxa"/>
            <w:vAlign w:val="bottom"/>
            <w:gridSpan w:val="2"/>
            <w:shd w:val="clear" w:color="auto" w:fill="467886"/>
          </w:tcPr>
          <w:p>
            <w:pPr>
              <w:spacing w:after="0" w:line="20" w:lineRule="exact"/>
              <w:rPr>
                <w:sz w:val="1"/>
                <w:szCs w:val="1"/>
                <w:color w:val="auto"/>
              </w:rPr>
            </w:pPr>
          </w:p>
        </w:tc>
        <w:tc>
          <w:tcPr>
            <w:tcW w:w="4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240" w:type="dxa"/>
            <w:vAlign w:val="bottom"/>
            <w:gridSpan w:val="2"/>
            <w:shd w:val="clear" w:color="auto" w:fill="467886"/>
          </w:tcPr>
          <w:p>
            <w:pPr>
              <w:spacing w:after="0" w:line="20" w:lineRule="exact"/>
              <w:rPr>
                <w:sz w:val="1"/>
                <w:szCs w:val="1"/>
                <w:color w:val="auto"/>
              </w:rPr>
            </w:pPr>
          </w:p>
        </w:tc>
        <w:tc>
          <w:tcPr>
            <w:tcW w:w="2020" w:type="dxa"/>
            <w:vAlign w:val="bottom"/>
            <w:gridSpan w:val="3"/>
            <w:shd w:val="clear" w:color="auto" w:fill="467886"/>
          </w:tcPr>
          <w:p>
            <w:pPr>
              <w:spacing w:after="0" w:line="20" w:lineRule="exact"/>
              <w:rPr>
                <w:sz w:val="1"/>
                <w:szCs w:val="1"/>
                <w:color w:val="auto"/>
              </w:rPr>
            </w:pPr>
          </w:p>
        </w:tc>
        <w:tc>
          <w:tcPr>
            <w:tcW w:w="36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5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2023 Reading International, Inc. Executive Incentive Plan</w:t>
            </w:r>
          </w:p>
        </w:tc>
        <w:tc>
          <w:tcPr>
            <w:tcW w:w="4880" w:type="dxa"/>
            <w:vAlign w:val="bottom"/>
            <w:gridSpan w:val="14"/>
          </w:tcPr>
          <w:p>
            <w:pPr>
              <w:spacing w:after="0" w:line="155" w:lineRule="exact"/>
              <w:rPr>
                <w:rFonts w:ascii="Times New Roman" w:cs="Times New Roman" w:eastAsia="Times New Roman" w:hAnsi="Times New Roman"/>
                <w:sz w:val="16"/>
                <w:szCs w:val="16"/>
                <w:color w:val="467886"/>
              </w:rPr>
            </w:pPr>
            <w:hyperlink r:id="rId49">
              <w:r>
                <w:rPr>
                  <w:rFonts w:ascii="Times New Roman" w:cs="Times New Roman" w:eastAsia="Times New Roman" w:hAnsi="Times New Roman"/>
                  <w:sz w:val="16"/>
                  <w:szCs w:val="16"/>
                  <w:color w:val="467886"/>
                </w:rPr>
                <w:t>for the year ended December 31, 2022</w:t>
              </w:r>
              <w:r>
                <w:rPr>
                  <w:rFonts w:ascii="Times New Roman" w:cs="Times New Roman" w:eastAsia="Times New Roman" w:hAnsi="Times New Roman"/>
                  <w:sz w:val="16"/>
                  <w:szCs w:val="16"/>
                  <w:color w:val="000000"/>
                </w:rPr>
                <w:t>, and incorporated herein by</w:t>
              </w:r>
            </w:hyperlink>
          </w:p>
        </w:tc>
        <w:tc>
          <w:tcPr>
            <w:tcW w:w="60" w:type="dxa"/>
            <w:vAlign w:val="bottom"/>
            <w:gridSpan w:val="2"/>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2500" w:type="dxa"/>
            <w:vAlign w:val="bottom"/>
            <w:tcBorders>
              <w:top w:val="single" w:sz="8" w:color="467886"/>
            </w:tcBorders>
            <w:gridSpan w:val="10"/>
          </w:tcPr>
          <w:p>
            <w:pPr>
              <w:spacing w:after="0" w:line="183" w:lineRule="exact"/>
              <w:rPr>
                <w:sz w:val="20"/>
                <w:szCs w:val="20"/>
                <w:color w:val="auto"/>
              </w:rPr>
            </w:pPr>
            <w:r>
              <w:rPr>
                <w:rFonts w:ascii="Times New Roman" w:cs="Times New Roman" w:eastAsia="Times New Roman" w:hAnsi="Times New Roman"/>
                <w:sz w:val="16"/>
                <w:szCs w:val="16"/>
                <w:color w:val="auto"/>
              </w:rPr>
              <w:t>reference.</w:t>
            </w:r>
          </w:p>
        </w:tc>
        <w:tc>
          <w:tcPr>
            <w:tcW w:w="202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ind w:left="180"/>
              <w:spacing w:after="0" w:line="148" w:lineRule="exact"/>
              <w:rPr>
                <w:sz w:val="20"/>
                <w:szCs w:val="20"/>
                <w:color w:val="auto"/>
              </w:rPr>
            </w:pPr>
            <w:r>
              <w:rPr>
                <w:rFonts w:ascii="Times New Roman" w:cs="Times New Roman" w:eastAsia="Times New Roman" w:hAnsi="Times New Roman"/>
                <w:sz w:val="16"/>
                <w:szCs w:val="16"/>
                <w:color w:val="auto"/>
              </w:rPr>
              <w:t>Amended and Restated Lease Agreement, dated as of July 28, 2000, as</w:t>
            </w:r>
          </w:p>
        </w:tc>
        <w:tc>
          <w:tcPr>
            <w:tcW w:w="320" w:type="dxa"/>
            <w:vAlign w:val="bottom"/>
            <w:shd w:val="clear" w:color="auto" w:fill="CEEEFA"/>
          </w:tcPr>
          <w:p>
            <w:pPr>
              <w:spacing w:after="0"/>
              <w:rPr>
                <w:sz w:val="12"/>
                <w:szCs w:val="12"/>
                <w:color w:val="auto"/>
              </w:rPr>
            </w:pPr>
          </w:p>
        </w:tc>
        <w:tc>
          <w:tcPr>
            <w:tcW w:w="260" w:type="dxa"/>
            <w:vAlign w:val="bottom"/>
            <w:tcBorders>
              <w:right w:val="single" w:sz="8" w:color="CEEEFA"/>
            </w:tcBorders>
            <w:shd w:val="clear" w:color="auto" w:fill="CEEEFA"/>
          </w:tcPr>
          <w:p>
            <w:pPr>
              <w:spacing w:after="0"/>
              <w:rPr>
                <w:sz w:val="12"/>
                <w:szCs w:val="12"/>
                <w:color w:val="auto"/>
              </w:rPr>
            </w:pPr>
          </w:p>
        </w:tc>
        <w:tc>
          <w:tcPr>
            <w:tcW w:w="540" w:type="dxa"/>
            <w:vAlign w:val="bottom"/>
            <w:shd w:val="clear" w:color="auto" w:fill="CEEEFA"/>
          </w:tcPr>
          <w:p>
            <w:pPr>
              <w:spacing w:after="0"/>
              <w:rPr>
                <w:sz w:val="12"/>
                <w:szCs w:val="12"/>
                <w:color w:val="auto"/>
              </w:rPr>
            </w:pPr>
          </w:p>
        </w:tc>
        <w:tc>
          <w:tcPr>
            <w:tcW w:w="180" w:type="dxa"/>
            <w:vAlign w:val="bottom"/>
            <w:shd w:val="clear" w:color="auto" w:fill="CEEEFA"/>
          </w:tcPr>
          <w:p>
            <w:pPr>
              <w:spacing w:after="0"/>
              <w:rPr>
                <w:sz w:val="12"/>
                <w:szCs w:val="12"/>
                <w:color w:val="auto"/>
              </w:rPr>
            </w:pPr>
          </w:p>
        </w:tc>
        <w:tc>
          <w:tcPr>
            <w:tcW w:w="400" w:type="dxa"/>
            <w:vAlign w:val="bottom"/>
            <w:shd w:val="clear" w:color="auto" w:fill="CEEEFA"/>
          </w:tcPr>
          <w:p>
            <w:pPr>
              <w:spacing w:after="0"/>
              <w:rPr>
                <w:sz w:val="12"/>
                <w:szCs w:val="12"/>
                <w:color w:val="auto"/>
              </w:rPr>
            </w:pPr>
          </w:p>
        </w:tc>
        <w:tc>
          <w:tcPr>
            <w:tcW w:w="40" w:type="dxa"/>
            <w:vAlign w:val="bottom"/>
            <w:shd w:val="clear" w:color="auto" w:fill="CEEEFA"/>
          </w:tcPr>
          <w:p>
            <w:pPr>
              <w:spacing w:after="0"/>
              <w:rPr>
                <w:sz w:val="12"/>
                <w:szCs w:val="12"/>
                <w:color w:val="auto"/>
              </w:rPr>
            </w:pPr>
          </w:p>
        </w:tc>
        <w:tc>
          <w:tcPr>
            <w:tcW w:w="280" w:type="dxa"/>
            <w:vAlign w:val="bottom"/>
            <w:shd w:val="clear" w:color="auto" w:fill="CEEEFA"/>
          </w:tcPr>
          <w:p>
            <w:pPr>
              <w:spacing w:after="0"/>
              <w:rPr>
                <w:sz w:val="12"/>
                <w:szCs w:val="12"/>
                <w:color w:val="auto"/>
              </w:rPr>
            </w:pPr>
          </w:p>
        </w:tc>
        <w:tc>
          <w:tcPr>
            <w:tcW w:w="240" w:type="dxa"/>
            <w:vAlign w:val="bottom"/>
            <w:shd w:val="clear" w:color="auto" w:fill="CEEEFA"/>
          </w:tcPr>
          <w:p>
            <w:pPr>
              <w:spacing w:after="0"/>
              <w:rPr>
                <w:sz w:val="12"/>
                <w:szCs w:val="12"/>
                <w:color w:val="auto"/>
              </w:rPr>
            </w:pPr>
          </w:p>
        </w:tc>
        <w:tc>
          <w:tcPr>
            <w:tcW w:w="220" w:type="dxa"/>
            <w:vAlign w:val="bottom"/>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1780" w:type="dxa"/>
            <w:vAlign w:val="bottom"/>
            <w:shd w:val="clear" w:color="auto" w:fill="CEEEFA"/>
          </w:tcPr>
          <w:p>
            <w:pPr>
              <w:spacing w:after="0"/>
              <w:rPr>
                <w:sz w:val="12"/>
                <w:szCs w:val="12"/>
                <w:color w:val="auto"/>
              </w:rPr>
            </w:pPr>
          </w:p>
        </w:tc>
        <w:tc>
          <w:tcPr>
            <w:tcW w:w="80" w:type="dxa"/>
            <w:vAlign w:val="bottom"/>
            <w:shd w:val="clear" w:color="auto" w:fill="CEEEFA"/>
          </w:tcPr>
          <w:p>
            <w:pPr>
              <w:spacing w:after="0"/>
              <w:rPr>
                <w:sz w:val="12"/>
                <w:szCs w:val="12"/>
                <w:color w:val="auto"/>
              </w:rPr>
            </w:pPr>
          </w:p>
        </w:tc>
        <w:tc>
          <w:tcPr>
            <w:tcW w:w="160" w:type="dxa"/>
            <w:vAlign w:val="bottom"/>
            <w:shd w:val="clear" w:color="auto" w:fill="CEEEFA"/>
          </w:tcPr>
          <w:p>
            <w:pPr>
              <w:spacing w:after="0"/>
              <w:rPr>
                <w:sz w:val="12"/>
                <w:szCs w:val="12"/>
                <w:color w:val="auto"/>
              </w:rPr>
            </w:pPr>
          </w:p>
        </w:tc>
        <w:tc>
          <w:tcPr>
            <w:tcW w:w="360" w:type="dxa"/>
            <w:vAlign w:val="bottom"/>
            <w:tcBorders>
              <w:right w:val="single" w:sz="8" w:color="CEEEFA"/>
            </w:tcBorders>
            <w:shd w:val="clear" w:color="auto" w:fill="CEEEFA"/>
          </w:tcPr>
          <w:p>
            <w:pPr>
              <w:spacing w:after="0"/>
              <w:rPr>
                <w:sz w:val="12"/>
                <w:szCs w:val="12"/>
                <w:color w:val="auto"/>
              </w:rPr>
            </w:pPr>
          </w:p>
        </w:tc>
        <w:tc>
          <w:tcPr>
            <w:tcW w:w="40" w:type="dxa"/>
            <w:vAlign w:val="bottom"/>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60" w:type="dxa"/>
            <w:vAlign w:val="bottom"/>
            <w:tcBorders>
              <w:left w:val="single" w:sz="8" w:color="CEEEFA"/>
            </w:tcBorders>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EEEFA"/>
          </w:tcPr>
          <w:p>
            <w:pPr>
              <w:spacing w:after="0"/>
              <w:rPr>
                <w:sz w:val="15"/>
                <w:szCs w:val="15"/>
                <w:color w:val="auto"/>
              </w:rPr>
            </w:pPr>
          </w:p>
        </w:tc>
        <w:tc>
          <w:tcPr>
            <w:tcW w:w="5300" w:type="dxa"/>
            <w:vAlign w:val="bottom"/>
            <w:shd w:val="clear" w:color="auto" w:fill="CEEEFA"/>
          </w:tcPr>
          <w:p>
            <w:pPr>
              <w:ind w:left="180"/>
              <w:spacing w:after="0" w:line="176" w:lineRule="exact"/>
              <w:rPr>
                <w:sz w:val="20"/>
                <w:szCs w:val="20"/>
                <w:color w:val="auto"/>
              </w:rPr>
            </w:pPr>
            <w:r>
              <w:rPr>
                <w:rFonts w:ascii="Times New Roman" w:cs="Times New Roman" w:eastAsia="Times New Roman" w:hAnsi="Times New Roman"/>
                <w:sz w:val="16"/>
                <w:szCs w:val="16"/>
                <w:color w:val="auto"/>
              </w:rPr>
              <w:t>amended and restated as of January 29, 2002, between Sutton Hill Capital,</w:t>
            </w:r>
          </w:p>
        </w:tc>
        <w:tc>
          <w:tcPr>
            <w:tcW w:w="5020" w:type="dxa"/>
            <w:vAlign w:val="bottom"/>
            <w:gridSpan w:val="18"/>
            <w:shd w:val="clear" w:color="auto" w:fill="CEEEFA"/>
          </w:tcPr>
          <w:p>
            <w:pPr>
              <w:spacing w:after="0" w:line="176" w:lineRule="exact"/>
              <w:rPr>
                <w:rFonts w:ascii="Times New Roman" w:cs="Times New Roman" w:eastAsia="Times New Roman" w:hAnsi="Times New Roman"/>
                <w:sz w:val="16"/>
                <w:szCs w:val="16"/>
                <w:color w:val="auto"/>
              </w:rPr>
            </w:pPr>
            <w:hyperlink r:id="rId5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10.40 to the Company’s Annual Report on Form 10-K for</w:t>
              </w:r>
            </w:hyperlink>
          </w:p>
        </w:tc>
        <w:tc>
          <w:tcPr>
            <w:tcW w:w="0" w:type="dxa"/>
            <w:vAlign w:val="bottom"/>
          </w:tcPr>
          <w:p>
            <w:pPr>
              <w:spacing w:after="0"/>
              <w:rPr>
                <w:sz w:val="1"/>
                <w:szCs w:val="1"/>
                <w:color w:val="auto"/>
              </w:rPr>
            </w:pPr>
          </w:p>
        </w:tc>
      </w:tr>
      <w:tr>
        <w:trPr>
          <w:trHeight w:val="155"/>
        </w:trPr>
        <w:tc>
          <w:tcPr>
            <w:tcW w:w="94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10.9</w:t>
            </w:r>
          </w:p>
        </w:tc>
        <w:tc>
          <w:tcPr>
            <w:tcW w:w="5300" w:type="dxa"/>
            <w:vAlign w:val="bottom"/>
            <w:tcBorders>
              <w:top w:val="single" w:sz="8" w:color="CEEEFA"/>
            </w:tcBorders>
            <w:shd w:val="clear" w:color="auto" w:fill="CEEEFA"/>
          </w:tcPr>
          <w:p>
            <w:pPr>
              <w:ind w:left="180"/>
              <w:spacing w:after="0" w:line="155" w:lineRule="exact"/>
              <w:rPr>
                <w:sz w:val="20"/>
                <w:szCs w:val="20"/>
                <w:color w:val="auto"/>
              </w:rPr>
            </w:pPr>
            <w:r>
              <w:rPr>
                <w:rFonts w:ascii="Times New Roman" w:cs="Times New Roman" w:eastAsia="Times New Roman" w:hAnsi="Times New Roman"/>
                <w:sz w:val="16"/>
                <w:szCs w:val="16"/>
                <w:color w:val="auto"/>
              </w:rPr>
              <w:t>L.L.C. and Citadel Cinemas, Inc.</w:t>
            </w:r>
          </w:p>
        </w:tc>
        <w:tc>
          <w:tcPr>
            <w:tcW w:w="58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rPr>
            </w:pPr>
            <w:hyperlink r:id="rId50">
              <w:r>
                <w:rPr>
                  <w:rFonts w:ascii="Times New Roman" w:cs="Times New Roman" w:eastAsia="Times New Roman" w:hAnsi="Times New Roman"/>
                  <w:sz w:val="16"/>
                  <w:szCs w:val="16"/>
                  <w:color w:val="467886"/>
                </w:rPr>
                <w:t>the year</w:t>
              </w:r>
            </w:hyperlink>
          </w:p>
        </w:tc>
        <w:tc>
          <w:tcPr>
            <w:tcW w:w="4300" w:type="dxa"/>
            <w:vAlign w:val="bottom"/>
            <w:tcBorders>
              <w:top w:val="single" w:sz="8" w:color="467886"/>
              <w:right w:val="single" w:sz="8" w:color="CEEEFA"/>
            </w:tcBorders>
            <w:gridSpan w:val="12"/>
            <w:shd w:val="clear" w:color="auto" w:fill="CEEEFA"/>
          </w:tcPr>
          <w:p>
            <w:pPr>
              <w:spacing w:after="0" w:line="155" w:lineRule="exact"/>
              <w:rPr>
                <w:rFonts w:ascii="Times New Roman" w:cs="Times New Roman" w:eastAsia="Times New Roman" w:hAnsi="Times New Roman"/>
                <w:sz w:val="16"/>
                <w:szCs w:val="16"/>
                <w:color w:val="467886"/>
              </w:rPr>
            </w:pPr>
            <w:hyperlink r:id="rId50">
              <w:r>
                <w:rPr>
                  <w:rFonts w:ascii="Times New Roman" w:cs="Times New Roman" w:eastAsia="Times New Roman" w:hAnsi="Times New Roman"/>
                  <w:sz w:val="16"/>
                  <w:szCs w:val="16"/>
                  <w:color w:val="467886"/>
                </w:rPr>
                <w:t xml:space="preserve">ended December 31, 2002 </w:t>
              </w:r>
              <w:r>
                <w:rPr>
                  <w:rFonts w:ascii="Times New Roman" w:cs="Times New Roman" w:eastAsia="Times New Roman" w:hAnsi="Times New Roman"/>
                  <w:sz w:val="16"/>
                  <w:szCs w:val="16"/>
                  <w:color w:val="000000"/>
                </w:rPr>
                <w:t>and incorporated herein by reference.</w:t>
              </w:r>
            </w:hyperlink>
          </w:p>
        </w:tc>
        <w:tc>
          <w:tcPr>
            <w:tcW w:w="60" w:type="dxa"/>
            <w:vAlign w:val="bottom"/>
            <w:tcBorders>
              <w:top w:val="single" w:sz="8" w:color="CEEEFA"/>
            </w:tcBorders>
            <w:gridSpan w:val="2"/>
            <w:shd w:val="clear" w:color="auto" w:fill="CEEEFA"/>
          </w:tcPr>
          <w:p>
            <w:pPr>
              <w:spacing w:after="0"/>
              <w:rPr>
                <w:sz w:val="13"/>
                <w:szCs w:val="13"/>
                <w:color w:val="auto"/>
              </w:rPr>
            </w:pPr>
          </w:p>
        </w:tc>
        <w:tc>
          <w:tcPr>
            <w:tcW w:w="80" w:type="dxa"/>
            <w:vAlign w:val="bottom"/>
            <w:tcBorders>
              <w:top w:val="single" w:sz="8" w:color="CEEEFA"/>
              <w:left w:val="single" w:sz="8" w:color="CEEEFA"/>
            </w:tcBorders>
            <w:gridSpan w:val="2"/>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shd w:val="clear" w:color="auto" w:fill="CEEEFA"/>
          </w:tcPr>
          <w:p>
            <w:pPr>
              <w:spacing w:after="0"/>
              <w:rPr>
                <w:sz w:val="2"/>
                <w:szCs w:val="2"/>
                <w:color w:val="auto"/>
              </w:rPr>
            </w:pPr>
          </w:p>
        </w:tc>
        <w:tc>
          <w:tcPr>
            <w:tcW w:w="5300" w:type="dxa"/>
            <w:vAlign w:val="bottom"/>
            <w:shd w:val="clear" w:color="auto" w:fill="CEEEFA"/>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467886"/>
          </w:tcPr>
          <w:p>
            <w:pPr>
              <w:spacing w:after="0"/>
              <w:rPr>
                <w:sz w:val="2"/>
                <w:szCs w:val="2"/>
                <w:color w:val="auto"/>
              </w:rPr>
            </w:pPr>
          </w:p>
        </w:tc>
        <w:tc>
          <w:tcPr>
            <w:tcW w:w="400" w:type="dxa"/>
            <w:vAlign w:val="bottom"/>
            <w:shd w:val="clear" w:color="auto" w:fill="467886"/>
          </w:tcPr>
          <w:p>
            <w:pPr>
              <w:spacing w:after="0"/>
              <w:rPr>
                <w:sz w:val="2"/>
                <w:szCs w:val="2"/>
                <w:color w:val="auto"/>
              </w:rPr>
            </w:pPr>
          </w:p>
        </w:tc>
        <w:tc>
          <w:tcPr>
            <w:tcW w:w="40" w:type="dxa"/>
            <w:vAlign w:val="bottom"/>
            <w:shd w:val="clear" w:color="auto" w:fill="467886"/>
          </w:tcPr>
          <w:p>
            <w:pPr>
              <w:spacing w:after="0"/>
              <w:rPr>
                <w:sz w:val="2"/>
                <w:szCs w:val="2"/>
                <w:color w:val="auto"/>
              </w:rPr>
            </w:pPr>
          </w:p>
        </w:tc>
        <w:tc>
          <w:tcPr>
            <w:tcW w:w="280" w:type="dxa"/>
            <w:vAlign w:val="bottom"/>
            <w:shd w:val="clear" w:color="auto" w:fill="467886"/>
          </w:tcPr>
          <w:p>
            <w:pPr>
              <w:spacing w:after="0"/>
              <w:rPr>
                <w:sz w:val="2"/>
                <w:szCs w:val="2"/>
                <w:color w:val="auto"/>
              </w:rPr>
            </w:pPr>
          </w:p>
        </w:tc>
        <w:tc>
          <w:tcPr>
            <w:tcW w:w="240" w:type="dxa"/>
            <w:vAlign w:val="bottom"/>
            <w:shd w:val="clear" w:color="auto" w:fill="467886"/>
          </w:tcPr>
          <w:p>
            <w:pPr>
              <w:spacing w:after="0"/>
              <w:rPr>
                <w:sz w:val="2"/>
                <w:szCs w:val="2"/>
                <w:color w:val="auto"/>
              </w:rPr>
            </w:pPr>
          </w:p>
        </w:tc>
        <w:tc>
          <w:tcPr>
            <w:tcW w:w="22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1780" w:type="dxa"/>
            <w:vAlign w:val="bottom"/>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160" w:type="dxa"/>
            <w:vAlign w:val="bottom"/>
            <w:shd w:val="clear" w:color="auto" w:fill="CEEEFA"/>
          </w:tcPr>
          <w:p>
            <w:pPr>
              <w:spacing w:after="0"/>
              <w:rPr>
                <w:sz w:val="2"/>
                <w:szCs w:val="2"/>
                <w:color w:val="auto"/>
              </w:rPr>
            </w:pPr>
          </w:p>
        </w:tc>
        <w:tc>
          <w:tcPr>
            <w:tcW w:w="360" w:type="dxa"/>
            <w:vAlign w:val="bottom"/>
            <w:tcBorders>
              <w:right w:val="single" w:sz="8" w:color="CEEEFA"/>
            </w:tcBorders>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6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tcPr>
          <w:p>
            <w:pPr>
              <w:spacing w:after="0"/>
              <w:rPr>
                <w:sz w:val="12"/>
                <w:szCs w:val="12"/>
                <w:color w:val="auto"/>
              </w:rPr>
            </w:pPr>
          </w:p>
        </w:tc>
        <w:tc>
          <w:tcPr>
            <w:tcW w:w="530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auto"/>
              </w:rPr>
              <w:t>Second Amendment to Amended and Restated Master Operating Lease dated</w:t>
            </w:r>
          </w:p>
        </w:tc>
        <w:tc>
          <w:tcPr>
            <w:tcW w:w="5020" w:type="dxa"/>
            <w:vAlign w:val="bottom"/>
            <w:gridSpan w:val="18"/>
          </w:tcPr>
          <w:p>
            <w:pPr>
              <w:spacing w:after="0" w:line="148" w:lineRule="exact"/>
              <w:rPr>
                <w:rFonts w:ascii="Times New Roman" w:cs="Times New Roman" w:eastAsia="Times New Roman" w:hAnsi="Times New Roman"/>
                <w:sz w:val="16"/>
                <w:szCs w:val="16"/>
                <w:color w:val="auto"/>
              </w:rPr>
            </w:pPr>
            <w:hyperlink r:id="rId5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10.58 to the Company’s report on Form 8-K filed on</w:t>
              </w:r>
            </w:hyperlink>
          </w:p>
        </w:tc>
        <w:tc>
          <w:tcPr>
            <w:tcW w:w="0" w:type="dxa"/>
            <w:vAlign w:val="bottom"/>
          </w:tcPr>
          <w:p>
            <w:pPr>
              <w:spacing w:after="0"/>
              <w:rPr>
                <w:sz w:val="1"/>
                <w:szCs w:val="1"/>
                <w:color w:val="auto"/>
              </w:rPr>
            </w:pPr>
          </w:p>
        </w:tc>
      </w:tr>
      <w:tr>
        <w:trPr>
          <w:trHeight w:val="155"/>
        </w:trPr>
        <w:tc>
          <w:tcPr>
            <w:tcW w:w="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530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as of September 1, 2005</w:t>
            </w:r>
          </w:p>
        </w:tc>
        <w:tc>
          <w:tcPr>
            <w:tcW w:w="580" w:type="dxa"/>
            <w:vAlign w:val="bottom"/>
            <w:gridSpan w:val="2"/>
          </w:tcPr>
          <w:p>
            <w:pPr>
              <w:spacing w:after="0" w:line="155" w:lineRule="exact"/>
              <w:rPr>
                <w:rFonts w:ascii="Times New Roman" w:cs="Times New Roman" w:eastAsia="Times New Roman" w:hAnsi="Times New Roman"/>
                <w:sz w:val="16"/>
                <w:szCs w:val="16"/>
                <w:color w:val="467886"/>
                <w:w w:val="78"/>
              </w:rPr>
            </w:pPr>
            <w:hyperlink r:id="rId51">
              <w:r>
                <w:rPr>
                  <w:rFonts w:ascii="Times New Roman" w:cs="Times New Roman" w:eastAsia="Times New Roman" w:hAnsi="Times New Roman"/>
                  <w:sz w:val="16"/>
                  <w:szCs w:val="16"/>
                  <w:color w:val="467886"/>
                  <w:w w:val="78"/>
                </w:rPr>
                <w:t>September</w:t>
              </w:r>
            </w:hyperlink>
          </w:p>
        </w:tc>
        <w:tc>
          <w:tcPr>
            <w:tcW w:w="3940" w:type="dxa"/>
            <w:vAlign w:val="bottom"/>
            <w:tcBorders>
              <w:top w:val="single" w:sz="8" w:color="467886"/>
            </w:tcBorders>
            <w:gridSpan w:val="11"/>
          </w:tcPr>
          <w:p>
            <w:pPr>
              <w:ind w:left="160"/>
              <w:spacing w:after="0" w:line="155" w:lineRule="exact"/>
              <w:rPr>
                <w:rFonts w:ascii="Times New Roman" w:cs="Times New Roman" w:eastAsia="Times New Roman" w:hAnsi="Times New Roman"/>
                <w:sz w:val="16"/>
                <w:szCs w:val="16"/>
                <w:color w:val="467886"/>
              </w:rPr>
            </w:pPr>
            <w:hyperlink r:id="rId51">
              <w:r>
                <w:rPr>
                  <w:rFonts w:ascii="Times New Roman" w:cs="Times New Roman" w:eastAsia="Times New Roman" w:hAnsi="Times New Roman"/>
                  <w:sz w:val="16"/>
                  <w:szCs w:val="16"/>
                  <w:color w:val="467886"/>
                </w:rPr>
                <w:t>21, 2005</w:t>
              </w:r>
              <w:r>
                <w:rPr>
                  <w:rFonts w:ascii="Times New Roman" w:cs="Times New Roman" w:eastAsia="Times New Roman" w:hAnsi="Times New Roman"/>
                  <w:sz w:val="16"/>
                  <w:szCs w:val="16"/>
                  <w:color w:val="000000"/>
                </w:rPr>
                <w:t>, and incorporated herein by reference.</w:t>
              </w:r>
            </w:hyperlink>
          </w:p>
        </w:tc>
        <w:tc>
          <w:tcPr>
            <w:tcW w:w="3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180" w:type="dxa"/>
            <w:vAlign w:val="bottom"/>
            <w:shd w:val="clear" w:color="auto" w:fill="467886"/>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ind w:left="180"/>
              <w:spacing w:after="0" w:line="148" w:lineRule="exact"/>
              <w:rPr>
                <w:sz w:val="20"/>
                <w:szCs w:val="20"/>
                <w:color w:val="auto"/>
              </w:rPr>
            </w:pPr>
            <w:r>
              <w:rPr>
                <w:rFonts w:ascii="Times New Roman" w:cs="Times New Roman" w:eastAsia="Times New Roman" w:hAnsi="Times New Roman"/>
                <w:sz w:val="16"/>
                <w:szCs w:val="16"/>
                <w:color w:val="auto"/>
              </w:rPr>
              <w:t>Assignment and Assumption of Lease between Sutton Hill Capital L.L.C. and</w:t>
            </w:r>
          </w:p>
        </w:tc>
        <w:tc>
          <w:tcPr>
            <w:tcW w:w="5020" w:type="dxa"/>
            <w:vAlign w:val="bottom"/>
            <w:gridSpan w:val="18"/>
            <w:shd w:val="clear" w:color="auto" w:fill="CEEEFA"/>
          </w:tcPr>
          <w:p>
            <w:pPr>
              <w:spacing w:after="0" w:line="148" w:lineRule="exact"/>
              <w:rPr>
                <w:rFonts w:ascii="Times New Roman" w:cs="Times New Roman" w:eastAsia="Times New Roman" w:hAnsi="Times New Roman"/>
                <w:sz w:val="16"/>
                <w:szCs w:val="16"/>
                <w:color w:val="auto"/>
              </w:rPr>
            </w:pPr>
            <w:hyperlink r:id="rId5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10.56 to the Company’s report on Form 8-K filed on</w:t>
              </w:r>
            </w:hyperlink>
          </w:p>
        </w:tc>
        <w:tc>
          <w:tcPr>
            <w:tcW w:w="0" w:type="dxa"/>
            <w:vAlign w:val="bottom"/>
          </w:tcPr>
          <w:p>
            <w:pPr>
              <w:spacing w:after="0"/>
              <w:rPr>
                <w:sz w:val="1"/>
                <w:szCs w:val="1"/>
                <w:color w:val="auto"/>
              </w:rPr>
            </w:pPr>
          </w:p>
        </w:tc>
      </w:tr>
      <w:tr>
        <w:trPr>
          <w:trHeight w:val="163"/>
        </w:trPr>
        <w:tc>
          <w:tcPr>
            <w:tcW w:w="94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10.11</w:t>
            </w:r>
          </w:p>
        </w:tc>
        <w:tc>
          <w:tcPr>
            <w:tcW w:w="5300" w:type="dxa"/>
            <w:vAlign w:val="bottom"/>
            <w:tcBorders>
              <w:top w:val="single" w:sz="8" w:color="CEEEFA"/>
            </w:tcBorders>
            <w:shd w:val="clear" w:color="auto" w:fill="CEEEFA"/>
          </w:tcPr>
          <w:p>
            <w:pPr>
              <w:ind w:left="180"/>
              <w:spacing w:after="0" w:line="155" w:lineRule="exact"/>
              <w:rPr>
                <w:sz w:val="20"/>
                <w:szCs w:val="20"/>
                <w:color w:val="auto"/>
              </w:rPr>
            </w:pPr>
            <w:r>
              <w:rPr>
                <w:rFonts w:ascii="Times New Roman" w:cs="Times New Roman" w:eastAsia="Times New Roman" w:hAnsi="Times New Roman"/>
                <w:sz w:val="16"/>
                <w:szCs w:val="16"/>
                <w:color w:val="auto"/>
              </w:rPr>
              <w:t>Sutton Hill Properties, LLC dated as of September 19, 2005</w:t>
            </w:r>
          </w:p>
        </w:tc>
        <w:tc>
          <w:tcPr>
            <w:tcW w:w="58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w w:val="78"/>
              </w:rPr>
            </w:pPr>
            <w:hyperlink r:id="rId52">
              <w:r>
                <w:rPr>
                  <w:rFonts w:ascii="Times New Roman" w:cs="Times New Roman" w:eastAsia="Times New Roman" w:hAnsi="Times New Roman"/>
                  <w:sz w:val="16"/>
                  <w:szCs w:val="16"/>
                  <w:color w:val="467886"/>
                  <w:w w:val="78"/>
                </w:rPr>
                <w:t>September</w:t>
              </w:r>
            </w:hyperlink>
          </w:p>
        </w:tc>
        <w:tc>
          <w:tcPr>
            <w:tcW w:w="3940" w:type="dxa"/>
            <w:vAlign w:val="bottom"/>
            <w:tcBorders>
              <w:top w:val="single" w:sz="8" w:color="467886"/>
            </w:tcBorders>
            <w:gridSpan w:val="11"/>
            <w:shd w:val="clear" w:color="auto" w:fill="CEEEFA"/>
          </w:tcPr>
          <w:p>
            <w:pPr>
              <w:ind w:left="160"/>
              <w:spacing w:after="0" w:line="155" w:lineRule="exact"/>
              <w:rPr>
                <w:rFonts w:ascii="Times New Roman" w:cs="Times New Roman" w:eastAsia="Times New Roman" w:hAnsi="Times New Roman"/>
                <w:sz w:val="16"/>
                <w:szCs w:val="16"/>
                <w:color w:val="467886"/>
              </w:rPr>
            </w:pPr>
            <w:hyperlink r:id="rId52">
              <w:r>
                <w:rPr>
                  <w:rFonts w:ascii="Times New Roman" w:cs="Times New Roman" w:eastAsia="Times New Roman" w:hAnsi="Times New Roman"/>
                  <w:sz w:val="16"/>
                  <w:szCs w:val="16"/>
                  <w:color w:val="467886"/>
                </w:rPr>
                <w:t>21, 2005</w:t>
              </w:r>
              <w:r>
                <w:rPr>
                  <w:rFonts w:ascii="Times New Roman" w:cs="Times New Roman" w:eastAsia="Times New Roman" w:hAnsi="Times New Roman"/>
                  <w:sz w:val="16"/>
                  <w:szCs w:val="16"/>
                  <w:color w:val="000000"/>
                </w:rPr>
                <w:t>, and incorporated herein by reference.</w:t>
              </w:r>
            </w:hyperlink>
          </w:p>
        </w:tc>
        <w:tc>
          <w:tcPr>
            <w:tcW w:w="360" w:type="dxa"/>
            <w:vAlign w:val="bottom"/>
            <w:tcBorders>
              <w:top w:val="single" w:sz="8" w:color="CEEEFA"/>
              <w:right w:val="single" w:sz="8" w:color="CEEEFA"/>
            </w:tcBorders>
            <w:shd w:val="clear" w:color="auto" w:fill="CEEEFA"/>
          </w:tcPr>
          <w:p>
            <w:pPr>
              <w:spacing w:after="0"/>
              <w:rPr>
                <w:sz w:val="14"/>
                <w:szCs w:val="14"/>
                <w:color w:val="auto"/>
              </w:rPr>
            </w:pPr>
          </w:p>
        </w:tc>
        <w:tc>
          <w:tcPr>
            <w:tcW w:w="60" w:type="dxa"/>
            <w:vAlign w:val="bottom"/>
            <w:tcBorders>
              <w:top w:val="single" w:sz="8" w:color="CEEEFA"/>
            </w:tcBorders>
            <w:gridSpan w:val="2"/>
            <w:shd w:val="clear" w:color="auto" w:fill="CEEEFA"/>
          </w:tcPr>
          <w:p>
            <w:pPr>
              <w:spacing w:after="0"/>
              <w:rPr>
                <w:sz w:val="14"/>
                <w:szCs w:val="14"/>
                <w:color w:val="auto"/>
              </w:rPr>
            </w:pPr>
          </w:p>
        </w:tc>
        <w:tc>
          <w:tcPr>
            <w:tcW w:w="80" w:type="dxa"/>
            <w:vAlign w:val="bottom"/>
            <w:tcBorders>
              <w:top w:val="single" w:sz="8" w:color="CEEEFA"/>
              <w:left w:val="single" w:sz="8" w:color="CEEEFA"/>
            </w:tcBorders>
            <w:gridSpan w:val="2"/>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Borders>
              <w:top w:val="single" w:sz="8" w:color="CEEEFA"/>
            </w:tcBorders>
          </w:tcPr>
          <w:p>
            <w:pPr>
              <w:spacing w:after="0"/>
              <w:rPr>
                <w:sz w:val="12"/>
                <w:szCs w:val="12"/>
                <w:color w:val="auto"/>
              </w:rPr>
            </w:pPr>
          </w:p>
        </w:tc>
        <w:tc>
          <w:tcPr>
            <w:tcW w:w="5300" w:type="dxa"/>
            <w:vAlign w:val="bottom"/>
            <w:tcBorders>
              <w:top w:val="single" w:sz="8" w:color="CEEEFA"/>
            </w:tcBorders>
          </w:tcPr>
          <w:p>
            <w:pPr>
              <w:ind w:left="180"/>
              <w:spacing w:after="0" w:line="148" w:lineRule="exact"/>
              <w:rPr>
                <w:sz w:val="20"/>
                <w:szCs w:val="20"/>
                <w:color w:val="auto"/>
              </w:rPr>
            </w:pPr>
            <w:r>
              <w:rPr>
                <w:rFonts w:ascii="Times New Roman" w:cs="Times New Roman" w:eastAsia="Times New Roman" w:hAnsi="Times New Roman"/>
                <w:sz w:val="16"/>
                <w:szCs w:val="16"/>
                <w:color w:val="auto"/>
              </w:rPr>
              <w:t>Third Amendment to Amended and Restated Master Operating Lease</w:t>
            </w:r>
          </w:p>
        </w:tc>
        <w:tc>
          <w:tcPr>
            <w:tcW w:w="320" w:type="dxa"/>
            <w:vAlign w:val="bottom"/>
            <w:tcBorders>
              <w:top w:val="single" w:sz="8" w:color="467886"/>
            </w:tcBorders>
          </w:tcPr>
          <w:p>
            <w:pPr>
              <w:spacing w:after="0"/>
              <w:rPr>
                <w:sz w:val="12"/>
                <w:szCs w:val="12"/>
                <w:color w:val="auto"/>
              </w:rPr>
            </w:pPr>
          </w:p>
        </w:tc>
        <w:tc>
          <w:tcPr>
            <w:tcW w:w="260" w:type="dxa"/>
            <w:vAlign w:val="bottom"/>
            <w:tcBorders>
              <w:top w:val="single" w:sz="8" w:color="467886"/>
            </w:tcBorders>
          </w:tcPr>
          <w:p>
            <w:pPr>
              <w:spacing w:after="0"/>
              <w:rPr>
                <w:sz w:val="12"/>
                <w:szCs w:val="12"/>
                <w:color w:val="auto"/>
              </w:rPr>
            </w:pPr>
          </w:p>
        </w:tc>
        <w:tc>
          <w:tcPr>
            <w:tcW w:w="540" w:type="dxa"/>
            <w:vAlign w:val="bottom"/>
            <w:tcBorders>
              <w:top w:val="single" w:sz="8" w:color="467886"/>
            </w:tcBorders>
          </w:tcPr>
          <w:p>
            <w:pPr>
              <w:spacing w:after="0"/>
              <w:rPr>
                <w:sz w:val="12"/>
                <w:szCs w:val="12"/>
                <w:color w:val="auto"/>
              </w:rPr>
            </w:pPr>
          </w:p>
        </w:tc>
        <w:tc>
          <w:tcPr>
            <w:tcW w:w="180" w:type="dxa"/>
            <w:vAlign w:val="bottom"/>
            <w:tcBorders>
              <w:top w:val="single" w:sz="8" w:color="467886"/>
            </w:tcBorders>
          </w:tcPr>
          <w:p>
            <w:pPr>
              <w:spacing w:after="0"/>
              <w:rPr>
                <w:sz w:val="12"/>
                <w:szCs w:val="12"/>
                <w:color w:val="auto"/>
              </w:rPr>
            </w:pPr>
          </w:p>
        </w:tc>
        <w:tc>
          <w:tcPr>
            <w:tcW w:w="400" w:type="dxa"/>
            <w:vAlign w:val="bottom"/>
            <w:tcBorders>
              <w:top w:val="single" w:sz="8" w:color="CEEEFA"/>
            </w:tcBorders>
          </w:tcPr>
          <w:p>
            <w:pPr>
              <w:spacing w:after="0"/>
              <w:rPr>
                <w:sz w:val="12"/>
                <w:szCs w:val="12"/>
                <w:color w:val="auto"/>
              </w:rPr>
            </w:pPr>
          </w:p>
        </w:tc>
        <w:tc>
          <w:tcPr>
            <w:tcW w:w="40" w:type="dxa"/>
            <w:vAlign w:val="bottom"/>
            <w:tcBorders>
              <w:top w:val="single" w:sz="8" w:color="CEEEFA"/>
            </w:tcBorders>
          </w:tcPr>
          <w:p>
            <w:pPr>
              <w:spacing w:after="0"/>
              <w:rPr>
                <w:sz w:val="12"/>
                <w:szCs w:val="12"/>
                <w:color w:val="auto"/>
              </w:rPr>
            </w:pPr>
          </w:p>
        </w:tc>
        <w:tc>
          <w:tcPr>
            <w:tcW w:w="280" w:type="dxa"/>
            <w:vAlign w:val="bottom"/>
            <w:tcBorders>
              <w:top w:val="single" w:sz="8" w:color="CEEEFA"/>
            </w:tcBorders>
          </w:tcPr>
          <w:p>
            <w:pPr>
              <w:spacing w:after="0"/>
              <w:rPr>
                <w:sz w:val="12"/>
                <w:szCs w:val="12"/>
                <w:color w:val="auto"/>
              </w:rPr>
            </w:pPr>
          </w:p>
        </w:tc>
        <w:tc>
          <w:tcPr>
            <w:tcW w:w="240" w:type="dxa"/>
            <w:vAlign w:val="bottom"/>
            <w:tcBorders>
              <w:top w:val="single" w:sz="8" w:color="CEEEFA"/>
            </w:tcBorders>
          </w:tcPr>
          <w:p>
            <w:pPr>
              <w:spacing w:after="0"/>
              <w:rPr>
                <w:sz w:val="12"/>
                <w:szCs w:val="12"/>
                <w:color w:val="auto"/>
              </w:rPr>
            </w:pPr>
          </w:p>
        </w:tc>
        <w:tc>
          <w:tcPr>
            <w:tcW w:w="220" w:type="dxa"/>
            <w:vAlign w:val="bottom"/>
            <w:tcBorders>
              <w:top w:val="single" w:sz="8" w:color="CEEEFA"/>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178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160" w:type="dxa"/>
            <w:vAlign w:val="bottom"/>
            <w:tcBorders>
              <w:top w:val="single" w:sz="8" w:color="CEEEFA"/>
            </w:tcBorders>
          </w:tcPr>
          <w:p>
            <w:pPr>
              <w:spacing w:after="0"/>
              <w:rPr>
                <w:sz w:val="12"/>
                <w:szCs w:val="12"/>
                <w:color w:val="auto"/>
              </w:rPr>
            </w:pPr>
          </w:p>
        </w:tc>
        <w:tc>
          <w:tcPr>
            <w:tcW w:w="360" w:type="dxa"/>
            <w:vAlign w:val="bottom"/>
            <w:tcBorders>
              <w:top w:val="single" w:sz="8" w:color="CEEEFA"/>
            </w:tcBorders>
          </w:tcPr>
          <w:p>
            <w:pPr>
              <w:spacing w:after="0"/>
              <w:rPr>
                <w:sz w:val="12"/>
                <w:szCs w:val="12"/>
                <w:color w:val="auto"/>
              </w:rPr>
            </w:pPr>
          </w:p>
        </w:tc>
        <w:tc>
          <w:tcPr>
            <w:tcW w:w="40" w:type="dxa"/>
            <w:vAlign w:val="bottom"/>
            <w:tcBorders>
              <w:top w:val="single" w:sz="8" w:color="CEEEFA"/>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60" w:type="dxa"/>
            <w:vAlign w:val="bottom"/>
            <w:tcBorders>
              <w:top w:val="single" w:sz="8" w:color="CEEEFA"/>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300" w:type="dxa"/>
            <w:vAlign w:val="bottom"/>
          </w:tcPr>
          <w:p>
            <w:pPr>
              <w:ind w:left="180"/>
              <w:spacing w:after="0" w:line="176" w:lineRule="exact"/>
              <w:rPr>
                <w:sz w:val="20"/>
                <w:szCs w:val="20"/>
                <w:color w:val="auto"/>
              </w:rPr>
            </w:pPr>
            <w:r>
              <w:rPr>
                <w:rFonts w:ascii="Times New Roman" w:cs="Times New Roman" w:eastAsia="Times New Roman" w:hAnsi="Times New Roman"/>
                <w:sz w:val="16"/>
                <w:szCs w:val="16"/>
                <w:color w:val="auto"/>
              </w:rPr>
              <w:t>Agreement, dated June 29, 2010, between Sutton Hill Capital, L.L.C. and</w:t>
            </w:r>
          </w:p>
        </w:tc>
        <w:tc>
          <w:tcPr>
            <w:tcW w:w="5020" w:type="dxa"/>
            <w:vAlign w:val="bottom"/>
            <w:gridSpan w:val="18"/>
          </w:tcPr>
          <w:p>
            <w:pPr>
              <w:spacing w:after="0" w:line="176" w:lineRule="exact"/>
              <w:rPr>
                <w:rFonts w:ascii="Times New Roman" w:cs="Times New Roman" w:eastAsia="Times New Roman" w:hAnsi="Times New Roman"/>
                <w:sz w:val="16"/>
                <w:szCs w:val="16"/>
                <w:color w:val="auto"/>
              </w:rPr>
            </w:pPr>
            <w:hyperlink r:id="rId5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10.21 to the Company’s report on Form 10-K for the year</w:t>
              </w:r>
            </w:hyperlink>
          </w:p>
        </w:tc>
        <w:tc>
          <w:tcPr>
            <w:tcW w:w="0" w:type="dxa"/>
            <w:vAlign w:val="bottom"/>
          </w:tcPr>
          <w:p>
            <w:pPr>
              <w:spacing w:after="0"/>
              <w:rPr>
                <w:sz w:val="1"/>
                <w:szCs w:val="1"/>
                <w:color w:val="auto"/>
              </w:rPr>
            </w:pPr>
          </w:p>
        </w:tc>
      </w:tr>
      <w:tr>
        <w:trPr>
          <w:trHeight w:val="163"/>
        </w:trPr>
        <w:tc>
          <w:tcPr>
            <w:tcW w:w="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10.12</w:t>
            </w:r>
          </w:p>
        </w:tc>
        <w:tc>
          <w:tcPr>
            <w:tcW w:w="530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Citadel Cinemas, Inc.</w:t>
            </w:r>
          </w:p>
        </w:tc>
        <w:tc>
          <w:tcPr>
            <w:tcW w:w="580" w:type="dxa"/>
            <w:vAlign w:val="bottom"/>
            <w:gridSpan w:val="2"/>
          </w:tcPr>
          <w:p>
            <w:pPr>
              <w:spacing w:after="0" w:line="155" w:lineRule="exact"/>
              <w:rPr>
                <w:rFonts w:ascii="Times New Roman" w:cs="Times New Roman" w:eastAsia="Times New Roman" w:hAnsi="Times New Roman"/>
                <w:sz w:val="16"/>
                <w:szCs w:val="16"/>
                <w:color w:val="467886"/>
              </w:rPr>
            </w:pPr>
            <w:hyperlink r:id="rId53">
              <w:r>
                <w:rPr>
                  <w:rFonts w:ascii="Times New Roman" w:cs="Times New Roman" w:eastAsia="Times New Roman" w:hAnsi="Times New Roman"/>
                  <w:sz w:val="16"/>
                  <w:szCs w:val="16"/>
                  <w:color w:val="467886"/>
                </w:rPr>
                <w:t>ended</w:t>
              </w:r>
            </w:hyperlink>
          </w:p>
        </w:tc>
        <w:tc>
          <w:tcPr>
            <w:tcW w:w="4300" w:type="dxa"/>
            <w:vAlign w:val="bottom"/>
            <w:tcBorders>
              <w:top w:val="single" w:sz="8" w:color="467886"/>
            </w:tcBorders>
            <w:gridSpan w:val="12"/>
          </w:tcPr>
          <w:p>
            <w:pPr>
              <w:spacing w:after="0" w:line="155" w:lineRule="exact"/>
              <w:rPr>
                <w:rFonts w:ascii="Times New Roman" w:cs="Times New Roman" w:eastAsia="Times New Roman" w:hAnsi="Times New Roman"/>
                <w:sz w:val="16"/>
                <w:szCs w:val="16"/>
                <w:color w:val="467886"/>
              </w:rPr>
            </w:pPr>
            <w:hyperlink r:id="rId53">
              <w:r>
                <w:rPr>
                  <w:rFonts w:ascii="Times New Roman" w:cs="Times New Roman" w:eastAsia="Times New Roman" w:hAnsi="Times New Roman"/>
                  <w:sz w:val="16"/>
                  <w:szCs w:val="16"/>
                  <w:color w:val="467886"/>
                </w:rPr>
                <w:t>December 31, 2010</w:t>
              </w:r>
              <w:r>
                <w:rPr>
                  <w:rFonts w:ascii="Times New Roman" w:cs="Times New Roman" w:eastAsia="Times New Roman" w:hAnsi="Times New Roman"/>
                  <w:sz w:val="16"/>
                  <w:szCs w:val="16"/>
                  <w:color w:val="000000"/>
                </w:rPr>
                <w:t>, and incorporated herein by reference.</w:t>
              </w:r>
            </w:hyperlink>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EEEFA"/>
          </w:tcPr>
          <w:p>
            <w:pPr>
              <w:spacing w:after="0"/>
              <w:rPr>
                <w:sz w:val="12"/>
                <w:szCs w:val="12"/>
                <w:color w:val="auto"/>
              </w:rPr>
            </w:pPr>
          </w:p>
        </w:tc>
        <w:tc>
          <w:tcPr>
            <w:tcW w:w="5300" w:type="dxa"/>
            <w:vAlign w:val="bottom"/>
            <w:shd w:val="clear" w:color="auto" w:fill="CEEEFA"/>
          </w:tcPr>
          <w:p>
            <w:pPr>
              <w:ind w:left="180"/>
              <w:spacing w:after="0" w:line="148" w:lineRule="exact"/>
              <w:rPr>
                <w:sz w:val="20"/>
                <w:szCs w:val="20"/>
                <w:color w:val="auto"/>
              </w:rPr>
            </w:pPr>
            <w:r>
              <w:rPr>
                <w:rFonts w:ascii="Times New Roman" w:cs="Times New Roman" w:eastAsia="Times New Roman" w:hAnsi="Times New Roman"/>
                <w:sz w:val="16"/>
                <w:szCs w:val="16"/>
                <w:color w:val="auto"/>
              </w:rPr>
              <w:t>Omnibus Amendment Agreement, dated as of October 22, 2003, between</w:t>
            </w:r>
          </w:p>
        </w:tc>
        <w:tc>
          <w:tcPr>
            <w:tcW w:w="320" w:type="dxa"/>
            <w:vAlign w:val="bottom"/>
            <w:tcBorders>
              <w:top w:val="single" w:sz="8" w:color="467886"/>
            </w:tcBorders>
            <w:shd w:val="clear" w:color="auto" w:fill="CEEEFA"/>
          </w:tcPr>
          <w:p>
            <w:pPr>
              <w:spacing w:after="0"/>
              <w:rPr>
                <w:sz w:val="12"/>
                <w:szCs w:val="12"/>
                <w:color w:val="auto"/>
              </w:rPr>
            </w:pPr>
          </w:p>
        </w:tc>
        <w:tc>
          <w:tcPr>
            <w:tcW w:w="260" w:type="dxa"/>
            <w:vAlign w:val="bottom"/>
            <w:tcBorders>
              <w:top w:val="single" w:sz="8" w:color="467886"/>
              <w:right w:val="single" w:sz="8" w:color="CEEEFA"/>
            </w:tcBorders>
            <w:shd w:val="clear" w:color="auto" w:fill="CEEEFA"/>
          </w:tcPr>
          <w:p>
            <w:pPr>
              <w:spacing w:after="0"/>
              <w:rPr>
                <w:sz w:val="12"/>
                <w:szCs w:val="12"/>
                <w:color w:val="auto"/>
              </w:rPr>
            </w:pPr>
          </w:p>
        </w:tc>
        <w:tc>
          <w:tcPr>
            <w:tcW w:w="540" w:type="dxa"/>
            <w:vAlign w:val="bottom"/>
            <w:tcBorders>
              <w:top w:val="single" w:sz="8" w:color="467886"/>
            </w:tcBorders>
            <w:shd w:val="clear" w:color="auto" w:fill="CEEEFA"/>
          </w:tcPr>
          <w:p>
            <w:pPr>
              <w:spacing w:after="0"/>
              <w:rPr>
                <w:sz w:val="12"/>
                <w:szCs w:val="12"/>
                <w:color w:val="auto"/>
              </w:rPr>
            </w:pPr>
          </w:p>
        </w:tc>
        <w:tc>
          <w:tcPr>
            <w:tcW w:w="180" w:type="dxa"/>
            <w:vAlign w:val="bottom"/>
            <w:tcBorders>
              <w:top w:val="single" w:sz="8" w:color="467886"/>
            </w:tcBorders>
            <w:shd w:val="clear" w:color="auto" w:fill="CEEEFA"/>
          </w:tcPr>
          <w:p>
            <w:pPr>
              <w:spacing w:after="0"/>
              <w:rPr>
                <w:sz w:val="12"/>
                <w:szCs w:val="12"/>
                <w:color w:val="auto"/>
              </w:rPr>
            </w:pPr>
          </w:p>
        </w:tc>
        <w:tc>
          <w:tcPr>
            <w:tcW w:w="400" w:type="dxa"/>
            <w:vAlign w:val="bottom"/>
            <w:tcBorders>
              <w:top w:val="single" w:sz="8" w:color="467886"/>
            </w:tcBorders>
            <w:shd w:val="clear" w:color="auto" w:fill="CEEEFA"/>
          </w:tcPr>
          <w:p>
            <w:pPr>
              <w:spacing w:after="0"/>
              <w:rPr>
                <w:sz w:val="12"/>
                <w:szCs w:val="12"/>
                <w:color w:val="auto"/>
              </w:rPr>
            </w:pPr>
          </w:p>
        </w:tc>
        <w:tc>
          <w:tcPr>
            <w:tcW w:w="40" w:type="dxa"/>
            <w:vAlign w:val="bottom"/>
            <w:shd w:val="clear" w:color="auto" w:fill="CEEEFA"/>
          </w:tcPr>
          <w:p>
            <w:pPr>
              <w:spacing w:after="0"/>
              <w:rPr>
                <w:sz w:val="12"/>
                <w:szCs w:val="12"/>
                <w:color w:val="auto"/>
              </w:rPr>
            </w:pPr>
          </w:p>
        </w:tc>
        <w:tc>
          <w:tcPr>
            <w:tcW w:w="280" w:type="dxa"/>
            <w:vAlign w:val="bottom"/>
            <w:shd w:val="clear" w:color="auto" w:fill="CEEEFA"/>
          </w:tcPr>
          <w:p>
            <w:pPr>
              <w:spacing w:after="0"/>
              <w:rPr>
                <w:sz w:val="12"/>
                <w:szCs w:val="12"/>
                <w:color w:val="auto"/>
              </w:rPr>
            </w:pPr>
          </w:p>
        </w:tc>
        <w:tc>
          <w:tcPr>
            <w:tcW w:w="240" w:type="dxa"/>
            <w:vAlign w:val="bottom"/>
            <w:shd w:val="clear" w:color="auto" w:fill="CEEEFA"/>
          </w:tcPr>
          <w:p>
            <w:pPr>
              <w:spacing w:after="0"/>
              <w:rPr>
                <w:sz w:val="12"/>
                <w:szCs w:val="12"/>
                <w:color w:val="auto"/>
              </w:rPr>
            </w:pPr>
          </w:p>
        </w:tc>
        <w:tc>
          <w:tcPr>
            <w:tcW w:w="220" w:type="dxa"/>
            <w:vAlign w:val="bottom"/>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1780" w:type="dxa"/>
            <w:vAlign w:val="bottom"/>
            <w:shd w:val="clear" w:color="auto" w:fill="CEEEFA"/>
          </w:tcPr>
          <w:p>
            <w:pPr>
              <w:spacing w:after="0"/>
              <w:rPr>
                <w:sz w:val="12"/>
                <w:szCs w:val="12"/>
                <w:color w:val="auto"/>
              </w:rPr>
            </w:pPr>
          </w:p>
        </w:tc>
        <w:tc>
          <w:tcPr>
            <w:tcW w:w="80" w:type="dxa"/>
            <w:vAlign w:val="bottom"/>
            <w:shd w:val="clear" w:color="auto" w:fill="CEEEFA"/>
          </w:tcPr>
          <w:p>
            <w:pPr>
              <w:spacing w:after="0"/>
              <w:rPr>
                <w:sz w:val="12"/>
                <w:szCs w:val="12"/>
                <w:color w:val="auto"/>
              </w:rPr>
            </w:pPr>
          </w:p>
        </w:tc>
        <w:tc>
          <w:tcPr>
            <w:tcW w:w="160" w:type="dxa"/>
            <w:vAlign w:val="bottom"/>
            <w:shd w:val="clear" w:color="auto" w:fill="CEEEFA"/>
          </w:tcPr>
          <w:p>
            <w:pPr>
              <w:spacing w:after="0"/>
              <w:rPr>
                <w:sz w:val="12"/>
                <w:szCs w:val="12"/>
                <w:color w:val="auto"/>
              </w:rPr>
            </w:pPr>
          </w:p>
        </w:tc>
        <w:tc>
          <w:tcPr>
            <w:tcW w:w="360" w:type="dxa"/>
            <w:vAlign w:val="bottom"/>
            <w:tcBorders>
              <w:right w:val="single" w:sz="8" w:color="CEEEFA"/>
            </w:tcBorders>
            <w:shd w:val="clear" w:color="auto" w:fill="CEEEFA"/>
          </w:tcPr>
          <w:p>
            <w:pPr>
              <w:spacing w:after="0"/>
              <w:rPr>
                <w:sz w:val="12"/>
                <w:szCs w:val="12"/>
                <w:color w:val="auto"/>
              </w:rPr>
            </w:pPr>
          </w:p>
        </w:tc>
        <w:tc>
          <w:tcPr>
            <w:tcW w:w="40" w:type="dxa"/>
            <w:vAlign w:val="bottom"/>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60" w:type="dxa"/>
            <w:vAlign w:val="bottom"/>
            <w:tcBorders>
              <w:left w:val="single" w:sz="8" w:color="CEEEFA"/>
            </w:tcBorders>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EEEFA"/>
          </w:tcPr>
          <w:p>
            <w:pPr>
              <w:spacing w:after="0"/>
              <w:rPr>
                <w:sz w:val="15"/>
                <w:szCs w:val="15"/>
                <w:color w:val="auto"/>
              </w:rPr>
            </w:pPr>
          </w:p>
        </w:tc>
        <w:tc>
          <w:tcPr>
            <w:tcW w:w="10320" w:type="dxa"/>
            <w:vAlign w:val="bottom"/>
            <w:gridSpan w:val="19"/>
            <w:shd w:val="clear" w:color="auto" w:fill="CEEEFA"/>
          </w:tcPr>
          <w:p>
            <w:pPr>
              <w:ind w:left="180"/>
              <w:spacing w:after="0" w:line="17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Citadel Cinemas, Inc., Sutton Hill Capital, L.L.C., Nationwide Theatres Corp., </w:t>
            </w:r>
            <w:hyperlink r:id="rId5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10.49 to the Company’s report on Form 10-Q for the period</w:t>
              </w:r>
            </w:hyperlink>
          </w:p>
        </w:tc>
        <w:tc>
          <w:tcPr>
            <w:tcW w:w="0" w:type="dxa"/>
            <w:vAlign w:val="bottom"/>
          </w:tcPr>
          <w:p>
            <w:pPr>
              <w:spacing w:after="0"/>
              <w:rPr>
                <w:sz w:val="1"/>
                <w:szCs w:val="1"/>
                <w:color w:val="auto"/>
              </w:rPr>
            </w:pPr>
          </w:p>
        </w:tc>
      </w:tr>
      <w:tr>
        <w:trPr>
          <w:trHeight w:val="163"/>
        </w:trPr>
        <w:tc>
          <w:tcPr>
            <w:tcW w:w="94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10.13</w:t>
            </w:r>
          </w:p>
        </w:tc>
        <w:tc>
          <w:tcPr>
            <w:tcW w:w="5300" w:type="dxa"/>
            <w:vAlign w:val="bottom"/>
            <w:tcBorders>
              <w:top w:val="single" w:sz="8" w:color="CEEEFA"/>
            </w:tcBorders>
            <w:shd w:val="clear" w:color="auto" w:fill="CEEEFA"/>
          </w:tcPr>
          <w:p>
            <w:pPr>
              <w:ind w:left="180"/>
              <w:spacing w:after="0" w:line="155" w:lineRule="exact"/>
              <w:rPr>
                <w:sz w:val="20"/>
                <w:szCs w:val="20"/>
                <w:color w:val="auto"/>
              </w:rPr>
            </w:pPr>
            <w:r>
              <w:rPr>
                <w:rFonts w:ascii="Times New Roman" w:cs="Times New Roman" w:eastAsia="Times New Roman" w:hAnsi="Times New Roman"/>
                <w:sz w:val="16"/>
                <w:szCs w:val="16"/>
                <w:color w:val="auto"/>
              </w:rPr>
              <w:t>Sutton Hill Associates, and Reading International, Inc.</w:t>
            </w:r>
          </w:p>
        </w:tc>
        <w:tc>
          <w:tcPr>
            <w:tcW w:w="58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rPr>
            </w:pPr>
            <w:hyperlink r:id="rId54">
              <w:r>
                <w:rPr>
                  <w:rFonts w:ascii="Times New Roman" w:cs="Times New Roman" w:eastAsia="Times New Roman" w:hAnsi="Times New Roman"/>
                  <w:sz w:val="16"/>
                  <w:szCs w:val="16"/>
                  <w:color w:val="467886"/>
                </w:rPr>
                <w:t>ended</w:t>
              </w:r>
            </w:hyperlink>
          </w:p>
        </w:tc>
        <w:tc>
          <w:tcPr>
            <w:tcW w:w="4360" w:type="dxa"/>
            <w:vAlign w:val="bottom"/>
            <w:tcBorders>
              <w:top w:val="single" w:sz="8" w:color="467886"/>
            </w:tcBorders>
            <w:gridSpan w:val="14"/>
            <w:shd w:val="clear" w:color="auto" w:fill="CEEEFA"/>
          </w:tcPr>
          <w:p>
            <w:pPr>
              <w:spacing w:after="0" w:line="155" w:lineRule="exact"/>
              <w:rPr>
                <w:rFonts w:ascii="Times New Roman" w:cs="Times New Roman" w:eastAsia="Times New Roman" w:hAnsi="Times New Roman"/>
                <w:sz w:val="16"/>
                <w:szCs w:val="16"/>
                <w:color w:val="467886"/>
              </w:rPr>
            </w:pPr>
            <w:hyperlink r:id="rId54">
              <w:r>
                <w:rPr>
                  <w:rFonts w:ascii="Times New Roman" w:cs="Times New Roman" w:eastAsia="Times New Roman" w:hAnsi="Times New Roman"/>
                  <w:sz w:val="16"/>
                  <w:szCs w:val="16"/>
                  <w:color w:val="467886"/>
                </w:rPr>
                <w:t>September 30, 2003</w:t>
              </w:r>
              <w:r>
                <w:rPr>
                  <w:rFonts w:ascii="Times New Roman" w:cs="Times New Roman" w:eastAsia="Times New Roman" w:hAnsi="Times New Roman"/>
                  <w:sz w:val="16"/>
                  <w:szCs w:val="16"/>
                  <w:color w:val="000000"/>
                </w:rPr>
                <w:t>, and incorporated herein by reference.</w:t>
              </w:r>
            </w:hyperlink>
          </w:p>
        </w:tc>
        <w:tc>
          <w:tcPr>
            <w:tcW w:w="80" w:type="dxa"/>
            <w:vAlign w:val="bottom"/>
            <w:tcBorders>
              <w:top w:val="single" w:sz="8" w:color="CEEEFA"/>
              <w:left w:val="single" w:sz="8" w:color="CEEEFA"/>
            </w:tcBorders>
            <w:gridSpan w:val="2"/>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40" w:type="dxa"/>
            <w:vAlign w:val="bottom"/>
            <w:tcBorders>
              <w:top w:val="single" w:sz="8" w:color="CEEEFA"/>
              <w:bottom w:val="single" w:sz="8" w:color="9A9A9A"/>
            </w:tcBorders>
          </w:tcPr>
          <w:p>
            <w:pPr>
              <w:spacing w:after="0"/>
              <w:rPr>
                <w:sz w:val="24"/>
                <w:szCs w:val="24"/>
                <w:color w:val="auto"/>
              </w:rPr>
            </w:pPr>
          </w:p>
        </w:tc>
        <w:tc>
          <w:tcPr>
            <w:tcW w:w="5300" w:type="dxa"/>
            <w:vAlign w:val="bottom"/>
            <w:tcBorders>
              <w:top w:val="single" w:sz="8" w:color="CEEEFA"/>
              <w:bottom w:val="single" w:sz="8" w:color="9A9A9A"/>
            </w:tcBorders>
          </w:tcPr>
          <w:p>
            <w:pPr>
              <w:spacing w:after="0"/>
              <w:rPr>
                <w:sz w:val="24"/>
                <w:szCs w:val="24"/>
                <w:color w:val="auto"/>
              </w:rPr>
            </w:pPr>
          </w:p>
        </w:tc>
        <w:tc>
          <w:tcPr>
            <w:tcW w:w="320" w:type="dxa"/>
            <w:vAlign w:val="bottom"/>
            <w:tcBorders>
              <w:top w:val="single" w:sz="8" w:color="467886"/>
              <w:bottom w:val="single" w:sz="8" w:color="9A9A9A"/>
            </w:tcBorders>
          </w:tcPr>
          <w:p>
            <w:pPr>
              <w:spacing w:after="0"/>
              <w:rPr>
                <w:sz w:val="24"/>
                <w:szCs w:val="24"/>
                <w:color w:val="auto"/>
              </w:rPr>
            </w:pPr>
          </w:p>
        </w:tc>
        <w:tc>
          <w:tcPr>
            <w:tcW w:w="260" w:type="dxa"/>
            <w:vAlign w:val="bottom"/>
            <w:tcBorders>
              <w:top w:val="single" w:sz="8" w:color="467886"/>
              <w:bottom w:val="single" w:sz="8" w:color="9A9A9A"/>
            </w:tcBorders>
          </w:tcPr>
          <w:p>
            <w:pPr>
              <w:spacing w:after="0"/>
              <w:rPr>
                <w:sz w:val="24"/>
                <w:szCs w:val="24"/>
                <w:color w:val="auto"/>
              </w:rPr>
            </w:pPr>
          </w:p>
        </w:tc>
        <w:tc>
          <w:tcPr>
            <w:tcW w:w="540" w:type="dxa"/>
            <w:vAlign w:val="bottom"/>
            <w:tcBorders>
              <w:top w:val="single" w:sz="8" w:color="467886"/>
              <w:bottom w:val="single" w:sz="8" w:color="9A9A9A"/>
            </w:tcBorders>
          </w:tcPr>
          <w:p>
            <w:pPr>
              <w:spacing w:after="0"/>
              <w:rPr>
                <w:sz w:val="24"/>
                <w:szCs w:val="24"/>
                <w:color w:val="auto"/>
              </w:rPr>
            </w:pPr>
          </w:p>
        </w:tc>
        <w:tc>
          <w:tcPr>
            <w:tcW w:w="180" w:type="dxa"/>
            <w:vAlign w:val="bottom"/>
            <w:tcBorders>
              <w:top w:val="single" w:sz="8" w:color="467886"/>
              <w:bottom w:val="single" w:sz="8" w:color="9A9A9A"/>
            </w:tcBorders>
          </w:tcPr>
          <w:p>
            <w:pPr>
              <w:spacing w:after="0"/>
              <w:rPr>
                <w:sz w:val="24"/>
                <w:szCs w:val="24"/>
                <w:color w:val="auto"/>
              </w:rPr>
            </w:pPr>
          </w:p>
        </w:tc>
        <w:tc>
          <w:tcPr>
            <w:tcW w:w="400" w:type="dxa"/>
            <w:vAlign w:val="bottom"/>
            <w:tcBorders>
              <w:top w:val="single" w:sz="8" w:color="467886"/>
              <w:bottom w:val="single" w:sz="8" w:color="9A9A9A"/>
            </w:tcBorders>
          </w:tcPr>
          <w:p>
            <w:pPr>
              <w:spacing w:after="0"/>
              <w:rPr>
                <w:sz w:val="24"/>
                <w:szCs w:val="24"/>
                <w:color w:val="auto"/>
              </w:rPr>
            </w:pPr>
          </w:p>
        </w:tc>
        <w:tc>
          <w:tcPr>
            <w:tcW w:w="40" w:type="dxa"/>
            <w:vAlign w:val="bottom"/>
            <w:tcBorders>
              <w:top w:val="single" w:sz="8" w:color="467886"/>
              <w:bottom w:val="single" w:sz="8" w:color="9A9A9A"/>
            </w:tcBorders>
          </w:tcPr>
          <w:p>
            <w:pPr>
              <w:spacing w:after="0"/>
              <w:rPr>
                <w:sz w:val="24"/>
                <w:szCs w:val="24"/>
                <w:color w:val="auto"/>
              </w:rPr>
            </w:pPr>
          </w:p>
        </w:tc>
        <w:tc>
          <w:tcPr>
            <w:tcW w:w="280" w:type="dxa"/>
            <w:vAlign w:val="bottom"/>
            <w:tcBorders>
              <w:top w:val="single" w:sz="8" w:color="CEEEFA"/>
              <w:bottom w:val="single" w:sz="8" w:color="9A9A9A"/>
            </w:tcBorders>
          </w:tcPr>
          <w:p>
            <w:pPr>
              <w:spacing w:after="0"/>
              <w:rPr>
                <w:sz w:val="24"/>
                <w:szCs w:val="24"/>
                <w:color w:val="auto"/>
              </w:rPr>
            </w:pPr>
          </w:p>
        </w:tc>
        <w:tc>
          <w:tcPr>
            <w:tcW w:w="240" w:type="dxa"/>
            <w:vAlign w:val="bottom"/>
            <w:tcBorders>
              <w:top w:val="single" w:sz="8" w:color="CEEEFA"/>
              <w:bottom w:val="single" w:sz="8" w:color="9A9A9A"/>
            </w:tcBorders>
          </w:tcPr>
          <w:p>
            <w:pPr>
              <w:spacing w:after="0"/>
              <w:rPr>
                <w:sz w:val="24"/>
                <w:szCs w:val="24"/>
                <w:color w:val="auto"/>
              </w:rPr>
            </w:pPr>
          </w:p>
        </w:tc>
        <w:tc>
          <w:tcPr>
            <w:tcW w:w="220" w:type="dxa"/>
            <w:vAlign w:val="bottom"/>
            <w:tcBorders>
              <w:top w:val="single" w:sz="8" w:color="CEEEFA"/>
              <w:bottom w:val="single" w:sz="8" w:color="9A9A9A"/>
            </w:tcBorders>
          </w:tcPr>
          <w:p>
            <w:pPr>
              <w:spacing w:after="0"/>
              <w:rPr>
                <w:sz w:val="24"/>
                <w:szCs w:val="24"/>
                <w:color w:val="auto"/>
              </w:rPr>
            </w:pPr>
          </w:p>
        </w:tc>
        <w:tc>
          <w:tcPr>
            <w:tcW w:w="20" w:type="dxa"/>
            <w:vAlign w:val="bottom"/>
            <w:tcBorders>
              <w:top w:val="single" w:sz="8" w:color="CEEEFA"/>
              <w:bottom w:val="single" w:sz="8" w:color="9A9A9A"/>
            </w:tcBorders>
          </w:tcPr>
          <w:p>
            <w:pPr>
              <w:spacing w:after="0"/>
              <w:rPr>
                <w:sz w:val="24"/>
                <w:szCs w:val="24"/>
                <w:color w:val="auto"/>
              </w:rPr>
            </w:pPr>
          </w:p>
        </w:tc>
        <w:tc>
          <w:tcPr>
            <w:tcW w:w="1780" w:type="dxa"/>
            <w:vAlign w:val="bottom"/>
            <w:tcBorders>
              <w:top w:val="single" w:sz="8" w:color="CEEEFA"/>
              <w:bottom w:val="single" w:sz="8" w:color="9A9A9A"/>
            </w:tcBorders>
          </w:tcPr>
          <w:p>
            <w:pPr>
              <w:spacing w:after="0"/>
              <w:rPr>
                <w:sz w:val="24"/>
                <w:szCs w:val="24"/>
                <w:color w:val="auto"/>
              </w:rPr>
            </w:pPr>
          </w:p>
        </w:tc>
        <w:tc>
          <w:tcPr>
            <w:tcW w:w="80" w:type="dxa"/>
            <w:vAlign w:val="bottom"/>
            <w:tcBorders>
              <w:top w:val="single" w:sz="8" w:color="CEEEFA"/>
              <w:bottom w:val="single" w:sz="8" w:color="9A9A9A"/>
            </w:tcBorders>
          </w:tcPr>
          <w:p>
            <w:pPr>
              <w:spacing w:after="0"/>
              <w:rPr>
                <w:sz w:val="24"/>
                <w:szCs w:val="24"/>
                <w:color w:val="auto"/>
              </w:rPr>
            </w:pPr>
          </w:p>
        </w:tc>
        <w:tc>
          <w:tcPr>
            <w:tcW w:w="160" w:type="dxa"/>
            <w:vAlign w:val="bottom"/>
            <w:tcBorders>
              <w:top w:val="single" w:sz="8" w:color="CEEEFA"/>
              <w:bottom w:val="single" w:sz="8" w:color="9A9A9A"/>
            </w:tcBorders>
          </w:tcPr>
          <w:p>
            <w:pPr>
              <w:spacing w:after="0"/>
              <w:rPr>
                <w:sz w:val="24"/>
                <w:szCs w:val="24"/>
                <w:color w:val="auto"/>
              </w:rPr>
            </w:pPr>
          </w:p>
        </w:tc>
        <w:tc>
          <w:tcPr>
            <w:tcW w:w="360" w:type="dxa"/>
            <w:vAlign w:val="bottom"/>
            <w:tcBorders>
              <w:top w:val="single" w:sz="8" w:color="CEEEFA"/>
              <w:bottom w:val="single" w:sz="8" w:color="9A9A9A"/>
            </w:tcBorders>
          </w:tcPr>
          <w:p>
            <w:pPr>
              <w:spacing w:after="0"/>
              <w:rPr>
                <w:sz w:val="24"/>
                <w:szCs w:val="24"/>
                <w:color w:val="auto"/>
              </w:rPr>
            </w:pPr>
          </w:p>
        </w:tc>
        <w:tc>
          <w:tcPr>
            <w:tcW w:w="40" w:type="dxa"/>
            <w:vAlign w:val="bottom"/>
            <w:tcBorders>
              <w:top w:val="single" w:sz="8" w:color="CEEEFA"/>
              <w:bottom w:val="single" w:sz="8" w:color="9A9A9A"/>
            </w:tcBorders>
          </w:tcPr>
          <w:p>
            <w:pPr>
              <w:spacing w:after="0"/>
              <w:rPr>
                <w:sz w:val="24"/>
                <w:szCs w:val="24"/>
                <w:color w:val="auto"/>
              </w:rPr>
            </w:pPr>
          </w:p>
        </w:tc>
        <w:tc>
          <w:tcPr>
            <w:tcW w:w="20" w:type="dxa"/>
            <w:vAlign w:val="bottom"/>
            <w:tcBorders>
              <w:top w:val="single" w:sz="8" w:color="CEEEFA"/>
              <w:bottom w:val="single" w:sz="8" w:color="9A9A9A"/>
            </w:tcBorders>
          </w:tcPr>
          <w:p>
            <w:pPr>
              <w:spacing w:after="0"/>
              <w:rPr>
                <w:sz w:val="24"/>
                <w:szCs w:val="24"/>
                <w:color w:val="auto"/>
              </w:rPr>
            </w:pPr>
          </w:p>
        </w:tc>
        <w:tc>
          <w:tcPr>
            <w:tcW w:w="60" w:type="dxa"/>
            <w:vAlign w:val="bottom"/>
            <w:tcBorders>
              <w:top w:val="single" w:sz="8" w:color="CEEEFA"/>
              <w:bottom w:val="single" w:sz="8" w:color="9A9A9A"/>
            </w:tcBorders>
          </w:tcPr>
          <w:p>
            <w:pPr>
              <w:spacing w:after="0"/>
              <w:rPr>
                <w:sz w:val="24"/>
                <w:szCs w:val="24"/>
                <w:color w:val="auto"/>
              </w:rPr>
            </w:pPr>
          </w:p>
        </w:tc>
        <w:tc>
          <w:tcPr>
            <w:tcW w:w="20" w:type="dxa"/>
            <w:vAlign w:val="bottom"/>
            <w:tcBorders>
              <w:top w:val="single" w:sz="8" w:color="CEEEFA"/>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5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Amended and Restated Trust Agreement, dated February 5, 2007, among</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1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Reading International Inc., as sponsor, the Administrators named therein, and</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12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Wells Fargo Bank, N.A., as property trustee, and Wells Fargo Delaware Trust</w:t>
            </w:r>
          </w:p>
        </w:tc>
        <w:tc>
          <w:tcPr>
            <w:tcW w:w="5000" w:type="dxa"/>
            <w:vAlign w:val="bottom"/>
            <w:gridSpan w:val="14"/>
          </w:tcPr>
          <w:p>
            <w:pPr>
              <w:spacing w:after="0" w:line="176" w:lineRule="exact"/>
              <w:rPr>
                <w:rFonts w:ascii="Times New Roman" w:cs="Times New Roman" w:eastAsia="Times New Roman" w:hAnsi="Times New Roman"/>
                <w:sz w:val="16"/>
                <w:szCs w:val="16"/>
                <w:color w:val="auto"/>
              </w:rPr>
            </w:pPr>
            <w:hyperlink r:id="rId5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 to the Company’s report on Form 8-K dated</w:t>
              </w:r>
            </w:hyperlink>
          </w:p>
        </w:tc>
        <w:tc>
          <w:tcPr>
            <w:tcW w:w="0" w:type="dxa"/>
            <w:vAlign w:val="bottom"/>
          </w:tcPr>
          <w:p>
            <w:pPr>
              <w:spacing w:after="0"/>
              <w:rPr>
                <w:sz w:val="1"/>
                <w:szCs w:val="1"/>
                <w:color w:val="auto"/>
              </w:rPr>
            </w:pPr>
          </w:p>
        </w:tc>
      </w:tr>
      <w:tr>
        <w:trPr>
          <w:trHeight w:val="156"/>
        </w:trPr>
        <w:tc>
          <w:tcPr>
            <w:tcW w:w="11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10.14</w:t>
            </w:r>
          </w:p>
        </w:tc>
        <w:tc>
          <w:tcPr>
            <w:tcW w:w="512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Company as Delaware trustee</w:t>
            </w:r>
          </w:p>
        </w:tc>
        <w:tc>
          <w:tcPr>
            <w:tcW w:w="580" w:type="dxa"/>
            <w:vAlign w:val="bottom"/>
          </w:tcPr>
          <w:p>
            <w:pPr>
              <w:spacing w:after="0" w:line="155" w:lineRule="exact"/>
              <w:rPr>
                <w:rFonts w:ascii="Times New Roman" w:cs="Times New Roman" w:eastAsia="Times New Roman" w:hAnsi="Times New Roman"/>
                <w:sz w:val="16"/>
                <w:szCs w:val="16"/>
                <w:color w:val="467886"/>
                <w:w w:val="93"/>
              </w:rPr>
            </w:pPr>
            <w:hyperlink r:id="rId57">
              <w:r>
                <w:rPr>
                  <w:rFonts w:ascii="Times New Roman" w:cs="Times New Roman" w:eastAsia="Times New Roman" w:hAnsi="Times New Roman"/>
                  <w:sz w:val="16"/>
                  <w:szCs w:val="16"/>
                  <w:color w:val="467886"/>
                  <w:w w:val="93"/>
                </w:rPr>
                <w:t>February</w:t>
              </w:r>
            </w:hyperlink>
          </w:p>
        </w:tc>
        <w:tc>
          <w:tcPr>
            <w:tcW w:w="3700" w:type="dxa"/>
            <w:vAlign w:val="bottom"/>
            <w:tcBorders>
              <w:top w:val="single" w:sz="8" w:color="467886"/>
            </w:tcBorders>
            <w:gridSpan w:val="7"/>
          </w:tcPr>
          <w:p>
            <w:pPr>
              <w:ind w:left="60"/>
              <w:spacing w:after="0" w:line="155" w:lineRule="exact"/>
              <w:rPr>
                <w:rFonts w:ascii="Times New Roman" w:cs="Times New Roman" w:eastAsia="Times New Roman" w:hAnsi="Times New Roman"/>
                <w:sz w:val="16"/>
                <w:szCs w:val="16"/>
                <w:color w:val="467886"/>
              </w:rPr>
            </w:pPr>
            <w:hyperlink r:id="rId57">
              <w:r>
                <w:rPr>
                  <w:rFonts w:ascii="Times New Roman" w:cs="Times New Roman" w:eastAsia="Times New Roman" w:hAnsi="Times New Roman"/>
                  <w:sz w:val="16"/>
                  <w:szCs w:val="16"/>
                  <w:color w:val="467886"/>
                </w:rPr>
                <w:t>5, 2007</w:t>
              </w:r>
              <w:r>
                <w:rPr>
                  <w:rFonts w:ascii="Times New Roman" w:cs="Times New Roman" w:eastAsia="Times New Roman" w:hAnsi="Times New Roman"/>
                  <w:sz w:val="16"/>
                  <w:szCs w:val="16"/>
                  <w:color w:val="000000"/>
                </w:rPr>
                <w:t>, and incorporated herein by reference.</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Amended and Restated Corporate Markets Loan &amp; Bank Guarantee Facility</w:t>
            </w:r>
          </w:p>
        </w:tc>
        <w:tc>
          <w:tcPr>
            <w:tcW w:w="5000" w:type="dxa"/>
            <w:vAlign w:val="bottom"/>
            <w:tcBorders>
              <w:right w:val="single" w:sz="8" w:color="CEEEFA"/>
            </w:tcBorders>
            <w:gridSpan w:val="14"/>
            <w:shd w:val="clear" w:color="auto" w:fill="CEEEFA"/>
          </w:tcPr>
          <w:p>
            <w:pPr>
              <w:spacing w:after="0" w:line="148" w:lineRule="exact"/>
              <w:rPr>
                <w:rFonts w:ascii="Times New Roman" w:cs="Times New Roman" w:eastAsia="Times New Roman" w:hAnsi="Times New Roman"/>
                <w:sz w:val="16"/>
                <w:szCs w:val="16"/>
                <w:color w:val="auto"/>
              </w:rPr>
            </w:pPr>
            <w:hyperlink r:id="rId5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10.9 to the Company’s Annual Report on Form 10-K for the</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CEEEFA"/>
          </w:tcPr>
          <w:p>
            <w:pPr>
              <w:spacing w:after="0" w:line="20" w:lineRule="exact"/>
              <w:rPr>
                <w:sz w:val="1"/>
                <w:szCs w:val="1"/>
                <w:color w:val="auto"/>
              </w:rPr>
            </w:pPr>
          </w:p>
        </w:tc>
        <w:tc>
          <w:tcPr>
            <w:tcW w:w="5120" w:type="dxa"/>
            <w:vAlign w:val="bottom"/>
            <w:tcBorders>
              <w:right w:val="single" w:sz="8" w:color="CEEEFA"/>
            </w:tcBorders>
            <w:gridSpan w:val="4"/>
            <w:vMerge w:val="restart"/>
            <w:shd w:val="clear" w:color="auto" w:fill="CEEEFA"/>
          </w:tcPr>
          <w:p>
            <w:pPr>
              <w:spacing w:after="0" w:line="175" w:lineRule="exact"/>
              <w:rPr>
                <w:sz w:val="20"/>
                <w:szCs w:val="20"/>
                <w:color w:val="auto"/>
              </w:rPr>
            </w:pPr>
            <w:r>
              <w:rPr>
                <w:rFonts w:ascii="Times New Roman" w:cs="Times New Roman" w:eastAsia="Times New Roman" w:hAnsi="Times New Roman"/>
                <w:sz w:val="16"/>
                <w:szCs w:val="16"/>
                <w:color w:val="auto"/>
              </w:rPr>
              <w:t>Agreement dated December 23, 2015, among Reading Entertainment</w:t>
            </w:r>
          </w:p>
        </w:tc>
        <w:tc>
          <w:tcPr>
            <w:tcW w:w="580" w:type="dxa"/>
            <w:vAlign w:val="bottom"/>
            <w:tcBorders>
              <w:right w:val="single" w:sz="8" w:color="CEEEFA"/>
            </w:tcBorders>
            <w:shd w:val="clear" w:color="auto" w:fill="CEEEFA"/>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60" w:type="dxa"/>
            <w:vAlign w:val="bottom"/>
            <w:tcBorders>
              <w:right w:val="single" w:sz="8" w:color="467886"/>
            </w:tcBorders>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206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CEEEFA"/>
            </w:tcBorders>
            <w:shd w:val="clear" w:color="auto" w:fill="46788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shd w:val="clear" w:color="auto" w:fill="CEEEFA"/>
          </w:tcPr>
          <w:p>
            <w:pPr>
              <w:spacing w:after="0"/>
              <w:rPr>
                <w:sz w:val="13"/>
                <w:szCs w:val="13"/>
                <w:color w:val="auto"/>
              </w:rPr>
            </w:pPr>
          </w:p>
        </w:tc>
        <w:tc>
          <w:tcPr>
            <w:tcW w:w="5120" w:type="dxa"/>
            <w:vAlign w:val="bottom"/>
            <w:tcBorders>
              <w:right w:val="single" w:sz="8" w:color="CEEEFA"/>
            </w:tcBorders>
            <w:gridSpan w:val="4"/>
            <w:vMerge w:val="continue"/>
            <w:shd w:val="clear" w:color="auto" w:fill="CEEEFA"/>
          </w:tcPr>
          <w:p>
            <w:pPr>
              <w:spacing w:after="0"/>
              <w:rPr>
                <w:sz w:val="13"/>
                <w:szCs w:val="13"/>
                <w:color w:val="auto"/>
              </w:rPr>
            </w:pPr>
          </w:p>
        </w:tc>
        <w:tc>
          <w:tcPr>
            <w:tcW w:w="5000" w:type="dxa"/>
            <w:vAlign w:val="bottom"/>
            <w:tcBorders>
              <w:right w:val="single" w:sz="8" w:color="CEEEFA"/>
            </w:tcBorders>
            <w:gridSpan w:val="14"/>
            <w:shd w:val="clear" w:color="auto" w:fill="CEEEFA"/>
          </w:tcPr>
          <w:p>
            <w:pPr>
              <w:spacing w:after="0" w:line="155" w:lineRule="exact"/>
              <w:rPr>
                <w:rFonts w:ascii="Times New Roman" w:cs="Times New Roman" w:eastAsia="Times New Roman" w:hAnsi="Times New Roman"/>
                <w:sz w:val="16"/>
                <w:szCs w:val="16"/>
                <w:color w:val="467886"/>
              </w:rPr>
            </w:pPr>
            <w:hyperlink r:id="rId58">
              <w:r>
                <w:rPr>
                  <w:rFonts w:ascii="Times New Roman" w:cs="Times New Roman" w:eastAsia="Times New Roman" w:hAnsi="Times New Roman"/>
                  <w:sz w:val="16"/>
                  <w:szCs w:val="16"/>
                  <w:color w:val="467886"/>
                </w:rPr>
                <w:t>year ended December 31, 2015</w:t>
              </w:r>
              <w:r>
                <w:rPr>
                  <w:rFonts w:ascii="Times New Roman" w:cs="Times New Roman" w:eastAsia="Times New Roman" w:hAnsi="Times New Roman"/>
                  <w:sz w:val="16"/>
                  <w:szCs w:val="16"/>
                  <w:color w:val="000000"/>
                </w:rPr>
                <w:t>, filed on April 29, 2016 and incorporated</w:t>
              </w:r>
            </w:hyperlink>
          </w:p>
        </w:tc>
        <w:tc>
          <w:tcPr>
            <w:tcW w:w="0" w:type="dxa"/>
            <w:vAlign w:val="bottom"/>
          </w:tcPr>
          <w:p>
            <w:pPr>
              <w:spacing w:after="0"/>
              <w:rPr>
                <w:sz w:val="1"/>
                <w:szCs w:val="1"/>
                <w:color w:val="auto"/>
              </w:rPr>
            </w:pPr>
          </w:p>
        </w:tc>
      </w:tr>
      <w:tr>
        <w:trPr>
          <w:trHeight w:val="183"/>
        </w:trPr>
        <w:tc>
          <w:tcPr>
            <w:tcW w:w="1120" w:type="dxa"/>
            <w:vAlign w:val="bottom"/>
            <w:tcBorders>
              <w:top w:val="single" w:sz="8" w:color="CEEEFA"/>
            </w:tcBorders>
            <w:shd w:val="clear" w:color="auto" w:fill="CEEEFA"/>
          </w:tcPr>
          <w:p>
            <w:pPr>
              <w:ind w:left="20"/>
              <w:spacing w:after="0" w:line="183" w:lineRule="exact"/>
              <w:rPr>
                <w:sz w:val="20"/>
                <w:szCs w:val="20"/>
                <w:color w:val="auto"/>
              </w:rPr>
            </w:pPr>
            <w:r>
              <w:rPr>
                <w:rFonts w:ascii="Times New Roman" w:cs="Times New Roman" w:eastAsia="Times New Roman" w:hAnsi="Times New Roman"/>
                <w:sz w:val="16"/>
                <w:szCs w:val="16"/>
                <w:color w:val="auto"/>
              </w:rPr>
              <w:t>10.15</w:t>
            </w:r>
          </w:p>
        </w:tc>
        <w:tc>
          <w:tcPr>
            <w:tcW w:w="5120" w:type="dxa"/>
            <w:vAlign w:val="bottom"/>
            <w:tcBorders>
              <w:top w:val="single" w:sz="8" w:color="CEEEFA"/>
              <w:right w:val="single" w:sz="8" w:color="CEEEFA"/>
            </w:tcBorders>
            <w:gridSpan w:val="4"/>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Australia Pty Ltd and National Australia Bank Limited</w:t>
            </w:r>
          </w:p>
        </w:tc>
        <w:tc>
          <w:tcPr>
            <w:tcW w:w="2080" w:type="dxa"/>
            <w:vAlign w:val="bottom"/>
            <w:tcBorders>
              <w:top w:val="single" w:sz="8" w:color="467886"/>
              <w:right w:val="single" w:sz="8" w:color="CEEEFA"/>
            </w:tcBorders>
            <w:gridSpan w:val="5"/>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herein by reference.</w:t>
            </w:r>
          </w:p>
        </w:tc>
        <w:tc>
          <w:tcPr>
            <w:tcW w:w="200" w:type="dxa"/>
            <w:vAlign w:val="bottom"/>
            <w:tcBorders>
              <w:top w:val="single" w:sz="8" w:color="CEEEFA"/>
              <w:right w:val="single" w:sz="8" w:color="CEEEFA"/>
            </w:tcBorders>
            <w:shd w:val="clear" w:color="auto" w:fill="CEEEFA"/>
          </w:tcPr>
          <w:p>
            <w:pPr>
              <w:spacing w:after="0"/>
              <w:rPr>
                <w:sz w:val="15"/>
                <w:szCs w:val="15"/>
                <w:color w:val="auto"/>
              </w:rPr>
            </w:pPr>
          </w:p>
        </w:tc>
        <w:tc>
          <w:tcPr>
            <w:tcW w:w="200" w:type="dxa"/>
            <w:vAlign w:val="bottom"/>
            <w:tcBorders>
              <w:top w:val="single" w:sz="8" w:color="CEEEFA"/>
            </w:tcBorders>
            <w:shd w:val="clear" w:color="auto" w:fill="CEEEFA"/>
          </w:tcPr>
          <w:p>
            <w:pPr>
              <w:spacing w:after="0"/>
              <w:rPr>
                <w:sz w:val="15"/>
                <w:szCs w:val="15"/>
                <w:color w:val="auto"/>
              </w:rPr>
            </w:pPr>
          </w:p>
        </w:tc>
        <w:tc>
          <w:tcPr>
            <w:tcW w:w="2060" w:type="dxa"/>
            <w:vAlign w:val="bottom"/>
            <w:tcBorders>
              <w:top w:val="single" w:sz="8" w:color="CEEEFA"/>
            </w:tcBorders>
            <w:gridSpan w:val="2"/>
            <w:shd w:val="clear" w:color="auto" w:fill="CEEEFA"/>
          </w:tcPr>
          <w:p>
            <w:pPr>
              <w:spacing w:after="0"/>
              <w:rPr>
                <w:sz w:val="15"/>
                <w:szCs w:val="15"/>
                <w:color w:val="auto"/>
              </w:rPr>
            </w:pPr>
          </w:p>
        </w:tc>
        <w:tc>
          <w:tcPr>
            <w:tcW w:w="120" w:type="dxa"/>
            <w:vAlign w:val="bottom"/>
            <w:tcBorders>
              <w:top w:val="single" w:sz="8" w:color="CEEEFA"/>
            </w:tcBorders>
            <w:shd w:val="clear" w:color="auto" w:fill="CEEEFA"/>
          </w:tcPr>
          <w:p>
            <w:pPr>
              <w:spacing w:after="0"/>
              <w:rPr>
                <w:sz w:val="15"/>
                <w:szCs w:val="15"/>
                <w:color w:val="auto"/>
              </w:rPr>
            </w:pPr>
          </w:p>
        </w:tc>
        <w:tc>
          <w:tcPr>
            <w:tcW w:w="40" w:type="dxa"/>
            <w:vAlign w:val="bottom"/>
            <w:tcBorders>
              <w:top w:val="single" w:sz="8" w:color="CEEEFA"/>
            </w:tcBorders>
            <w:shd w:val="clear" w:color="auto" w:fill="CEEEFA"/>
          </w:tcPr>
          <w:p>
            <w:pPr>
              <w:spacing w:after="0"/>
              <w:rPr>
                <w:sz w:val="15"/>
                <w:szCs w:val="15"/>
                <w:color w:val="auto"/>
              </w:rPr>
            </w:pPr>
          </w:p>
        </w:tc>
        <w:tc>
          <w:tcPr>
            <w:tcW w:w="140" w:type="dxa"/>
            <w:vAlign w:val="bottom"/>
            <w:tcBorders>
              <w:top w:val="single" w:sz="8" w:color="CEEEFA"/>
            </w:tcBorders>
            <w:shd w:val="clear" w:color="auto" w:fill="CEEEFA"/>
          </w:tcPr>
          <w:p>
            <w:pPr>
              <w:spacing w:after="0"/>
              <w:rPr>
                <w:sz w:val="15"/>
                <w:szCs w:val="15"/>
                <w:color w:val="auto"/>
              </w:rPr>
            </w:pPr>
          </w:p>
        </w:tc>
        <w:tc>
          <w:tcPr>
            <w:tcW w:w="80" w:type="dxa"/>
            <w:vAlign w:val="bottom"/>
            <w:tcBorders>
              <w:top w:val="single" w:sz="8" w:color="CEEEFA"/>
              <w:right w:val="single" w:sz="8" w:color="CEEEFA"/>
            </w:tcBorders>
            <w:shd w:val="clear" w:color="auto" w:fill="CEEEFA"/>
          </w:tcPr>
          <w:p>
            <w:pPr>
              <w:spacing w:after="0"/>
              <w:rPr>
                <w:sz w:val="15"/>
                <w:szCs w:val="15"/>
                <w:color w:val="auto"/>
              </w:rPr>
            </w:pPr>
          </w:p>
        </w:tc>
        <w:tc>
          <w:tcPr>
            <w:tcW w:w="80" w:type="dxa"/>
            <w:vAlign w:val="bottom"/>
            <w:tcBorders>
              <w:top w:val="single" w:sz="8" w:color="CEEEFA"/>
              <w:right w:val="single" w:sz="8" w:color="CEEEFA"/>
            </w:tcBorders>
            <w:shd w:val="clear" w:color="auto" w:fill="CEEEFA"/>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June 12, 2018 between National Australia Bank</w:t>
            </w:r>
          </w:p>
        </w:tc>
        <w:tc>
          <w:tcPr>
            <w:tcW w:w="5000" w:type="dxa"/>
            <w:vAlign w:val="bottom"/>
            <w:gridSpan w:val="14"/>
          </w:tcPr>
          <w:p>
            <w:pPr>
              <w:spacing w:after="0" w:line="148" w:lineRule="exact"/>
              <w:rPr>
                <w:rFonts w:ascii="Times New Roman" w:cs="Times New Roman" w:eastAsia="Times New Roman" w:hAnsi="Times New Roman"/>
                <w:sz w:val="16"/>
                <w:szCs w:val="16"/>
                <w:color w:val="auto"/>
              </w:rPr>
            </w:pP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10.1.2 to the Company’s report on Form 8-K (file no. 1-</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Limited and Reading Entertainment Australia Pty Ltd.</w:t>
            </w:r>
          </w:p>
        </w:tc>
        <w:tc>
          <w:tcPr>
            <w:tcW w:w="58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60" w:type="dxa"/>
            <w:vAlign w:val="bottom"/>
            <w:tcBorders>
              <w:right w:val="single" w:sz="8" w:color="467886"/>
            </w:tcBorders>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206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700" w:type="dxa"/>
            <w:vAlign w:val="bottom"/>
            <w:gridSpan w:val="11"/>
          </w:tcPr>
          <w:p>
            <w:pPr>
              <w:spacing w:after="0" w:line="155" w:lineRule="exact"/>
              <w:rPr>
                <w:rFonts w:ascii="Times New Roman" w:cs="Times New Roman" w:eastAsia="Times New Roman" w:hAnsi="Times New Roman"/>
                <w:sz w:val="16"/>
                <w:szCs w:val="16"/>
                <w:color w:val="467886"/>
              </w:rPr>
            </w:pPr>
            <w:hyperlink r:id="rId59">
              <w:r>
                <w:rPr>
                  <w:rFonts w:ascii="Times New Roman" w:cs="Times New Roman" w:eastAsia="Times New Roman" w:hAnsi="Times New Roman"/>
                  <w:sz w:val="16"/>
                  <w:szCs w:val="16"/>
                  <w:color w:val="467886"/>
                </w:rPr>
                <w:t>8625), filed on June 2, 2020</w:t>
              </w:r>
              <w:r>
                <w:rPr>
                  <w:rFonts w:ascii="Times New Roman" w:cs="Times New Roman" w:eastAsia="Times New Roman" w:hAnsi="Times New Roman"/>
                  <w:sz w:val="16"/>
                  <w:szCs w:val="16"/>
                  <w:color w:val="000000"/>
                </w:rPr>
                <w:t>, and incorporated herein by reference.</w:t>
              </w:r>
            </w:hyperlink>
          </w:p>
        </w:tc>
        <w:tc>
          <w:tcPr>
            <w:tcW w:w="1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March 27, 2019 between National Australia Bank</w:t>
            </w:r>
          </w:p>
        </w:tc>
        <w:tc>
          <w:tcPr>
            <w:tcW w:w="5000" w:type="dxa"/>
            <w:vAlign w:val="bottom"/>
            <w:tcBorders>
              <w:right w:val="single" w:sz="8" w:color="CEEEFA"/>
            </w:tcBorders>
            <w:gridSpan w:val="14"/>
            <w:shd w:val="clear" w:color="auto" w:fill="CEEEFA"/>
          </w:tcPr>
          <w:p>
            <w:pPr>
              <w:spacing w:after="0" w:line="148" w:lineRule="exact"/>
              <w:rPr>
                <w:rFonts w:ascii="Times New Roman" w:cs="Times New Roman" w:eastAsia="Times New Roman" w:hAnsi="Times New Roman"/>
                <w:sz w:val="16"/>
                <w:szCs w:val="16"/>
                <w:color w:val="auto"/>
              </w:rPr>
            </w:pP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10.1.3 to the Company’s report on Form 8-K (file no. 1-</w:t>
              </w:r>
            </w:hyperlink>
          </w:p>
        </w:tc>
        <w:tc>
          <w:tcPr>
            <w:tcW w:w="0" w:type="dxa"/>
            <w:vAlign w:val="bottom"/>
          </w:tcPr>
          <w:p>
            <w:pPr>
              <w:spacing w:after="0"/>
              <w:rPr>
                <w:sz w:val="1"/>
                <w:szCs w:val="1"/>
                <w:color w:val="auto"/>
              </w:rPr>
            </w:pPr>
          </w:p>
        </w:tc>
      </w:tr>
      <w:tr>
        <w:trPr>
          <w:trHeight w:val="20"/>
        </w:trPr>
        <w:tc>
          <w:tcPr>
            <w:tcW w:w="112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5120" w:type="dxa"/>
            <w:vAlign w:val="bottom"/>
            <w:tcBorders>
              <w:right w:val="single" w:sz="8" w:color="CEEEFA"/>
            </w:tcBorders>
            <w:gridSpan w:val="4"/>
            <w:vMerge w:val="restart"/>
            <w:shd w:val="clear" w:color="auto" w:fill="CEEEFA"/>
          </w:tcPr>
          <w:p>
            <w:pPr>
              <w:spacing w:after="0" w:line="175" w:lineRule="exact"/>
              <w:rPr>
                <w:sz w:val="20"/>
                <w:szCs w:val="20"/>
                <w:color w:val="auto"/>
              </w:rPr>
            </w:pPr>
            <w:r>
              <w:rPr>
                <w:rFonts w:ascii="Times New Roman" w:cs="Times New Roman" w:eastAsia="Times New Roman" w:hAnsi="Times New Roman"/>
                <w:sz w:val="16"/>
                <w:szCs w:val="16"/>
                <w:color w:val="auto"/>
              </w:rPr>
              <w:t>Limited and Reading Entertainment Australia Pty Ltd.</w:t>
            </w:r>
          </w:p>
        </w:tc>
        <w:tc>
          <w:tcPr>
            <w:tcW w:w="580" w:type="dxa"/>
            <w:vAlign w:val="bottom"/>
            <w:tcBorders>
              <w:right w:val="single" w:sz="8" w:color="0000EE"/>
            </w:tcBorders>
            <w:shd w:val="clear" w:color="auto" w:fill="CEEEFA"/>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380" w:type="dxa"/>
            <w:vAlign w:val="bottom"/>
            <w:tcBorders>
              <w:right w:val="single" w:sz="8" w:color="467886"/>
            </w:tcBorders>
            <w:gridSpan w:val="2"/>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206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40" w:type="dxa"/>
            <w:vAlign w:val="bottom"/>
            <w:vMerge w:val="restart"/>
            <w:shd w:val="clear" w:color="auto" w:fill="CEEEFA"/>
          </w:tcPr>
          <w:p>
            <w:pPr>
              <w:spacing w:after="0" w:line="20" w:lineRule="exact"/>
              <w:rPr>
                <w:sz w:val="1"/>
                <w:szCs w:val="1"/>
                <w:color w:val="auto"/>
              </w:rPr>
            </w:pPr>
          </w:p>
        </w:tc>
        <w:tc>
          <w:tcPr>
            <w:tcW w:w="80" w:type="dxa"/>
            <w:vAlign w:val="bottom"/>
            <w:tcBorders>
              <w:right w:val="single" w:sz="8" w:color="CEEEFA"/>
            </w:tcBorders>
            <w:vMerge w:val="restart"/>
            <w:shd w:val="clear" w:color="auto" w:fill="CEEEFA"/>
          </w:tcPr>
          <w:p>
            <w:pPr>
              <w:spacing w:after="0" w:line="20" w:lineRule="exact"/>
              <w:rPr>
                <w:sz w:val="1"/>
                <w:szCs w:val="1"/>
                <w:color w:val="auto"/>
              </w:rPr>
            </w:pPr>
          </w:p>
        </w:tc>
        <w:tc>
          <w:tcPr>
            <w:tcW w:w="80" w:type="dxa"/>
            <w:vAlign w:val="bottom"/>
            <w:tcBorders>
              <w:right w:val="single" w:sz="8" w:color="CEEEFA"/>
            </w:tcBorders>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vMerge w:val="continue"/>
            <w:shd w:val="clear" w:color="auto" w:fill="CEEEFA"/>
          </w:tcPr>
          <w:p>
            <w:pPr>
              <w:spacing w:after="0"/>
              <w:rPr>
                <w:sz w:val="13"/>
                <w:szCs w:val="13"/>
                <w:color w:val="auto"/>
              </w:rPr>
            </w:pPr>
          </w:p>
        </w:tc>
        <w:tc>
          <w:tcPr>
            <w:tcW w:w="5120" w:type="dxa"/>
            <w:vAlign w:val="bottom"/>
            <w:tcBorders>
              <w:right w:val="single" w:sz="8" w:color="CEEEFA"/>
            </w:tcBorders>
            <w:gridSpan w:val="4"/>
            <w:vMerge w:val="continue"/>
            <w:shd w:val="clear" w:color="auto" w:fill="CEEEFA"/>
          </w:tcPr>
          <w:p>
            <w:pPr>
              <w:spacing w:after="0"/>
              <w:rPr>
                <w:sz w:val="13"/>
                <w:szCs w:val="13"/>
                <w:color w:val="auto"/>
              </w:rPr>
            </w:pPr>
          </w:p>
        </w:tc>
        <w:tc>
          <w:tcPr>
            <w:tcW w:w="4700" w:type="dxa"/>
            <w:vAlign w:val="bottom"/>
            <w:gridSpan w:val="11"/>
            <w:shd w:val="clear" w:color="auto" w:fill="CEEEFA"/>
          </w:tcPr>
          <w:p>
            <w:pPr>
              <w:spacing w:after="0" w:line="155" w:lineRule="exact"/>
              <w:rPr>
                <w:rFonts w:ascii="Times New Roman" w:cs="Times New Roman" w:eastAsia="Times New Roman" w:hAnsi="Times New Roman"/>
                <w:sz w:val="16"/>
                <w:szCs w:val="16"/>
                <w:color w:val="467886"/>
              </w:rPr>
            </w:pPr>
            <w:hyperlink r:id="rId59">
              <w:r>
                <w:rPr>
                  <w:rFonts w:ascii="Times New Roman" w:cs="Times New Roman" w:eastAsia="Times New Roman" w:hAnsi="Times New Roman"/>
                  <w:sz w:val="16"/>
                  <w:szCs w:val="16"/>
                  <w:color w:val="467886"/>
                </w:rPr>
                <w:t>8625), filed on June 2, 2020</w:t>
              </w:r>
              <w:r>
                <w:rPr>
                  <w:rFonts w:ascii="Times New Roman" w:cs="Times New Roman" w:eastAsia="Times New Roman" w:hAnsi="Times New Roman"/>
                  <w:sz w:val="16"/>
                  <w:szCs w:val="16"/>
                  <w:color w:val="000000"/>
                </w:rPr>
                <w:t>, and incorporated herein by reference.</w:t>
              </w:r>
            </w:hyperlink>
          </w:p>
        </w:tc>
        <w:tc>
          <w:tcPr>
            <w:tcW w:w="140" w:type="dxa"/>
            <w:vAlign w:val="bottom"/>
            <w:vMerge w:val="continue"/>
            <w:shd w:val="clear" w:color="auto" w:fill="CEEEFA"/>
          </w:tcPr>
          <w:p>
            <w:pPr>
              <w:spacing w:after="0"/>
              <w:rPr>
                <w:sz w:val="13"/>
                <w:szCs w:val="13"/>
                <w:color w:val="auto"/>
              </w:rPr>
            </w:pPr>
          </w:p>
        </w:tc>
        <w:tc>
          <w:tcPr>
            <w:tcW w:w="80" w:type="dxa"/>
            <w:vAlign w:val="bottom"/>
            <w:tcBorders>
              <w:right w:val="single" w:sz="8" w:color="CEEEFA"/>
            </w:tcBorders>
            <w:vMerge w:val="continue"/>
            <w:shd w:val="clear" w:color="auto" w:fill="CEEEFA"/>
          </w:tcPr>
          <w:p>
            <w:pPr>
              <w:spacing w:after="0"/>
              <w:rPr>
                <w:sz w:val="13"/>
                <w:szCs w:val="13"/>
                <w:color w:val="auto"/>
              </w:rPr>
            </w:pPr>
          </w:p>
        </w:tc>
        <w:tc>
          <w:tcPr>
            <w:tcW w:w="80" w:type="dxa"/>
            <w:vAlign w:val="bottom"/>
            <w:tcBorders>
              <w:right w:val="single" w:sz="8" w:color="CEEEFA"/>
            </w:tcBorders>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CEEEFA"/>
          </w:tcPr>
          <w:p>
            <w:pPr>
              <w:spacing w:after="0"/>
              <w:rPr>
                <w:sz w:val="2"/>
                <w:szCs w:val="2"/>
                <w:color w:val="auto"/>
              </w:rPr>
            </w:pPr>
          </w:p>
        </w:tc>
        <w:tc>
          <w:tcPr>
            <w:tcW w:w="3560" w:type="dxa"/>
            <w:vAlign w:val="bottom"/>
            <w:shd w:val="clear" w:color="auto" w:fill="CEEEFA"/>
          </w:tcPr>
          <w:p>
            <w:pPr>
              <w:spacing w:after="0"/>
              <w:rPr>
                <w:sz w:val="2"/>
                <w:szCs w:val="2"/>
                <w:color w:val="auto"/>
              </w:rPr>
            </w:pPr>
          </w:p>
        </w:tc>
        <w:tc>
          <w:tcPr>
            <w:tcW w:w="68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600" w:type="dxa"/>
            <w:vAlign w:val="bottom"/>
            <w:tcBorders>
              <w:right w:val="single" w:sz="8" w:color="CEEEFA"/>
            </w:tcBorders>
            <w:shd w:val="clear" w:color="auto" w:fill="CEEEFA"/>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CEEEFA"/>
            </w:tcBorders>
            <w:shd w:val="clear" w:color="auto" w:fill="CEEEFA"/>
          </w:tcPr>
          <w:p>
            <w:pPr>
              <w:spacing w:after="0"/>
              <w:rPr>
                <w:sz w:val="2"/>
                <w:szCs w:val="2"/>
                <w:color w:val="auto"/>
              </w:rPr>
            </w:pPr>
          </w:p>
        </w:tc>
        <w:tc>
          <w:tcPr>
            <w:tcW w:w="200" w:type="dxa"/>
            <w:vAlign w:val="bottom"/>
            <w:tcBorders>
              <w:right w:val="single" w:sz="8" w:color="CEEEFA"/>
            </w:tcBorders>
            <w:shd w:val="clear" w:color="auto" w:fill="CEEEFA"/>
          </w:tcPr>
          <w:p>
            <w:pPr>
              <w:spacing w:after="0"/>
              <w:rPr>
                <w:sz w:val="2"/>
                <w:szCs w:val="2"/>
                <w:color w:val="auto"/>
              </w:rPr>
            </w:pPr>
          </w:p>
        </w:tc>
        <w:tc>
          <w:tcPr>
            <w:tcW w:w="200" w:type="dxa"/>
            <w:vAlign w:val="bottom"/>
            <w:shd w:val="clear" w:color="auto" w:fill="CEEEFA"/>
          </w:tcPr>
          <w:p>
            <w:pPr>
              <w:spacing w:after="0"/>
              <w:rPr>
                <w:sz w:val="2"/>
                <w:szCs w:val="2"/>
                <w:color w:val="auto"/>
              </w:rPr>
            </w:pPr>
          </w:p>
        </w:tc>
        <w:tc>
          <w:tcPr>
            <w:tcW w:w="1800" w:type="dxa"/>
            <w:vAlign w:val="bottom"/>
            <w:shd w:val="clear" w:color="auto" w:fill="CEEEFA"/>
          </w:tcPr>
          <w:p>
            <w:pPr>
              <w:spacing w:after="0"/>
              <w:rPr>
                <w:sz w:val="2"/>
                <w:szCs w:val="2"/>
                <w:color w:val="auto"/>
              </w:rPr>
            </w:pPr>
          </w:p>
        </w:tc>
        <w:tc>
          <w:tcPr>
            <w:tcW w:w="26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140" w:type="dxa"/>
            <w:vAlign w:val="bottom"/>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Letter of Waiver dated April 9, 2020 between National Australia Bank</w:t>
            </w:r>
          </w:p>
        </w:tc>
        <w:tc>
          <w:tcPr>
            <w:tcW w:w="5000" w:type="dxa"/>
            <w:vAlign w:val="bottom"/>
            <w:gridSpan w:val="14"/>
          </w:tcPr>
          <w:p>
            <w:pPr>
              <w:spacing w:after="0" w:line="148" w:lineRule="exact"/>
              <w:rPr>
                <w:rFonts w:ascii="Times New Roman" w:cs="Times New Roman" w:eastAsia="Times New Roman" w:hAnsi="Times New Roman"/>
                <w:sz w:val="16"/>
                <w:szCs w:val="16"/>
                <w:color w:val="auto"/>
              </w:rPr>
            </w:pP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10.1.4 to the Company’s report on Form 8-K (file no. 1-</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Limited and Reading Entertainment Australia Pty Ltd.</w:t>
            </w:r>
          </w:p>
        </w:tc>
        <w:tc>
          <w:tcPr>
            <w:tcW w:w="58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380" w:type="dxa"/>
            <w:vAlign w:val="bottom"/>
            <w:tcBorders>
              <w:right w:val="single" w:sz="8" w:color="467886"/>
            </w:tcBorders>
            <w:gridSpan w:val="2"/>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206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700" w:type="dxa"/>
            <w:vAlign w:val="bottom"/>
            <w:gridSpan w:val="11"/>
          </w:tcPr>
          <w:p>
            <w:pPr>
              <w:spacing w:after="0" w:line="155" w:lineRule="exact"/>
              <w:rPr>
                <w:rFonts w:ascii="Times New Roman" w:cs="Times New Roman" w:eastAsia="Times New Roman" w:hAnsi="Times New Roman"/>
                <w:sz w:val="16"/>
                <w:szCs w:val="16"/>
                <w:color w:val="467886"/>
              </w:rPr>
            </w:pPr>
            <w:hyperlink r:id="rId59">
              <w:r>
                <w:rPr>
                  <w:rFonts w:ascii="Times New Roman" w:cs="Times New Roman" w:eastAsia="Times New Roman" w:hAnsi="Times New Roman"/>
                  <w:sz w:val="16"/>
                  <w:szCs w:val="16"/>
                  <w:color w:val="467886"/>
                </w:rPr>
                <w:t>8625), filed on June 2, 2020</w:t>
              </w:r>
              <w:r>
                <w:rPr>
                  <w:rFonts w:ascii="Times New Roman" w:cs="Times New Roman" w:eastAsia="Times New Roman" w:hAnsi="Times New Roman"/>
                  <w:sz w:val="16"/>
                  <w:szCs w:val="16"/>
                  <w:color w:val="000000"/>
                </w:rPr>
                <w:t>, and incorporated herein by reference.</w:t>
              </w:r>
            </w:hyperlink>
          </w:p>
        </w:tc>
        <w:tc>
          <w:tcPr>
            <w:tcW w:w="1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Amendment Letter dated August 7, 2020 between National Australian Bank</w:t>
            </w:r>
          </w:p>
        </w:tc>
        <w:tc>
          <w:tcPr>
            <w:tcW w:w="5000" w:type="dxa"/>
            <w:vAlign w:val="bottom"/>
            <w:tcBorders>
              <w:right w:val="single" w:sz="8" w:color="CEEEFA"/>
            </w:tcBorders>
            <w:gridSpan w:val="14"/>
            <w:shd w:val="clear" w:color="auto" w:fill="CEEEFA"/>
          </w:tcPr>
          <w:p>
            <w:pPr>
              <w:spacing w:after="0" w:line="148" w:lineRule="exact"/>
              <w:rPr>
                <w:rFonts w:ascii="Times New Roman" w:cs="Times New Roman" w:eastAsia="Times New Roman" w:hAnsi="Times New Roman"/>
                <w:sz w:val="16"/>
                <w:szCs w:val="16"/>
                <w:color w:val="auto"/>
              </w:rPr>
            </w:pPr>
            <w:hyperlink r:id="rId6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5120" w:type="dxa"/>
            <w:vAlign w:val="bottom"/>
            <w:tcBorders>
              <w:right w:val="single" w:sz="8" w:color="CEEEFA"/>
            </w:tcBorders>
            <w:gridSpan w:val="4"/>
            <w:vMerge w:val="restart"/>
            <w:shd w:val="clear" w:color="auto" w:fill="CEEEFA"/>
          </w:tcPr>
          <w:p>
            <w:pPr>
              <w:spacing w:after="0" w:line="175" w:lineRule="exact"/>
              <w:rPr>
                <w:sz w:val="20"/>
                <w:szCs w:val="20"/>
                <w:color w:val="auto"/>
              </w:rPr>
            </w:pPr>
            <w:r>
              <w:rPr>
                <w:rFonts w:ascii="Times New Roman" w:cs="Times New Roman" w:eastAsia="Times New Roman" w:hAnsi="Times New Roman"/>
                <w:sz w:val="16"/>
                <w:szCs w:val="16"/>
                <w:color w:val="auto"/>
              </w:rPr>
              <w:t>Limited and Reading Entertainment Australia Pty. Ltd.</w:t>
            </w:r>
          </w:p>
        </w:tc>
        <w:tc>
          <w:tcPr>
            <w:tcW w:w="580" w:type="dxa"/>
            <w:vAlign w:val="bottom"/>
            <w:tcBorders>
              <w:right w:val="single" w:sz="8" w:color="CEEEFA"/>
            </w:tcBorders>
            <w:shd w:val="clear" w:color="auto" w:fill="CEEEFA"/>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380" w:type="dxa"/>
            <w:vAlign w:val="bottom"/>
            <w:tcBorders>
              <w:right w:val="single" w:sz="8" w:color="467886"/>
            </w:tcBorders>
            <w:gridSpan w:val="2"/>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206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80" w:type="dxa"/>
            <w:vAlign w:val="bottom"/>
            <w:gridSpan w:val="2"/>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CEEEFA"/>
            </w:tcBorders>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vMerge w:val="continue"/>
            <w:shd w:val="clear" w:color="auto" w:fill="CEEEFA"/>
          </w:tcPr>
          <w:p>
            <w:pPr>
              <w:spacing w:after="0"/>
              <w:rPr>
                <w:sz w:val="14"/>
                <w:szCs w:val="14"/>
                <w:color w:val="auto"/>
              </w:rPr>
            </w:pPr>
          </w:p>
        </w:tc>
        <w:tc>
          <w:tcPr>
            <w:tcW w:w="5120" w:type="dxa"/>
            <w:vAlign w:val="bottom"/>
            <w:tcBorders>
              <w:right w:val="single" w:sz="8" w:color="CEEEFA"/>
            </w:tcBorders>
            <w:gridSpan w:val="4"/>
            <w:vMerge w:val="continue"/>
            <w:shd w:val="clear" w:color="auto" w:fill="CEEEFA"/>
          </w:tcPr>
          <w:p>
            <w:pPr>
              <w:spacing w:after="0"/>
              <w:rPr>
                <w:sz w:val="14"/>
                <w:szCs w:val="14"/>
                <w:color w:val="auto"/>
              </w:rPr>
            </w:pPr>
          </w:p>
        </w:tc>
        <w:tc>
          <w:tcPr>
            <w:tcW w:w="4920" w:type="dxa"/>
            <w:vAlign w:val="bottom"/>
            <w:tcBorders>
              <w:right w:val="single" w:sz="8" w:color="CEEEFA"/>
            </w:tcBorders>
            <w:gridSpan w:val="13"/>
            <w:shd w:val="clear" w:color="auto" w:fill="CEEEFA"/>
          </w:tcPr>
          <w:p>
            <w:pPr>
              <w:spacing w:after="0" w:line="155" w:lineRule="exact"/>
              <w:rPr>
                <w:rFonts w:ascii="Times New Roman" w:cs="Times New Roman" w:eastAsia="Times New Roman" w:hAnsi="Times New Roman"/>
                <w:sz w:val="16"/>
                <w:szCs w:val="16"/>
                <w:color w:val="467886"/>
              </w:rPr>
            </w:pPr>
            <w:hyperlink r:id="rId60">
              <w:r>
                <w:rPr>
                  <w:rFonts w:ascii="Times New Roman" w:cs="Times New Roman" w:eastAsia="Times New Roman" w:hAnsi="Times New Roman"/>
                  <w:sz w:val="16"/>
                  <w:szCs w:val="16"/>
                  <w:color w:val="467886"/>
                </w:rPr>
                <w:t>the quarter ended June 30, 2020</w:t>
              </w:r>
              <w:r>
                <w:rPr>
                  <w:rFonts w:ascii="Times New Roman" w:cs="Times New Roman" w:eastAsia="Times New Roman" w:hAnsi="Times New Roman"/>
                  <w:sz w:val="16"/>
                  <w:szCs w:val="16"/>
                  <w:color w:val="000000"/>
                </w:rPr>
                <w:t>, , and incorporated herein by reference.</w:t>
              </w:r>
            </w:hyperlink>
          </w:p>
        </w:tc>
        <w:tc>
          <w:tcPr>
            <w:tcW w:w="80" w:type="dxa"/>
            <w:vAlign w:val="bottom"/>
            <w:tcBorders>
              <w:right w:val="single" w:sz="8" w:color="CEEEFA"/>
            </w:tcBorders>
            <w:vMerge w:val="continue"/>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tcBorders>
              <w:top w:val="single" w:sz="8" w:color="CEEEFA"/>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5120" w:type="dxa"/>
            <w:vAlign w:val="bottom"/>
            <w:tcBorders>
              <w:top w:val="single" w:sz="8" w:color="CEEEFA"/>
            </w:tcBorders>
            <w:gridSpan w:val="4"/>
          </w:tcPr>
          <w:p>
            <w:pPr>
              <w:spacing w:after="0" w:line="148" w:lineRule="exact"/>
              <w:rPr>
                <w:sz w:val="20"/>
                <w:szCs w:val="20"/>
                <w:color w:val="auto"/>
              </w:rPr>
            </w:pPr>
            <w:r>
              <w:rPr>
                <w:rFonts w:ascii="Times New Roman" w:cs="Times New Roman" w:eastAsia="Times New Roman" w:hAnsi="Times New Roman"/>
                <w:sz w:val="16"/>
                <w:szCs w:val="16"/>
                <w:color w:val="467886"/>
              </w:rPr>
              <w:t>Amendment Deed dated June 8, 2021, by and between Reading Entertainment</w:t>
            </w:r>
          </w:p>
        </w:tc>
        <w:tc>
          <w:tcPr>
            <w:tcW w:w="2080" w:type="dxa"/>
            <w:vAlign w:val="bottom"/>
            <w:tcBorders>
              <w:top w:val="single" w:sz="8" w:color="467886"/>
            </w:tcBorders>
            <w:gridSpan w:val="5"/>
            <w:vMerge w:val="restart"/>
          </w:tcPr>
          <w:p>
            <w:pPr>
              <w:spacing w:after="0"/>
              <w:rPr>
                <w:sz w:val="20"/>
                <w:szCs w:val="20"/>
                <w:color w:val="auto"/>
              </w:rPr>
            </w:pPr>
            <w:r>
              <w:rPr>
                <w:rFonts w:ascii="Times New Roman" w:cs="Times New Roman" w:eastAsia="Times New Roman" w:hAnsi="Times New Roman"/>
                <w:sz w:val="16"/>
                <w:szCs w:val="16"/>
                <w:color w:val="auto"/>
              </w:rPr>
              <w:t>N/A</w:t>
            </w:r>
          </w:p>
        </w:tc>
        <w:tc>
          <w:tcPr>
            <w:tcW w:w="2920" w:type="dxa"/>
            <w:vAlign w:val="bottom"/>
            <w:tcBorders>
              <w:top w:val="single" w:sz="8" w:color="CEEEFA"/>
            </w:tcBorders>
            <w:gridSpan w:val="9"/>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120" w:type="dxa"/>
            <w:vAlign w:val="bottom"/>
            <w:tcBorders>
              <w:top w:val="single" w:sz="8" w:color="CEEEFA"/>
            </w:tcBorders>
            <w:vMerge w:val="continue"/>
          </w:tcPr>
          <w:p>
            <w:pPr>
              <w:spacing w:after="0"/>
              <w:rPr>
                <w:sz w:val="14"/>
                <w:szCs w:val="14"/>
                <w:color w:val="auto"/>
              </w:rPr>
            </w:pPr>
          </w:p>
        </w:tc>
        <w:tc>
          <w:tcPr>
            <w:tcW w:w="3560" w:type="dxa"/>
            <w:vAlign w:val="bottom"/>
            <w:tcBorders>
              <w:top w:val="single" w:sz="8" w:color="467886"/>
              <w:bottom w:val="single" w:sz="8" w:color="467886"/>
            </w:tcBorders>
          </w:tcPr>
          <w:p>
            <w:pPr>
              <w:spacing w:after="0" w:line="155" w:lineRule="exact"/>
              <w:rPr>
                <w:sz w:val="20"/>
                <w:szCs w:val="20"/>
                <w:color w:val="auto"/>
              </w:rPr>
            </w:pPr>
            <w:r>
              <w:rPr>
                <w:rFonts w:ascii="Times New Roman" w:cs="Times New Roman" w:eastAsia="Times New Roman" w:hAnsi="Times New Roman"/>
                <w:sz w:val="16"/>
                <w:szCs w:val="16"/>
                <w:color w:val="467886"/>
              </w:rPr>
              <w:t>Australia Pty Ltd and National Australia Bank Limited</w:t>
            </w:r>
          </w:p>
        </w:tc>
        <w:tc>
          <w:tcPr>
            <w:tcW w:w="1560" w:type="dxa"/>
            <w:vAlign w:val="bottom"/>
            <w:tcBorders>
              <w:top w:val="single" w:sz="8" w:color="467886"/>
            </w:tcBorders>
            <w:gridSpan w:val="3"/>
          </w:tcPr>
          <w:p>
            <w:pPr>
              <w:spacing w:after="0"/>
              <w:rPr>
                <w:sz w:val="14"/>
                <w:szCs w:val="14"/>
                <w:color w:val="auto"/>
              </w:rPr>
            </w:pPr>
          </w:p>
        </w:tc>
        <w:tc>
          <w:tcPr>
            <w:tcW w:w="2080" w:type="dxa"/>
            <w:vAlign w:val="bottom"/>
            <w:tcBorders>
              <w:top w:val="single" w:sz="8" w:color="467886"/>
            </w:tcBorders>
            <w:gridSpan w:val="5"/>
            <w:vMerge w:val="continue"/>
          </w:tcPr>
          <w:p>
            <w:pPr>
              <w:spacing w:after="0"/>
              <w:rPr>
                <w:sz w:val="14"/>
                <w:szCs w:val="14"/>
                <w:color w:val="auto"/>
              </w:rPr>
            </w:pPr>
          </w:p>
        </w:tc>
        <w:tc>
          <w:tcPr>
            <w:tcW w:w="2920" w:type="dxa"/>
            <w:vAlign w:val="bottom"/>
            <w:tcBorders>
              <w:top w:val="single" w:sz="8" w:color="CEEEFA"/>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Corporate Markets Loan &amp; Bank Guarantee Facility Agreement dated June 8,</w:t>
            </w:r>
          </w:p>
        </w:tc>
        <w:tc>
          <w:tcPr>
            <w:tcW w:w="580" w:type="dxa"/>
            <w:vAlign w:val="bottom"/>
            <w:tcBorders>
              <w:right w:val="single" w:sz="8" w:color="CEEEFA"/>
            </w:tcBorders>
            <w:shd w:val="clear" w:color="auto" w:fill="CEEEFA"/>
          </w:tcPr>
          <w:p>
            <w:pPr>
              <w:spacing w:after="0"/>
              <w:rPr>
                <w:sz w:val="12"/>
                <w:szCs w:val="12"/>
                <w:color w:val="auto"/>
              </w:rPr>
            </w:pPr>
          </w:p>
        </w:tc>
        <w:tc>
          <w:tcPr>
            <w:tcW w:w="540" w:type="dxa"/>
            <w:vAlign w:val="bottom"/>
            <w:shd w:val="clear" w:color="auto" w:fill="CEEEFA"/>
          </w:tcPr>
          <w:p>
            <w:pPr>
              <w:spacing w:after="0"/>
              <w:rPr>
                <w:sz w:val="12"/>
                <w:szCs w:val="12"/>
                <w:color w:val="auto"/>
              </w:rPr>
            </w:pPr>
          </w:p>
        </w:tc>
        <w:tc>
          <w:tcPr>
            <w:tcW w:w="58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260" w:type="dxa"/>
            <w:vAlign w:val="bottom"/>
            <w:tcBorders>
              <w:right w:val="single" w:sz="8" w:color="CEEEFA"/>
            </w:tcBorders>
            <w:shd w:val="clear" w:color="auto" w:fill="CEEEFA"/>
          </w:tcPr>
          <w:p>
            <w:pPr>
              <w:spacing w:after="0"/>
              <w:rPr>
                <w:sz w:val="12"/>
                <w:szCs w:val="12"/>
                <w:color w:val="auto"/>
              </w:rPr>
            </w:pPr>
          </w:p>
        </w:tc>
        <w:tc>
          <w:tcPr>
            <w:tcW w:w="200" w:type="dxa"/>
            <w:vAlign w:val="bottom"/>
            <w:tcBorders>
              <w:right w:val="single" w:sz="8" w:color="CEEEFA"/>
            </w:tcBorders>
            <w:shd w:val="clear" w:color="auto" w:fill="CEEEFA"/>
          </w:tcPr>
          <w:p>
            <w:pPr>
              <w:spacing w:after="0"/>
              <w:rPr>
                <w:sz w:val="12"/>
                <w:szCs w:val="12"/>
                <w:color w:val="auto"/>
              </w:rPr>
            </w:pPr>
          </w:p>
        </w:tc>
        <w:tc>
          <w:tcPr>
            <w:tcW w:w="200" w:type="dxa"/>
            <w:vAlign w:val="bottom"/>
            <w:shd w:val="clear" w:color="auto" w:fill="CEEEFA"/>
          </w:tcPr>
          <w:p>
            <w:pPr>
              <w:spacing w:after="0"/>
              <w:rPr>
                <w:sz w:val="12"/>
                <w:szCs w:val="12"/>
                <w:color w:val="auto"/>
              </w:rPr>
            </w:pPr>
          </w:p>
        </w:tc>
        <w:tc>
          <w:tcPr>
            <w:tcW w:w="1800" w:type="dxa"/>
            <w:vAlign w:val="bottom"/>
            <w:shd w:val="clear" w:color="auto" w:fill="CEEEFA"/>
          </w:tcPr>
          <w:p>
            <w:pPr>
              <w:spacing w:after="0"/>
              <w:rPr>
                <w:sz w:val="12"/>
                <w:szCs w:val="12"/>
                <w:color w:val="auto"/>
              </w:rPr>
            </w:pPr>
          </w:p>
        </w:tc>
        <w:tc>
          <w:tcPr>
            <w:tcW w:w="26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40" w:type="dxa"/>
            <w:vAlign w:val="bottom"/>
            <w:shd w:val="clear" w:color="auto" w:fill="CEEEFA"/>
          </w:tcPr>
          <w:p>
            <w:pPr>
              <w:spacing w:after="0"/>
              <w:rPr>
                <w:sz w:val="12"/>
                <w:szCs w:val="12"/>
                <w:color w:val="auto"/>
              </w:rPr>
            </w:pPr>
          </w:p>
        </w:tc>
        <w:tc>
          <w:tcPr>
            <w:tcW w:w="140" w:type="dxa"/>
            <w:vAlign w:val="bottom"/>
            <w:shd w:val="clear" w:color="auto" w:fill="CEEEFA"/>
          </w:tcPr>
          <w:p>
            <w:pPr>
              <w:spacing w:after="0"/>
              <w:rPr>
                <w:sz w:val="12"/>
                <w:szCs w:val="12"/>
                <w:color w:val="auto"/>
              </w:rPr>
            </w:pPr>
          </w:p>
        </w:tc>
        <w:tc>
          <w:tcPr>
            <w:tcW w:w="80" w:type="dxa"/>
            <w:vAlign w:val="bottom"/>
            <w:tcBorders>
              <w:right w:val="single" w:sz="8" w:color="CEEEFA"/>
            </w:tcBorders>
            <w:shd w:val="clear" w:color="auto" w:fill="CEEEFA"/>
          </w:tcPr>
          <w:p>
            <w:pPr>
              <w:spacing w:after="0"/>
              <w:rPr>
                <w:sz w:val="12"/>
                <w:szCs w:val="12"/>
                <w:color w:val="auto"/>
              </w:rPr>
            </w:pPr>
          </w:p>
        </w:tc>
        <w:tc>
          <w:tcPr>
            <w:tcW w:w="80" w:type="dxa"/>
            <w:vAlign w:val="bottom"/>
            <w:tcBorders>
              <w:right w:val="single" w:sz="8" w:color="CEEEFA"/>
            </w:tcBorders>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EEEFA"/>
          </w:tcPr>
          <w:p>
            <w:pPr>
              <w:spacing w:after="0"/>
              <w:rPr>
                <w:sz w:val="15"/>
                <w:szCs w:val="15"/>
                <w:color w:val="auto"/>
              </w:rPr>
            </w:pPr>
          </w:p>
        </w:tc>
        <w:tc>
          <w:tcPr>
            <w:tcW w:w="5120" w:type="dxa"/>
            <w:vAlign w:val="bottom"/>
            <w:tcBorders>
              <w:right w:val="single" w:sz="8" w:color="CEEEFA"/>
            </w:tcBorders>
            <w:gridSpan w:val="4"/>
            <w:shd w:val="clear" w:color="auto" w:fill="CEEEFA"/>
          </w:tcPr>
          <w:p>
            <w:pPr>
              <w:spacing w:after="0" w:line="176" w:lineRule="exact"/>
              <w:rPr>
                <w:sz w:val="20"/>
                <w:szCs w:val="20"/>
                <w:color w:val="auto"/>
              </w:rPr>
            </w:pPr>
            <w:r>
              <w:rPr>
                <w:rFonts w:ascii="Times New Roman" w:cs="Times New Roman" w:eastAsia="Times New Roman" w:hAnsi="Times New Roman"/>
                <w:sz w:val="16"/>
                <w:szCs w:val="16"/>
                <w:color w:val="auto"/>
              </w:rPr>
              <w:t>2021, by and between Reading Entertainment Australia Pty Ltd and National</w:t>
            </w:r>
          </w:p>
        </w:tc>
        <w:tc>
          <w:tcPr>
            <w:tcW w:w="5000" w:type="dxa"/>
            <w:vAlign w:val="bottom"/>
            <w:tcBorders>
              <w:right w:val="single" w:sz="8" w:color="CEEEFA"/>
            </w:tcBorders>
            <w:gridSpan w:val="14"/>
            <w:shd w:val="clear" w:color="auto" w:fill="CEEEFA"/>
          </w:tcPr>
          <w:p>
            <w:pPr>
              <w:spacing w:after="0" w:line="176" w:lineRule="exact"/>
              <w:rPr>
                <w:rFonts w:ascii="Times New Roman" w:cs="Times New Roman" w:eastAsia="Times New Roman" w:hAnsi="Times New Roman"/>
                <w:sz w:val="16"/>
                <w:szCs w:val="16"/>
                <w:color w:val="auto"/>
              </w:rPr>
            </w:pPr>
            <w:hyperlink r:id="rId6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5120" w:type="dxa"/>
            <w:vAlign w:val="bottom"/>
            <w:tcBorders>
              <w:right w:val="single" w:sz="8" w:color="CEEEFA"/>
            </w:tcBorders>
            <w:gridSpan w:val="4"/>
            <w:vMerge w:val="restart"/>
            <w:shd w:val="clear" w:color="auto" w:fill="CEEEFA"/>
          </w:tcPr>
          <w:p>
            <w:pPr>
              <w:spacing w:after="0" w:line="175" w:lineRule="exact"/>
              <w:rPr>
                <w:sz w:val="20"/>
                <w:szCs w:val="20"/>
                <w:color w:val="auto"/>
              </w:rPr>
            </w:pPr>
            <w:r>
              <w:rPr>
                <w:rFonts w:ascii="Times New Roman" w:cs="Times New Roman" w:eastAsia="Times New Roman" w:hAnsi="Times New Roman"/>
                <w:sz w:val="16"/>
                <w:szCs w:val="16"/>
                <w:color w:val="auto"/>
              </w:rPr>
              <w:t>Australia Bank Limited</w:t>
            </w:r>
          </w:p>
        </w:tc>
        <w:tc>
          <w:tcPr>
            <w:tcW w:w="580" w:type="dxa"/>
            <w:vAlign w:val="bottom"/>
            <w:tcBorders>
              <w:right w:val="single" w:sz="8" w:color="CEEEFA"/>
            </w:tcBorders>
            <w:shd w:val="clear" w:color="auto" w:fill="CEEEFA"/>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580" w:type="dxa"/>
            <w:vAlign w:val="bottom"/>
            <w:tcBorders>
              <w:right w:val="single" w:sz="8" w:color="467886"/>
            </w:tcBorders>
            <w:gridSpan w:val="3"/>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206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80" w:type="dxa"/>
            <w:vAlign w:val="bottom"/>
            <w:gridSpan w:val="2"/>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CEEEFA"/>
            </w:tcBorders>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vMerge w:val="continue"/>
            <w:shd w:val="clear" w:color="auto" w:fill="CEEEFA"/>
          </w:tcPr>
          <w:p>
            <w:pPr>
              <w:spacing w:after="0"/>
              <w:rPr>
                <w:sz w:val="13"/>
                <w:szCs w:val="13"/>
                <w:color w:val="auto"/>
              </w:rPr>
            </w:pPr>
          </w:p>
        </w:tc>
        <w:tc>
          <w:tcPr>
            <w:tcW w:w="5120" w:type="dxa"/>
            <w:vAlign w:val="bottom"/>
            <w:tcBorders>
              <w:right w:val="single" w:sz="8" w:color="CEEEFA"/>
            </w:tcBorders>
            <w:gridSpan w:val="4"/>
            <w:vMerge w:val="continue"/>
            <w:shd w:val="clear" w:color="auto" w:fill="CEEEFA"/>
          </w:tcPr>
          <w:p>
            <w:pPr>
              <w:spacing w:after="0"/>
              <w:rPr>
                <w:sz w:val="13"/>
                <w:szCs w:val="13"/>
                <w:color w:val="auto"/>
              </w:rPr>
            </w:pPr>
          </w:p>
        </w:tc>
        <w:tc>
          <w:tcPr>
            <w:tcW w:w="4920" w:type="dxa"/>
            <w:vAlign w:val="bottom"/>
            <w:tcBorders>
              <w:right w:val="single" w:sz="8" w:color="CEEEFA"/>
            </w:tcBorders>
            <w:gridSpan w:val="13"/>
            <w:shd w:val="clear" w:color="auto" w:fill="CEEEFA"/>
          </w:tcPr>
          <w:p>
            <w:pPr>
              <w:spacing w:after="0" w:line="155" w:lineRule="exact"/>
              <w:rPr>
                <w:rFonts w:ascii="Times New Roman" w:cs="Times New Roman" w:eastAsia="Times New Roman" w:hAnsi="Times New Roman"/>
                <w:sz w:val="16"/>
                <w:szCs w:val="16"/>
                <w:color w:val="467886"/>
              </w:rPr>
            </w:pPr>
            <w:hyperlink r:id="rId61">
              <w:r>
                <w:rPr>
                  <w:rFonts w:ascii="Times New Roman" w:cs="Times New Roman" w:eastAsia="Times New Roman" w:hAnsi="Times New Roman"/>
                  <w:sz w:val="16"/>
                  <w:szCs w:val="16"/>
                  <w:color w:val="467886"/>
                </w:rPr>
                <w:t>the quarter ended June 30, 2021</w:t>
              </w:r>
              <w:r>
                <w:rPr>
                  <w:rFonts w:ascii="Times New Roman" w:cs="Times New Roman" w:eastAsia="Times New Roman" w:hAnsi="Times New Roman"/>
                  <w:sz w:val="16"/>
                  <w:szCs w:val="16"/>
                  <w:color w:val="000000"/>
                </w:rPr>
                <w:t>, and incorporated herein by reference.</w:t>
              </w:r>
            </w:hyperlink>
          </w:p>
        </w:tc>
        <w:tc>
          <w:tcPr>
            <w:tcW w:w="80" w:type="dxa"/>
            <w:vAlign w:val="bottom"/>
            <w:tcBorders>
              <w:right w:val="single" w:sz="8" w:color="CEEEFA"/>
            </w:tcBorders>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CEEEFA"/>
          </w:tcPr>
          <w:p>
            <w:pPr>
              <w:spacing w:after="0"/>
              <w:rPr>
                <w:sz w:val="2"/>
                <w:szCs w:val="2"/>
                <w:color w:val="auto"/>
              </w:rPr>
            </w:pPr>
          </w:p>
        </w:tc>
        <w:tc>
          <w:tcPr>
            <w:tcW w:w="3560" w:type="dxa"/>
            <w:vAlign w:val="bottom"/>
            <w:shd w:val="clear" w:color="auto" w:fill="CEEEFA"/>
          </w:tcPr>
          <w:p>
            <w:pPr>
              <w:spacing w:after="0"/>
              <w:rPr>
                <w:sz w:val="2"/>
                <w:szCs w:val="2"/>
                <w:color w:val="auto"/>
              </w:rPr>
            </w:pPr>
          </w:p>
        </w:tc>
        <w:tc>
          <w:tcPr>
            <w:tcW w:w="68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600" w:type="dxa"/>
            <w:vAlign w:val="bottom"/>
            <w:tcBorders>
              <w:right w:val="single" w:sz="8" w:color="CEEEFA"/>
            </w:tcBorders>
            <w:shd w:val="clear" w:color="auto" w:fill="CEEEFA"/>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200" w:type="dxa"/>
            <w:vAlign w:val="bottom"/>
            <w:tcBorders>
              <w:right w:val="single" w:sz="8" w:color="CEEEFA"/>
            </w:tcBorders>
            <w:shd w:val="clear" w:color="auto" w:fill="CEEEFA"/>
          </w:tcPr>
          <w:p>
            <w:pPr>
              <w:spacing w:after="0"/>
              <w:rPr>
                <w:sz w:val="2"/>
                <w:szCs w:val="2"/>
                <w:color w:val="auto"/>
              </w:rPr>
            </w:pPr>
          </w:p>
        </w:tc>
        <w:tc>
          <w:tcPr>
            <w:tcW w:w="200" w:type="dxa"/>
            <w:vAlign w:val="bottom"/>
            <w:shd w:val="clear" w:color="auto" w:fill="CEEEFA"/>
          </w:tcPr>
          <w:p>
            <w:pPr>
              <w:spacing w:after="0"/>
              <w:rPr>
                <w:sz w:val="2"/>
                <w:szCs w:val="2"/>
                <w:color w:val="auto"/>
              </w:rPr>
            </w:pPr>
          </w:p>
        </w:tc>
        <w:tc>
          <w:tcPr>
            <w:tcW w:w="1800" w:type="dxa"/>
            <w:vAlign w:val="bottom"/>
            <w:shd w:val="clear" w:color="auto" w:fill="CEEEFA"/>
          </w:tcPr>
          <w:p>
            <w:pPr>
              <w:spacing w:after="0"/>
              <w:rPr>
                <w:sz w:val="2"/>
                <w:szCs w:val="2"/>
                <w:color w:val="auto"/>
              </w:rPr>
            </w:pPr>
          </w:p>
        </w:tc>
        <w:tc>
          <w:tcPr>
            <w:tcW w:w="26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140" w:type="dxa"/>
            <w:vAlign w:val="bottom"/>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November 2, 2021, by and between Reading</w:t>
            </w:r>
          </w:p>
        </w:tc>
        <w:tc>
          <w:tcPr>
            <w:tcW w:w="5000" w:type="dxa"/>
            <w:vAlign w:val="bottom"/>
            <w:gridSpan w:val="14"/>
          </w:tcPr>
          <w:p>
            <w:pPr>
              <w:spacing w:after="0" w:line="148" w:lineRule="exact"/>
              <w:rPr>
                <w:rFonts w:ascii="Times New Roman" w:cs="Times New Roman" w:eastAsia="Times New Roman" w:hAnsi="Times New Roman"/>
                <w:sz w:val="16"/>
                <w:szCs w:val="16"/>
                <w:color w:val="auto"/>
              </w:rPr>
            </w:pPr>
            <w:hyperlink r:id="rId6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580" w:type="dxa"/>
            <w:vAlign w:val="bottom"/>
            <w:tcBorders>
              <w:right w:val="single" w:sz="8" w:color="467886"/>
            </w:tcBorders>
            <w:gridSpan w:val="3"/>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2060" w:type="dxa"/>
            <w:vAlign w:val="bottom"/>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80" w:type="dxa"/>
            <w:vAlign w:val="bottom"/>
            <w:gridSpan w:val="2"/>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920" w:type="dxa"/>
            <w:vAlign w:val="bottom"/>
            <w:gridSpan w:val="13"/>
          </w:tcPr>
          <w:p>
            <w:pPr>
              <w:spacing w:after="0" w:line="155" w:lineRule="exact"/>
              <w:rPr>
                <w:rFonts w:ascii="Times New Roman" w:cs="Times New Roman" w:eastAsia="Times New Roman" w:hAnsi="Times New Roman"/>
                <w:sz w:val="16"/>
                <w:szCs w:val="16"/>
                <w:color w:val="467886"/>
                <w:w w:val="99"/>
              </w:rPr>
            </w:pPr>
            <w:hyperlink r:id="rId62">
              <w:r>
                <w:rPr>
                  <w:rFonts w:ascii="Times New Roman" w:cs="Times New Roman" w:eastAsia="Times New Roman" w:hAnsi="Times New Roman"/>
                  <w:sz w:val="16"/>
                  <w:szCs w:val="16"/>
                  <w:color w:val="467886"/>
                  <w:w w:val="99"/>
                </w:rPr>
                <w:t>the quarter ended September 30, 2021</w:t>
              </w:r>
              <w:r>
                <w:rPr>
                  <w:rFonts w:ascii="Times New Roman" w:cs="Times New Roman" w:eastAsia="Times New Roman" w:hAnsi="Times New Roman"/>
                  <w:sz w:val="16"/>
                  <w:szCs w:val="16"/>
                  <w:color w:val="000000"/>
                  <w:w w:val="99"/>
                </w:rPr>
                <w:t>, and incorporated herein by reference.</w:t>
              </w:r>
            </w:hyperlink>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200" w:type="dxa"/>
            <w:vAlign w:val="bottom"/>
            <w:tcBorders>
              <w:right w:val="single" w:sz="8" w:color="467886"/>
            </w:tcBorders>
            <w:shd w:val="clear" w:color="auto" w:fill="467886"/>
          </w:tcPr>
          <w:p>
            <w:pPr>
              <w:spacing w:after="0"/>
              <w:rPr>
                <w:sz w:val="2"/>
                <w:szCs w:val="2"/>
                <w:color w:val="auto"/>
              </w:rPr>
            </w:pPr>
          </w:p>
        </w:tc>
        <w:tc>
          <w:tcPr>
            <w:tcW w:w="200" w:type="dxa"/>
            <w:vAlign w:val="bottom"/>
            <w:shd w:val="clear" w:color="auto" w:fill="467886"/>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3560" w:type="dxa"/>
            <w:vAlign w:val="bottom"/>
            <w:shd w:val="clear" w:color="auto" w:fill="CEEEFA"/>
          </w:tcPr>
          <w:p>
            <w:pPr>
              <w:spacing w:after="0"/>
              <w:rPr>
                <w:sz w:val="12"/>
                <w:szCs w:val="12"/>
                <w:color w:val="auto"/>
              </w:rPr>
            </w:pPr>
          </w:p>
        </w:tc>
        <w:tc>
          <w:tcPr>
            <w:tcW w:w="680" w:type="dxa"/>
            <w:vAlign w:val="bottom"/>
            <w:shd w:val="clear" w:color="auto" w:fill="CEEEFA"/>
          </w:tcPr>
          <w:p>
            <w:pPr>
              <w:spacing w:after="0"/>
              <w:rPr>
                <w:sz w:val="12"/>
                <w:szCs w:val="12"/>
                <w:color w:val="auto"/>
              </w:rPr>
            </w:pPr>
          </w:p>
        </w:tc>
        <w:tc>
          <w:tcPr>
            <w:tcW w:w="280" w:type="dxa"/>
            <w:vAlign w:val="bottom"/>
            <w:shd w:val="clear" w:color="auto" w:fill="CEEEFA"/>
          </w:tcPr>
          <w:p>
            <w:pPr>
              <w:spacing w:after="0"/>
              <w:rPr>
                <w:sz w:val="12"/>
                <w:szCs w:val="12"/>
                <w:color w:val="auto"/>
              </w:rPr>
            </w:pPr>
          </w:p>
        </w:tc>
        <w:tc>
          <w:tcPr>
            <w:tcW w:w="600" w:type="dxa"/>
            <w:vAlign w:val="bottom"/>
            <w:tcBorders>
              <w:right w:val="single" w:sz="8" w:color="CEEEFA"/>
            </w:tcBorders>
            <w:shd w:val="clear" w:color="auto" w:fill="CEEEFA"/>
          </w:tcPr>
          <w:p>
            <w:pPr>
              <w:spacing w:after="0"/>
              <w:rPr>
                <w:sz w:val="12"/>
                <w:szCs w:val="12"/>
                <w:color w:val="auto"/>
              </w:rPr>
            </w:pPr>
          </w:p>
        </w:tc>
        <w:tc>
          <w:tcPr>
            <w:tcW w:w="5000" w:type="dxa"/>
            <w:vAlign w:val="bottom"/>
            <w:tcBorders>
              <w:right w:val="single" w:sz="8" w:color="CEEEFA"/>
            </w:tcBorders>
            <w:gridSpan w:val="14"/>
            <w:shd w:val="clear" w:color="auto" w:fill="CEEEFA"/>
          </w:tcPr>
          <w:p>
            <w:pPr>
              <w:spacing w:after="0" w:line="148" w:lineRule="exact"/>
              <w:rPr>
                <w:rFonts w:ascii="Times New Roman" w:cs="Times New Roman" w:eastAsia="Times New Roman" w:hAnsi="Times New Roman"/>
                <w:sz w:val="16"/>
                <w:szCs w:val="16"/>
                <w:color w:val="auto"/>
              </w:rPr>
            </w:pPr>
            <w:hyperlink r:id="rId6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10.45 to the Company’s Annual Report on Form 10-K for</w:t>
              </w:r>
            </w:hyperlink>
          </w:p>
        </w:tc>
        <w:tc>
          <w:tcPr>
            <w:tcW w:w="0" w:type="dxa"/>
            <w:vAlign w:val="bottom"/>
          </w:tcPr>
          <w:p>
            <w:pPr>
              <w:spacing w:after="0"/>
              <w:rPr>
                <w:sz w:val="1"/>
                <w:szCs w:val="1"/>
                <w:color w:val="auto"/>
              </w:rPr>
            </w:pPr>
          </w:p>
        </w:tc>
      </w:tr>
      <w:tr>
        <w:trPr>
          <w:trHeight w:val="155"/>
        </w:trPr>
        <w:tc>
          <w:tcPr>
            <w:tcW w:w="1120" w:type="dxa"/>
            <w:vAlign w:val="bottom"/>
            <w:tcBorders>
              <w:top w:val="single" w:sz="8" w:color="CEEEFA"/>
            </w:tcBorders>
            <w:shd w:val="clear" w:color="auto" w:fill="CEEEFA"/>
          </w:tcPr>
          <w:p>
            <w:pPr>
              <w:spacing w:after="0"/>
              <w:rPr>
                <w:sz w:val="13"/>
                <w:szCs w:val="13"/>
                <w:color w:val="auto"/>
              </w:rPr>
            </w:pPr>
          </w:p>
        </w:tc>
        <w:tc>
          <w:tcPr>
            <w:tcW w:w="5120" w:type="dxa"/>
            <w:vAlign w:val="bottom"/>
            <w:tcBorders>
              <w:top w:val="single" w:sz="8" w:color="CEEEFA"/>
              <w:right w:val="single" w:sz="8" w:color="CEEEFA"/>
            </w:tcBorders>
            <w:gridSpan w:val="4"/>
            <w:shd w:val="clear" w:color="auto" w:fill="CEEEFA"/>
          </w:tcPr>
          <w:p>
            <w:pPr>
              <w:spacing w:after="0" w:line="155" w:lineRule="exact"/>
              <w:rPr>
                <w:sz w:val="20"/>
                <w:szCs w:val="20"/>
                <w:color w:val="auto"/>
              </w:rPr>
            </w:pPr>
            <w:r>
              <w:rPr>
                <w:rFonts w:ascii="Times New Roman" w:cs="Times New Roman" w:eastAsia="Times New Roman" w:hAnsi="Times New Roman"/>
                <w:sz w:val="16"/>
                <w:szCs w:val="16"/>
                <w:color w:val="auto"/>
              </w:rPr>
              <w:t>Transactional Facility Side Letter dated November 3, 2021 between Reading</w:t>
            </w:r>
          </w:p>
        </w:tc>
        <w:tc>
          <w:tcPr>
            <w:tcW w:w="580" w:type="dxa"/>
            <w:vAlign w:val="bottom"/>
            <w:tcBorders>
              <w:top w:val="single" w:sz="8" w:color="CEEEFA"/>
              <w:right w:val="single" w:sz="8" w:color="CEEEFA"/>
            </w:tcBorders>
            <w:shd w:val="clear" w:color="auto" w:fill="CEEEFA"/>
          </w:tcPr>
          <w:p>
            <w:pPr>
              <w:spacing w:after="0" w:line="155" w:lineRule="exact"/>
              <w:rPr>
                <w:rFonts w:ascii="Times New Roman" w:cs="Times New Roman" w:eastAsia="Times New Roman" w:hAnsi="Times New Roman"/>
                <w:sz w:val="16"/>
                <w:szCs w:val="16"/>
                <w:color w:val="467886"/>
              </w:rPr>
            </w:pPr>
            <w:hyperlink r:id="rId63">
              <w:r>
                <w:rPr>
                  <w:rFonts w:ascii="Times New Roman" w:cs="Times New Roman" w:eastAsia="Times New Roman" w:hAnsi="Times New Roman"/>
                  <w:sz w:val="16"/>
                  <w:szCs w:val="16"/>
                  <w:color w:val="467886"/>
                </w:rPr>
                <w:t>the year</w:t>
              </w:r>
            </w:hyperlink>
          </w:p>
        </w:tc>
        <w:tc>
          <w:tcPr>
            <w:tcW w:w="4340" w:type="dxa"/>
            <w:vAlign w:val="bottom"/>
            <w:tcBorders>
              <w:top w:val="single" w:sz="8" w:color="467886"/>
              <w:right w:val="single" w:sz="8" w:color="CEEEFA"/>
            </w:tcBorders>
            <w:gridSpan w:val="12"/>
            <w:shd w:val="clear" w:color="auto" w:fill="CEEEFA"/>
          </w:tcPr>
          <w:p>
            <w:pPr>
              <w:spacing w:after="0" w:line="155" w:lineRule="exact"/>
              <w:rPr>
                <w:rFonts w:ascii="Times New Roman" w:cs="Times New Roman" w:eastAsia="Times New Roman" w:hAnsi="Times New Roman"/>
                <w:sz w:val="16"/>
                <w:szCs w:val="16"/>
                <w:color w:val="467886"/>
              </w:rPr>
            </w:pPr>
            <w:hyperlink r:id="rId63">
              <w:r>
                <w:rPr>
                  <w:rFonts w:ascii="Times New Roman" w:cs="Times New Roman" w:eastAsia="Times New Roman" w:hAnsi="Times New Roman"/>
                  <w:sz w:val="16"/>
                  <w:szCs w:val="16"/>
                  <w:color w:val="467886"/>
                </w:rPr>
                <w:t xml:space="preserve">ended December 31, 2021 </w:t>
              </w:r>
              <w:r>
                <w:rPr>
                  <w:rFonts w:ascii="Times New Roman" w:cs="Times New Roman" w:eastAsia="Times New Roman" w:hAnsi="Times New Roman"/>
                  <w:sz w:val="16"/>
                  <w:szCs w:val="16"/>
                  <w:color w:val="000000"/>
                </w:rPr>
                <w:t>filed on March 16, 2022 and</w:t>
              </w:r>
            </w:hyperlink>
          </w:p>
        </w:tc>
        <w:tc>
          <w:tcPr>
            <w:tcW w:w="80" w:type="dxa"/>
            <w:vAlign w:val="bottom"/>
            <w:tcBorders>
              <w:top w:val="single" w:sz="8" w:color="CEEEFA"/>
              <w:right w:val="single" w:sz="8" w:color="CEEEFA"/>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CEEEFA"/>
            </w:tcBorders>
            <w:shd w:val="clear" w:color="auto" w:fill="CEEEFA"/>
          </w:tcPr>
          <w:p>
            <w:pPr>
              <w:ind w:left="20"/>
              <w:spacing w:after="0" w:line="183" w:lineRule="exact"/>
              <w:rPr>
                <w:sz w:val="20"/>
                <w:szCs w:val="20"/>
                <w:color w:val="auto"/>
              </w:rPr>
            </w:pPr>
            <w:r>
              <w:rPr>
                <w:rFonts w:ascii="Times New Roman" w:cs="Times New Roman" w:eastAsia="Times New Roman" w:hAnsi="Times New Roman"/>
                <w:sz w:val="16"/>
                <w:szCs w:val="16"/>
                <w:color w:val="auto"/>
              </w:rPr>
              <w:t>10.23†</w:t>
            </w:r>
          </w:p>
        </w:tc>
        <w:tc>
          <w:tcPr>
            <w:tcW w:w="5120" w:type="dxa"/>
            <w:vAlign w:val="bottom"/>
            <w:tcBorders>
              <w:top w:val="single" w:sz="8" w:color="CEEEFA"/>
              <w:right w:val="single" w:sz="8" w:color="CEEEFA"/>
            </w:tcBorders>
            <w:gridSpan w:val="4"/>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2280" w:type="dxa"/>
            <w:vAlign w:val="bottom"/>
            <w:tcBorders>
              <w:top w:val="single" w:sz="8" w:color="467886"/>
              <w:right w:val="single" w:sz="8" w:color="CEEEFA"/>
            </w:tcBorders>
            <w:gridSpan w:val="6"/>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incorporated herein by reference.</w:t>
            </w:r>
          </w:p>
        </w:tc>
        <w:tc>
          <w:tcPr>
            <w:tcW w:w="2260" w:type="dxa"/>
            <w:vAlign w:val="bottom"/>
            <w:tcBorders>
              <w:top w:val="single" w:sz="8" w:color="CEEEFA"/>
            </w:tcBorders>
            <w:gridSpan w:val="3"/>
            <w:shd w:val="clear" w:color="auto" w:fill="CEEEFA"/>
          </w:tcPr>
          <w:p>
            <w:pPr>
              <w:spacing w:after="0"/>
              <w:rPr>
                <w:sz w:val="15"/>
                <w:szCs w:val="15"/>
                <w:color w:val="auto"/>
              </w:rPr>
            </w:pPr>
          </w:p>
        </w:tc>
        <w:tc>
          <w:tcPr>
            <w:tcW w:w="120" w:type="dxa"/>
            <w:vAlign w:val="bottom"/>
            <w:tcBorders>
              <w:top w:val="single" w:sz="8" w:color="CEEEFA"/>
            </w:tcBorders>
            <w:shd w:val="clear" w:color="auto" w:fill="CEEEFA"/>
          </w:tcPr>
          <w:p>
            <w:pPr>
              <w:spacing w:after="0"/>
              <w:rPr>
                <w:sz w:val="15"/>
                <w:szCs w:val="15"/>
                <w:color w:val="auto"/>
              </w:rPr>
            </w:pPr>
          </w:p>
        </w:tc>
        <w:tc>
          <w:tcPr>
            <w:tcW w:w="180" w:type="dxa"/>
            <w:vAlign w:val="bottom"/>
            <w:tcBorders>
              <w:top w:val="single" w:sz="8" w:color="CEEEFA"/>
            </w:tcBorders>
            <w:gridSpan w:val="2"/>
            <w:shd w:val="clear" w:color="auto" w:fill="CEEEFA"/>
          </w:tcPr>
          <w:p>
            <w:pPr>
              <w:spacing w:after="0"/>
              <w:rPr>
                <w:sz w:val="15"/>
                <w:szCs w:val="15"/>
                <w:color w:val="auto"/>
              </w:rPr>
            </w:pPr>
          </w:p>
        </w:tc>
        <w:tc>
          <w:tcPr>
            <w:tcW w:w="160" w:type="dxa"/>
            <w:vAlign w:val="bottom"/>
            <w:tcBorders>
              <w:top w:val="single" w:sz="8" w:color="CEEEFA"/>
              <w:right w:val="single" w:sz="8" w:color="CEEEFA"/>
            </w:tcBorders>
            <w:gridSpan w:val="2"/>
            <w:shd w:val="clear" w:color="auto" w:fill="CEEEFA"/>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Variation Deed of the Corporate Markets Loan &amp; Bank Guarantee Facility</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120" w:type="dxa"/>
            <w:vAlign w:val="bottom"/>
            <w:gridSpan w:val="18"/>
          </w:tcPr>
          <w:p>
            <w:pPr>
              <w:spacing w:after="0" w:line="17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Agreement, dated December 16, 2022, by and between Reading Entertainment </w:t>
            </w:r>
            <w:hyperlink r:id="rId6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report on Form 8- K (file no. 1-</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10.24†</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Australia Pty Ltd and National Australia Bank Limited</w:t>
            </w:r>
          </w:p>
        </w:tc>
        <w:tc>
          <w:tcPr>
            <w:tcW w:w="58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580" w:type="dxa"/>
            <w:vAlign w:val="bottom"/>
            <w:tcBorders>
              <w:right w:val="single" w:sz="8" w:color="467886"/>
            </w:tcBorders>
            <w:gridSpan w:val="3"/>
            <w:shd w:val="clear" w:color="auto" w:fill="467886"/>
          </w:tcPr>
          <w:p>
            <w:pPr>
              <w:spacing w:after="0" w:line="20" w:lineRule="exact"/>
              <w:rPr>
                <w:sz w:val="1"/>
                <w:szCs w:val="1"/>
                <w:color w:val="auto"/>
              </w:rPr>
            </w:pPr>
          </w:p>
        </w:tc>
        <w:tc>
          <w:tcPr>
            <w:tcW w:w="2260" w:type="dxa"/>
            <w:vAlign w:val="bottom"/>
            <w:gridSpan w:val="3"/>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5120" w:type="dxa"/>
            <w:vAlign w:val="bottom"/>
            <w:gridSpan w:val="4"/>
            <w:vMerge w:val="continue"/>
          </w:tcPr>
          <w:p>
            <w:pPr>
              <w:spacing w:after="0"/>
              <w:rPr>
                <w:sz w:val="14"/>
                <w:szCs w:val="14"/>
                <w:color w:val="auto"/>
              </w:rPr>
            </w:pPr>
          </w:p>
        </w:tc>
        <w:tc>
          <w:tcPr>
            <w:tcW w:w="4660" w:type="dxa"/>
            <w:vAlign w:val="bottom"/>
            <w:gridSpan w:val="10"/>
          </w:tcPr>
          <w:p>
            <w:pPr>
              <w:spacing w:after="0" w:line="155" w:lineRule="exact"/>
              <w:rPr>
                <w:rFonts w:ascii="Times New Roman" w:cs="Times New Roman" w:eastAsia="Times New Roman" w:hAnsi="Times New Roman"/>
                <w:sz w:val="16"/>
                <w:szCs w:val="16"/>
                <w:color w:val="467886"/>
                <w:w w:val="98"/>
              </w:rPr>
            </w:pPr>
            <w:hyperlink r:id="rId64">
              <w:r>
                <w:rPr>
                  <w:rFonts w:ascii="Times New Roman" w:cs="Times New Roman" w:eastAsia="Times New Roman" w:hAnsi="Times New Roman"/>
                  <w:sz w:val="16"/>
                  <w:szCs w:val="16"/>
                  <w:color w:val="467886"/>
                  <w:w w:val="98"/>
                </w:rPr>
                <w:t>8625), filed on December 22, 2022</w:t>
              </w:r>
              <w:r>
                <w:rPr>
                  <w:rFonts w:ascii="Times New Roman" w:cs="Times New Roman" w:eastAsia="Times New Roman" w:hAnsi="Times New Roman"/>
                  <w:sz w:val="16"/>
                  <w:szCs w:val="16"/>
                  <w:color w:val="000000"/>
                  <w:w w:val="98"/>
                </w:rPr>
                <w:t>, and incorporated herein by reference.</w:t>
              </w:r>
            </w:hyperlink>
          </w:p>
        </w:tc>
        <w:tc>
          <w:tcPr>
            <w:tcW w:w="18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tcBorders>
              <w:bottom w:val="single" w:sz="8" w:color="CEEEFA"/>
            </w:tcBorders>
            <w:vMerge w:val="restart"/>
            <w:shd w:val="clear" w:color="auto" w:fill="CEEEFA"/>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4240" w:type="dxa"/>
            <w:vAlign w:val="bottom"/>
            <w:tcBorders>
              <w:bottom w:val="single" w:sz="8" w:color="467886"/>
            </w:tcBorders>
            <w:gridSpan w:val="2"/>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467886"/>
              </w:rPr>
              <w:t>Amendment Deed dated May 12, 2023, by and between Reading</w:t>
            </w:r>
          </w:p>
        </w:tc>
        <w:tc>
          <w:tcPr>
            <w:tcW w:w="880" w:type="dxa"/>
            <w:vAlign w:val="bottom"/>
            <w:tcBorders>
              <w:bottom w:val="single" w:sz="8" w:color="CEEEFA"/>
              <w:right w:val="single" w:sz="8" w:color="CEEEFA"/>
            </w:tcBorders>
            <w:gridSpan w:val="2"/>
            <w:shd w:val="clear" w:color="auto" w:fill="CEEEFA"/>
          </w:tcPr>
          <w:p>
            <w:pPr>
              <w:spacing w:after="0"/>
              <w:rPr>
                <w:sz w:val="12"/>
                <w:szCs w:val="12"/>
                <w:color w:val="auto"/>
              </w:rPr>
            </w:pPr>
          </w:p>
        </w:tc>
        <w:tc>
          <w:tcPr>
            <w:tcW w:w="2280" w:type="dxa"/>
            <w:vAlign w:val="bottom"/>
            <w:tcBorders>
              <w:top w:val="single" w:sz="8" w:color="467886"/>
              <w:bottom w:val="single" w:sz="8" w:color="467886"/>
              <w:right w:val="single" w:sz="8" w:color="CEEEFA"/>
            </w:tcBorders>
            <w:gridSpan w:val="6"/>
            <w:vMerge w:val="restart"/>
            <w:shd w:val="clear" w:color="auto" w:fill="CEEEFA"/>
          </w:tcPr>
          <w:p>
            <w:pPr>
              <w:spacing w:after="0"/>
              <w:rPr>
                <w:sz w:val="20"/>
                <w:szCs w:val="20"/>
                <w:color w:val="auto"/>
              </w:rPr>
            </w:pPr>
            <w:r>
              <w:rPr>
                <w:rFonts w:ascii="Times New Roman" w:cs="Times New Roman" w:eastAsia="Times New Roman" w:hAnsi="Times New Roman"/>
                <w:sz w:val="16"/>
                <w:szCs w:val="16"/>
                <w:color w:val="auto"/>
              </w:rPr>
              <w:t>N/A</w:t>
            </w:r>
          </w:p>
        </w:tc>
        <w:tc>
          <w:tcPr>
            <w:tcW w:w="2720" w:type="dxa"/>
            <w:vAlign w:val="bottom"/>
            <w:tcBorders>
              <w:bottom w:val="single" w:sz="8" w:color="CEEEFA"/>
              <w:right w:val="single" w:sz="8" w:color="CEEEFA"/>
            </w:tcBorders>
            <w:gridSpan w:val="8"/>
            <w:vMerge w:val="restart"/>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120" w:type="dxa"/>
            <w:vAlign w:val="bottom"/>
            <w:tcBorders>
              <w:bottom w:val="single" w:sz="8" w:color="CEEEFA"/>
            </w:tcBorders>
            <w:vMerge w:val="continue"/>
            <w:shd w:val="clear" w:color="auto" w:fill="CEEEFA"/>
          </w:tcPr>
          <w:p>
            <w:pPr>
              <w:spacing w:after="0"/>
              <w:rPr>
                <w:sz w:val="14"/>
                <w:szCs w:val="14"/>
                <w:color w:val="auto"/>
              </w:rPr>
            </w:pPr>
          </w:p>
        </w:tc>
        <w:tc>
          <w:tcPr>
            <w:tcW w:w="4520" w:type="dxa"/>
            <w:vAlign w:val="bottom"/>
            <w:tcBorders>
              <w:bottom w:val="single" w:sz="8" w:color="467886"/>
            </w:tcBorders>
            <w:gridSpan w:val="3"/>
            <w:shd w:val="clear" w:color="auto" w:fill="CEEEFA"/>
          </w:tcPr>
          <w:p>
            <w:pPr>
              <w:spacing w:after="0" w:line="155" w:lineRule="exact"/>
              <w:rPr>
                <w:sz w:val="20"/>
                <w:szCs w:val="20"/>
                <w:color w:val="auto"/>
              </w:rPr>
            </w:pPr>
            <w:r>
              <w:rPr>
                <w:rFonts w:ascii="Times New Roman" w:cs="Times New Roman" w:eastAsia="Times New Roman" w:hAnsi="Times New Roman"/>
                <w:sz w:val="16"/>
                <w:szCs w:val="16"/>
                <w:color w:val="467886"/>
              </w:rPr>
              <w:t>Entertainment Australia Pty Ltd and National Australia Bank Limited</w:t>
            </w:r>
          </w:p>
        </w:tc>
        <w:tc>
          <w:tcPr>
            <w:tcW w:w="600" w:type="dxa"/>
            <w:vAlign w:val="bottom"/>
            <w:tcBorders>
              <w:bottom w:val="single" w:sz="8" w:color="CEEEFA"/>
              <w:right w:val="single" w:sz="8" w:color="CEEEFA"/>
            </w:tcBorders>
            <w:shd w:val="clear" w:color="auto" w:fill="CEEEFA"/>
          </w:tcPr>
          <w:p>
            <w:pPr>
              <w:spacing w:after="0"/>
              <w:rPr>
                <w:sz w:val="14"/>
                <w:szCs w:val="14"/>
                <w:color w:val="auto"/>
              </w:rPr>
            </w:pPr>
          </w:p>
        </w:tc>
        <w:tc>
          <w:tcPr>
            <w:tcW w:w="2280" w:type="dxa"/>
            <w:vAlign w:val="bottom"/>
            <w:tcBorders>
              <w:bottom w:val="single" w:sz="8" w:color="CEEEFA"/>
              <w:right w:val="single" w:sz="8" w:color="CEEEFA"/>
            </w:tcBorders>
            <w:gridSpan w:val="6"/>
            <w:vMerge w:val="continue"/>
            <w:shd w:val="clear" w:color="auto" w:fill="CEEEFA"/>
          </w:tcPr>
          <w:p>
            <w:pPr>
              <w:spacing w:after="0"/>
              <w:rPr>
                <w:sz w:val="14"/>
                <w:szCs w:val="14"/>
                <w:color w:val="auto"/>
              </w:rPr>
            </w:pPr>
          </w:p>
        </w:tc>
        <w:tc>
          <w:tcPr>
            <w:tcW w:w="2720" w:type="dxa"/>
            <w:vAlign w:val="bottom"/>
            <w:tcBorders>
              <w:bottom w:val="single" w:sz="8" w:color="CEEEFA"/>
              <w:right w:val="single" w:sz="8" w:color="CEEEFA"/>
            </w:tcBorders>
            <w:gridSpan w:val="8"/>
            <w:vMerge w:val="continue"/>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August 12, 2023, by and between Reading</w:t>
            </w:r>
          </w:p>
        </w:tc>
        <w:tc>
          <w:tcPr>
            <w:tcW w:w="5000" w:type="dxa"/>
            <w:vAlign w:val="bottom"/>
            <w:gridSpan w:val="14"/>
          </w:tcPr>
          <w:p>
            <w:pPr>
              <w:spacing w:after="0" w:line="148" w:lineRule="exact"/>
              <w:rPr>
                <w:rFonts w:ascii="Times New Roman" w:cs="Times New Roman" w:eastAsia="Times New Roman" w:hAnsi="Times New Roman"/>
                <w:sz w:val="16"/>
                <w:szCs w:val="16"/>
                <w:color w:val="auto"/>
              </w:rPr>
            </w:pPr>
            <w:hyperlink r:id="rId6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10.26</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580" w:type="dxa"/>
            <w:vAlign w:val="bottom"/>
            <w:tcBorders>
              <w:right w:val="single" w:sz="8" w:color="467886"/>
            </w:tcBorders>
            <w:gridSpan w:val="3"/>
            <w:shd w:val="clear" w:color="auto" w:fill="467886"/>
          </w:tcPr>
          <w:p>
            <w:pPr>
              <w:spacing w:after="0" w:line="20" w:lineRule="exact"/>
              <w:rPr>
                <w:sz w:val="1"/>
                <w:szCs w:val="1"/>
                <w:color w:val="auto"/>
              </w:rPr>
            </w:pPr>
          </w:p>
        </w:tc>
        <w:tc>
          <w:tcPr>
            <w:tcW w:w="2260" w:type="dxa"/>
            <w:vAlign w:val="bottom"/>
            <w:gridSpan w:val="3"/>
            <w:shd w:val="clear" w:color="auto" w:fill="467886"/>
          </w:tcPr>
          <w:p>
            <w:pPr>
              <w:spacing w:after="0" w:line="20" w:lineRule="exact"/>
              <w:rPr>
                <w:sz w:val="1"/>
                <w:szCs w:val="1"/>
                <w:color w:val="auto"/>
              </w:rPr>
            </w:pPr>
          </w:p>
        </w:tc>
        <w:tc>
          <w:tcPr>
            <w:tcW w:w="300" w:type="dxa"/>
            <w:vAlign w:val="bottom"/>
            <w:gridSpan w:val="3"/>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920" w:type="dxa"/>
            <w:vAlign w:val="bottom"/>
            <w:gridSpan w:val="13"/>
          </w:tcPr>
          <w:p>
            <w:pPr>
              <w:spacing w:after="0" w:line="155" w:lineRule="exact"/>
              <w:rPr>
                <w:rFonts w:ascii="Times New Roman" w:cs="Times New Roman" w:eastAsia="Times New Roman" w:hAnsi="Times New Roman"/>
                <w:sz w:val="16"/>
                <w:szCs w:val="16"/>
                <w:color w:val="467886"/>
                <w:w w:val="99"/>
              </w:rPr>
            </w:pPr>
            <w:hyperlink r:id="rId65">
              <w:r>
                <w:rPr>
                  <w:rFonts w:ascii="Times New Roman" w:cs="Times New Roman" w:eastAsia="Times New Roman" w:hAnsi="Times New Roman"/>
                  <w:sz w:val="16"/>
                  <w:szCs w:val="16"/>
                  <w:color w:val="467886"/>
                  <w:w w:val="99"/>
                </w:rPr>
                <w:t>the quarter ended September 30, 2023</w:t>
              </w:r>
              <w:r>
                <w:rPr>
                  <w:rFonts w:ascii="Times New Roman" w:cs="Times New Roman" w:eastAsia="Times New Roman" w:hAnsi="Times New Roman"/>
                  <w:sz w:val="16"/>
                  <w:szCs w:val="16"/>
                  <w:color w:val="000000"/>
                  <w:w w:val="99"/>
                </w:rPr>
                <w:t>, and incorporated herein by reference.</w:t>
              </w:r>
            </w:hyperlink>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200" w:type="dxa"/>
            <w:vAlign w:val="bottom"/>
            <w:tcBorders>
              <w:right w:val="single" w:sz="8" w:color="467886"/>
            </w:tcBorders>
            <w:shd w:val="clear" w:color="auto" w:fill="467886"/>
          </w:tcPr>
          <w:p>
            <w:pPr>
              <w:spacing w:after="0"/>
              <w:rPr>
                <w:sz w:val="2"/>
                <w:szCs w:val="2"/>
                <w:color w:val="auto"/>
              </w:rPr>
            </w:pPr>
          </w:p>
        </w:tc>
        <w:tc>
          <w:tcPr>
            <w:tcW w:w="200" w:type="dxa"/>
            <w:vAlign w:val="bottom"/>
            <w:shd w:val="clear" w:color="auto" w:fill="467886"/>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Deed of Subordination dated October 26, 2023, by and between Reading</w:t>
            </w:r>
          </w:p>
        </w:tc>
        <w:tc>
          <w:tcPr>
            <w:tcW w:w="5000" w:type="dxa"/>
            <w:vAlign w:val="bottom"/>
            <w:tcBorders>
              <w:right w:val="single" w:sz="8" w:color="CEEEFA"/>
            </w:tcBorders>
            <w:gridSpan w:val="14"/>
            <w:shd w:val="clear" w:color="auto" w:fill="CEEEFA"/>
          </w:tcPr>
          <w:p>
            <w:pPr>
              <w:spacing w:after="0" w:line="148" w:lineRule="exact"/>
              <w:rPr>
                <w:rFonts w:ascii="Times New Roman" w:cs="Times New Roman" w:eastAsia="Times New Roman" w:hAnsi="Times New Roman"/>
                <w:sz w:val="16"/>
                <w:szCs w:val="16"/>
                <w:color w:val="auto"/>
              </w:rPr>
            </w:pPr>
            <w:hyperlink r:id="rId6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10.28 to the Company’s report on Form 10-K for the year</w:t>
              </w:r>
            </w:hyperlink>
          </w:p>
        </w:tc>
        <w:tc>
          <w:tcPr>
            <w:tcW w:w="0" w:type="dxa"/>
            <w:vAlign w:val="bottom"/>
          </w:tcPr>
          <w:p>
            <w:pPr>
              <w:spacing w:after="0"/>
              <w:rPr>
                <w:sz w:val="1"/>
                <w:szCs w:val="1"/>
                <w:color w:val="auto"/>
              </w:rPr>
            </w:pPr>
          </w:p>
        </w:tc>
      </w:tr>
      <w:tr>
        <w:trPr>
          <w:trHeight w:val="155"/>
        </w:trPr>
        <w:tc>
          <w:tcPr>
            <w:tcW w:w="112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10.27</w:t>
            </w:r>
          </w:p>
        </w:tc>
        <w:tc>
          <w:tcPr>
            <w:tcW w:w="5120" w:type="dxa"/>
            <w:vAlign w:val="bottom"/>
            <w:tcBorders>
              <w:top w:val="single" w:sz="8" w:color="CEEEFA"/>
              <w:right w:val="single" w:sz="8" w:color="CEEEFA"/>
            </w:tcBorders>
            <w:gridSpan w:val="4"/>
            <w:shd w:val="clear" w:color="auto" w:fill="CEEEFA"/>
          </w:tcPr>
          <w:p>
            <w:pPr>
              <w:spacing w:after="0" w:line="15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Borders>
              <w:top w:val="single" w:sz="8" w:color="CEEEFA"/>
              <w:right w:val="single" w:sz="8" w:color="CEEEFA"/>
            </w:tcBorders>
            <w:shd w:val="clear" w:color="auto" w:fill="CEEEFA"/>
          </w:tcPr>
          <w:p>
            <w:pPr>
              <w:spacing w:after="0" w:line="155" w:lineRule="exact"/>
              <w:rPr>
                <w:rFonts w:ascii="Times New Roman" w:cs="Times New Roman" w:eastAsia="Times New Roman" w:hAnsi="Times New Roman"/>
                <w:sz w:val="16"/>
                <w:szCs w:val="16"/>
                <w:color w:val="467886"/>
              </w:rPr>
            </w:pPr>
            <w:hyperlink r:id="rId66">
              <w:r>
                <w:rPr>
                  <w:rFonts w:ascii="Times New Roman" w:cs="Times New Roman" w:eastAsia="Times New Roman" w:hAnsi="Times New Roman"/>
                  <w:sz w:val="16"/>
                  <w:szCs w:val="16"/>
                  <w:color w:val="467886"/>
                </w:rPr>
                <w:t>ended</w:t>
              </w:r>
            </w:hyperlink>
          </w:p>
        </w:tc>
        <w:tc>
          <w:tcPr>
            <w:tcW w:w="4260" w:type="dxa"/>
            <w:vAlign w:val="bottom"/>
            <w:tcBorders>
              <w:top w:val="single" w:sz="8" w:color="467886"/>
            </w:tcBorders>
            <w:gridSpan w:val="11"/>
            <w:shd w:val="clear" w:color="auto" w:fill="CEEEFA"/>
          </w:tcPr>
          <w:p>
            <w:pPr>
              <w:spacing w:after="0" w:line="155" w:lineRule="exact"/>
              <w:rPr>
                <w:rFonts w:ascii="Times New Roman" w:cs="Times New Roman" w:eastAsia="Times New Roman" w:hAnsi="Times New Roman"/>
                <w:sz w:val="16"/>
                <w:szCs w:val="16"/>
                <w:color w:val="467886"/>
              </w:rPr>
            </w:pPr>
            <w:hyperlink r:id="rId66">
              <w:r>
                <w:rPr>
                  <w:rFonts w:ascii="Times New Roman" w:cs="Times New Roman" w:eastAsia="Times New Roman" w:hAnsi="Times New Roman"/>
                  <w:sz w:val="16"/>
                  <w:szCs w:val="16"/>
                  <w:color w:val="467886"/>
                </w:rPr>
                <w:t>December 31, 2023</w:t>
              </w:r>
              <w:r>
                <w:rPr>
                  <w:rFonts w:ascii="Times New Roman" w:cs="Times New Roman" w:eastAsia="Times New Roman" w:hAnsi="Times New Roman"/>
                  <w:sz w:val="16"/>
                  <w:szCs w:val="16"/>
                  <w:color w:val="000000"/>
                </w:rPr>
                <w:t>, and incorporated herein by reference.</w:t>
              </w:r>
            </w:hyperlink>
          </w:p>
        </w:tc>
        <w:tc>
          <w:tcPr>
            <w:tcW w:w="160" w:type="dxa"/>
            <w:vAlign w:val="bottom"/>
            <w:tcBorders>
              <w:top w:val="single" w:sz="8" w:color="CEEEFA"/>
              <w:right w:val="single" w:sz="8" w:color="CEEEFA"/>
            </w:tcBorders>
            <w:gridSpan w:val="2"/>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CEEEFA"/>
          </w:tcPr>
          <w:p>
            <w:pPr>
              <w:spacing w:after="0"/>
              <w:rPr>
                <w:sz w:val="2"/>
                <w:szCs w:val="2"/>
                <w:color w:val="auto"/>
              </w:rPr>
            </w:pPr>
          </w:p>
        </w:tc>
        <w:tc>
          <w:tcPr>
            <w:tcW w:w="3560" w:type="dxa"/>
            <w:vAlign w:val="bottom"/>
            <w:shd w:val="clear" w:color="auto" w:fill="CEEEFA"/>
          </w:tcPr>
          <w:p>
            <w:pPr>
              <w:spacing w:after="0"/>
              <w:rPr>
                <w:sz w:val="2"/>
                <w:szCs w:val="2"/>
                <w:color w:val="auto"/>
              </w:rPr>
            </w:pPr>
          </w:p>
        </w:tc>
        <w:tc>
          <w:tcPr>
            <w:tcW w:w="68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600" w:type="dxa"/>
            <w:vAlign w:val="bottom"/>
            <w:tcBorders>
              <w:right w:val="single" w:sz="8" w:color="CEEEFA"/>
            </w:tcBorders>
            <w:shd w:val="clear" w:color="auto" w:fill="CEEEFA"/>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260" w:type="dxa"/>
            <w:vAlign w:val="bottom"/>
            <w:tcBorders>
              <w:right w:val="single" w:sz="8" w:color="CEEEFA"/>
            </w:tcBorders>
            <w:shd w:val="clear" w:color="auto" w:fill="CEEEFA"/>
          </w:tcPr>
          <w:p>
            <w:pPr>
              <w:spacing w:after="0"/>
              <w:rPr>
                <w:sz w:val="2"/>
                <w:szCs w:val="2"/>
                <w:color w:val="auto"/>
              </w:rPr>
            </w:pPr>
          </w:p>
        </w:tc>
        <w:tc>
          <w:tcPr>
            <w:tcW w:w="200" w:type="dxa"/>
            <w:vAlign w:val="bottom"/>
            <w:tcBorders>
              <w:right w:val="single" w:sz="8" w:color="CEEEFA"/>
            </w:tcBorders>
            <w:shd w:val="clear" w:color="auto" w:fill="CEEEFA"/>
          </w:tcPr>
          <w:p>
            <w:pPr>
              <w:spacing w:after="0"/>
              <w:rPr>
                <w:sz w:val="2"/>
                <w:szCs w:val="2"/>
                <w:color w:val="auto"/>
              </w:rPr>
            </w:pPr>
          </w:p>
        </w:tc>
        <w:tc>
          <w:tcPr>
            <w:tcW w:w="200" w:type="dxa"/>
            <w:vAlign w:val="bottom"/>
            <w:shd w:val="clear" w:color="auto" w:fill="CEEEFA"/>
          </w:tcPr>
          <w:p>
            <w:pPr>
              <w:spacing w:after="0"/>
              <w:rPr>
                <w:sz w:val="2"/>
                <w:szCs w:val="2"/>
                <w:color w:val="auto"/>
              </w:rPr>
            </w:pPr>
          </w:p>
        </w:tc>
        <w:tc>
          <w:tcPr>
            <w:tcW w:w="1800" w:type="dxa"/>
            <w:vAlign w:val="bottom"/>
            <w:shd w:val="clear" w:color="auto" w:fill="CEEEFA"/>
          </w:tcPr>
          <w:p>
            <w:pPr>
              <w:spacing w:after="0"/>
              <w:rPr>
                <w:sz w:val="2"/>
                <w:szCs w:val="2"/>
                <w:color w:val="auto"/>
              </w:rPr>
            </w:pPr>
          </w:p>
        </w:tc>
        <w:tc>
          <w:tcPr>
            <w:tcW w:w="26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140" w:type="dxa"/>
            <w:vAlign w:val="bottom"/>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April 4, 2024, by and between Reading</w:t>
            </w:r>
          </w:p>
        </w:tc>
        <w:tc>
          <w:tcPr>
            <w:tcW w:w="5000" w:type="dxa"/>
            <w:vAlign w:val="bottom"/>
            <w:gridSpan w:val="14"/>
          </w:tcPr>
          <w:p>
            <w:pPr>
              <w:spacing w:after="0" w:line="148" w:lineRule="exact"/>
              <w:rPr>
                <w:rFonts w:ascii="Times New Roman" w:cs="Times New Roman" w:eastAsia="Times New Roman" w:hAnsi="Times New Roman"/>
                <w:sz w:val="16"/>
                <w:szCs w:val="16"/>
                <w:color w:val="auto"/>
              </w:rPr>
            </w:pPr>
            <w:hyperlink r:id="rId6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10.28†</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Pr>
          <w:p>
            <w:pPr>
              <w:spacing w:after="0" w:line="20" w:lineRule="exact"/>
              <w:rPr>
                <w:sz w:val="1"/>
                <w:szCs w:val="1"/>
                <w:color w:val="auto"/>
              </w:rPr>
            </w:pPr>
          </w:p>
        </w:tc>
        <w:tc>
          <w:tcPr>
            <w:tcW w:w="1700" w:type="dxa"/>
            <w:vAlign w:val="bottom"/>
            <w:tcBorders>
              <w:right w:val="single" w:sz="8" w:color="467886"/>
            </w:tcBorders>
            <w:gridSpan w:val="5"/>
            <w:shd w:val="clear" w:color="auto" w:fill="467886"/>
          </w:tcPr>
          <w:p>
            <w:pPr>
              <w:spacing w:after="0" w:line="20" w:lineRule="exact"/>
              <w:rPr>
                <w:sz w:val="1"/>
                <w:szCs w:val="1"/>
                <w:color w:val="auto"/>
              </w:rPr>
            </w:pPr>
          </w:p>
        </w:tc>
        <w:tc>
          <w:tcPr>
            <w:tcW w:w="2260" w:type="dxa"/>
            <w:vAlign w:val="bottom"/>
            <w:gridSpan w:val="3"/>
            <w:shd w:val="clear" w:color="auto" w:fill="467886"/>
          </w:tcPr>
          <w:p>
            <w:pPr>
              <w:spacing w:after="0" w:line="20" w:lineRule="exact"/>
              <w:rPr>
                <w:sz w:val="1"/>
                <w:szCs w:val="1"/>
                <w:color w:val="auto"/>
              </w:rPr>
            </w:pPr>
          </w:p>
        </w:tc>
        <w:tc>
          <w:tcPr>
            <w:tcW w:w="380" w:type="dxa"/>
            <w:vAlign w:val="bottom"/>
            <w:tcBorders>
              <w:right w:val="single" w:sz="8" w:color="467886"/>
            </w:tcBorders>
            <w:gridSpan w:val="4"/>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920" w:type="dxa"/>
            <w:vAlign w:val="bottom"/>
            <w:gridSpan w:val="13"/>
          </w:tcPr>
          <w:p>
            <w:pPr>
              <w:spacing w:after="0" w:line="155" w:lineRule="exact"/>
              <w:rPr>
                <w:rFonts w:ascii="Times New Roman" w:cs="Times New Roman" w:eastAsia="Times New Roman" w:hAnsi="Times New Roman"/>
                <w:sz w:val="16"/>
                <w:szCs w:val="16"/>
                <w:color w:val="467886"/>
              </w:rPr>
            </w:pPr>
            <w:hyperlink r:id="rId67">
              <w:r>
                <w:rPr>
                  <w:rFonts w:ascii="Times New Roman" w:cs="Times New Roman" w:eastAsia="Times New Roman" w:hAnsi="Times New Roman"/>
                  <w:sz w:val="16"/>
                  <w:szCs w:val="16"/>
                  <w:color w:val="467886"/>
                </w:rPr>
                <w:t>the quarter ended June 30, 2024, and incorporated herein by reference</w:t>
              </w:r>
              <w:r>
                <w:rPr>
                  <w:rFonts w:ascii="Times New Roman" w:cs="Times New Roman" w:eastAsia="Times New Roman" w:hAnsi="Times New Roman"/>
                  <w:sz w:val="16"/>
                  <w:szCs w:val="16"/>
                  <w:color w:val="000000"/>
                </w:rPr>
                <w:t>.</w:t>
              </w:r>
            </w:hyperlink>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200" w:type="dxa"/>
            <w:vAlign w:val="bottom"/>
            <w:tcBorders>
              <w:right w:val="single" w:sz="8" w:color="467886"/>
            </w:tcBorders>
            <w:shd w:val="clear" w:color="auto" w:fill="467886"/>
          </w:tcPr>
          <w:p>
            <w:pPr>
              <w:spacing w:after="0"/>
              <w:rPr>
                <w:sz w:val="2"/>
                <w:szCs w:val="2"/>
                <w:color w:val="auto"/>
              </w:rPr>
            </w:pPr>
          </w:p>
        </w:tc>
        <w:tc>
          <w:tcPr>
            <w:tcW w:w="200" w:type="dxa"/>
            <w:vAlign w:val="bottom"/>
            <w:shd w:val="clear" w:color="auto" w:fill="467886"/>
          </w:tcPr>
          <w:p>
            <w:pPr>
              <w:spacing w:after="0"/>
              <w:rPr>
                <w:sz w:val="2"/>
                <w:szCs w:val="2"/>
                <w:color w:val="auto"/>
              </w:rPr>
            </w:pPr>
          </w:p>
        </w:tc>
        <w:tc>
          <w:tcPr>
            <w:tcW w:w="1800" w:type="dxa"/>
            <w:vAlign w:val="bottom"/>
            <w:shd w:val="clear" w:color="auto" w:fill="467886"/>
          </w:tcPr>
          <w:p>
            <w:pPr>
              <w:spacing w:after="0"/>
              <w:rPr>
                <w:sz w:val="2"/>
                <w:szCs w:val="2"/>
                <w:color w:val="auto"/>
              </w:rPr>
            </w:pPr>
          </w:p>
        </w:tc>
        <w:tc>
          <w:tcPr>
            <w:tcW w:w="260" w:type="dxa"/>
            <w:vAlign w:val="bottom"/>
            <w:shd w:val="clear" w:color="auto" w:fill="467886"/>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February 19, 2025, by and between Reading</w:t>
            </w:r>
          </w:p>
        </w:tc>
        <w:tc>
          <w:tcPr>
            <w:tcW w:w="5000" w:type="dxa"/>
            <w:vAlign w:val="bottom"/>
            <w:tcBorders>
              <w:right w:val="single" w:sz="8" w:color="CEEEFA"/>
            </w:tcBorders>
            <w:gridSpan w:val="14"/>
            <w:shd w:val="clear" w:color="auto" w:fill="CEEEFA"/>
          </w:tcPr>
          <w:p>
            <w:pPr>
              <w:spacing w:after="0" w:line="148" w:lineRule="exact"/>
              <w:rPr>
                <w:rFonts w:ascii="Times New Roman" w:cs="Times New Roman" w:eastAsia="Times New Roman" w:hAnsi="Times New Roman"/>
                <w:sz w:val="16"/>
                <w:szCs w:val="16"/>
                <w:color w:val="auto"/>
              </w:rPr>
            </w:pPr>
            <w:hyperlink r:id="rId6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10.29†</w:t>
            </w:r>
          </w:p>
        </w:tc>
        <w:tc>
          <w:tcPr>
            <w:tcW w:w="5120" w:type="dxa"/>
            <w:vAlign w:val="bottom"/>
            <w:tcBorders>
              <w:right w:val="single" w:sz="8" w:color="CEEEFA"/>
            </w:tcBorders>
            <w:gridSpan w:val="4"/>
            <w:vMerge w:val="restart"/>
            <w:shd w:val="clear" w:color="auto" w:fill="CEEEFA"/>
          </w:tcPr>
          <w:p>
            <w:pPr>
              <w:spacing w:after="0" w:line="17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Borders>
              <w:right w:val="single" w:sz="8" w:color="CEEEFA"/>
            </w:tcBorders>
            <w:shd w:val="clear" w:color="auto" w:fill="CEEEFA"/>
          </w:tcPr>
          <w:p>
            <w:pPr>
              <w:spacing w:after="0" w:line="20" w:lineRule="exact"/>
              <w:rPr>
                <w:sz w:val="1"/>
                <w:szCs w:val="1"/>
                <w:color w:val="auto"/>
              </w:rPr>
            </w:pPr>
          </w:p>
        </w:tc>
        <w:tc>
          <w:tcPr>
            <w:tcW w:w="1700" w:type="dxa"/>
            <w:vAlign w:val="bottom"/>
            <w:tcBorders>
              <w:right w:val="single" w:sz="8" w:color="467886"/>
            </w:tcBorders>
            <w:gridSpan w:val="5"/>
            <w:shd w:val="clear" w:color="auto" w:fill="467886"/>
          </w:tcPr>
          <w:p>
            <w:pPr>
              <w:spacing w:after="0" w:line="20" w:lineRule="exact"/>
              <w:rPr>
                <w:sz w:val="1"/>
                <w:szCs w:val="1"/>
                <w:color w:val="auto"/>
              </w:rPr>
            </w:pPr>
          </w:p>
        </w:tc>
        <w:tc>
          <w:tcPr>
            <w:tcW w:w="2640" w:type="dxa"/>
            <w:vAlign w:val="bottom"/>
            <w:tcBorders>
              <w:right w:val="single" w:sz="8" w:color="467886"/>
            </w:tcBorders>
            <w:gridSpan w:val="7"/>
            <w:shd w:val="clear" w:color="auto" w:fill="467886"/>
          </w:tcPr>
          <w:p>
            <w:pPr>
              <w:spacing w:after="0" w:line="20" w:lineRule="exact"/>
              <w:rPr>
                <w:sz w:val="1"/>
                <w:szCs w:val="1"/>
                <w:color w:val="auto"/>
              </w:rPr>
            </w:pPr>
          </w:p>
        </w:tc>
        <w:tc>
          <w:tcPr>
            <w:tcW w:w="80" w:type="dxa"/>
            <w:vAlign w:val="bottom"/>
            <w:tcBorders>
              <w:right w:val="single" w:sz="8" w:color="CEEEFA"/>
            </w:tcBorders>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vMerge w:val="continue"/>
            <w:shd w:val="clear" w:color="auto" w:fill="CEEEFA"/>
          </w:tcPr>
          <w:p>
            <w:pPr>
              <w:spacing w:after="0"/>
              <w:rPr>
                <w:sz w:val="13"/>
                <w:szCs w:val="13"/>
                <w:color w:val="auto"/>
              </w:rPr>
            </w:pPr>
          </w:p>
        </w:tc>
        <w:tc>
          <w:tcPr>
            <w:tcW w:w="5120" w:type="dxa"/>
            <w:vAlign w:val="bottom"/>
            <w:tcBorders>
              <w:right w:val="single" w:sz="8" w:color="CEEEFA"/>
            </w:tcBorders>
            <w:gridSpan w:val="4"/>
            <w:vMerge w:val="continue"/>
            <w:shd w:val="clear" w:color="auto" w:fill="CEEEFA"/>
          </w:tcPr>
          <w:p>
            <w:pPr>
              <w:spacing w:after="0"/>
              <w:rPr>
                <w:sz w:val="13"/>
                <w:szCs w:val="13"/>
                <w:color w:val="auto"/>
              </w:rPr>
            </w:pPr>
          </w:p>
        </w:tc>
        <w:tc>
          <w:tcPr>
            <w:tcW w:w="4920" w:type="dxa"/>
            <w:vAlign w:val="bottom"/>
            <w:tcBorders>
              <w:right w:val="single" w:sz="8" w:color="CEEEFA"/>
            </w:tcBorders>
            <w:gridSpan w:val="13"/>
            <w:shd w:val="clear" w:color="auto" w:fill="CEEEFA"/>
          </w:tcPr>
          <w:p>
            <w:pPr>
              <w:spacing w:after="0" w:line="155" w:lineRule="exact"/>
              <w:rPr>
                <w:rFonts w:ascii="Times New Roman" w:cs="Times New Roman" w:eastAsia="Times New Roman" w:hAnsi="Times New Roman"/>
                <w:sz w:val="16"/>
                <w:szCs w:val="16"/>
                <w:color w:val="467886"/>
              </w:rPr>
            </w:pPr>
            <w:hyperlink r:id="rId68">
              <w:r>
                <w:rPr>
                  <w:rFonts w:ascii="Times New Roman" w:cs="Times New Roman" w:eastAsia="Times New Roman" w:hAnsi="Times New Roman"/>
                  <w:sz w:val="16"/>
                  <w:szCs w:val="16"/>
                  <w:color w:val="467886"/>
                </w:rPr>
                <w:t>the quarter ended March 31, 2025</w:t>
              </w:r>
              <w:r>
                <w:rPr>
                  <w:rFonts w:ascii="Times New Roman" w:cs="Times New Roman" w:eastAsia="Times New Roman" w:hAnsi="Times New Roman"/>
                  <w:sz w:val="16"/>
                  <w:szCs w:val="16"/>
                  <w:color w:val="000000"/>
                </w:rPr>
                <w:t>, and incorporated herein by reference.</w:t>
              </w:r>
            </w:hyperlink>
          </w:p>
        </w:tc>
        <w:tc>
          <w:tcPr>
            <w:tcW w:w="80" w:type="dxa"/>
            <w:vAlign w:val="bottom"/>
            <w:tcBorders>
              <w:right w:val="single" w:sz="8" w:color="CEEEFA"/>
            </w:tcBorders>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CEEEFA"/>
          </w:tcPr>
          <w:p>
            <w:pPr>
              <w:spacing w:after="0"/>
              <w:rPr>
                <w:sz w:val="2"/>
                <w:szCs w:val="2"/>
                <w:color w:val="auto"/>
              </w:rPr>
            </w:pPr>
          </w:p>
        </w:tc>
        <w:tc>
          <w:tcPr>
            <w:tcW w:w="3560" w:type="dxa"/>
            <w:vAlign w:val="bottom"/>
            <w:shd w:val="clear" w:color="auto" w:fill="CEEEFA"/>
          </w:tcPr>
          <w:p>
            <w:pPr>
              <w:spacing w:after="0"/>
              <w:rPr>
                <w:sz w:val="2"/>
                <w:szCs w:val="2"/>
                <w:color w:val="auto"/>
              </w:rPr>
            </w:pPr>
          </w:p>
        </w:tc>
        <w:tc>
          <w:tcPr>
            <w:tcW w:w="68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600" w:type="dxa"/>
            <w:vAlign w:val="bottom"/>
            <w:tcBorders>
              <w:right w:val="single" w:sz="8" w:color="CEEEFA"/>
            </w:tcBorders>
            <w:shd w:val="clear" w:color="auto" w:fill="CEEEFA"/>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200" w:type="dxa"/>
            <w:vAlign w:val="bottom"/>
            <w:tcBorders>
              <w:right w:val="single" w:sz="8" w:color="CEEEFA"/>
            </w:tcBorders>
            <w:shd w:val="clear" w:color="auto" w:fill="467886"/>
          </w:tcPr>
          <w:p>
            <w:pPr>
              <w:spacing w:after="0"/>
              <w:rPr>
                <w:sz w:val="2"/>
                <w:szCs w:val="2"/>
                <w:color w:val="auto"/>
              </w:rPr>
            </w:pPr>
          </w:p>
        </w:tc>
        <w:tc>
          <w:tcPr>
            <w:tcW w:w="200" w:type="dxa"/>
            <w:vAlign w:val="bottom"/>
            <w:shd w:val="clear" w:color="auto" w:fill="CEEEFA"/>
          </w:tcPr>
          <w:p>
            <w:pPr>
              <w:spacing w:after="0"/>
              <w:rPr>
                <w:sz w:val="2"/>
                <w:szCs w:val="2"/>
                <w:color w:val="auto"/>
              </w:rPr>
            </w:pPr>
          </w:p>
        </w:tc>
        <w:tc>
          <w:tcPr>
            <w:tcW w:w="1800" w:type="dxa"/>
            <w:vAlign w:val="bottom"/>
            <w:shd w:val="clear" w:color="auto" w:fill="CEEEFA"/>
          </w:tcPr>
          <w:p>
            <w:pPr>
              <w:spacing w:after="0"/>
              <w:rPr>
                <w:sz w:val="2"/>
                <w:szCs w:val="2"/>
                <w:color w:val="auto"/>
              </w:rPr>
            </w:pPr>
          </w:p>
        </w:tc>
        <w:tc>
          <w:tcPr>
            <w:tcW w:w="26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140" w:type="dxa"/>
            <w:vAlign w:val="bottom"/>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April 2, 2025, by and between Reading</w:t>
            </w:r>
          </w:p>
        </w:tc>
        <w:tc>
          <w:tcPr>
            <w:tcW w:w="5000" w:type="dxa"/>
            <w:vAlign w:val="bottom"/>
            <w:gridSpan w:val="14"/>
          </w:tcPr>
          <w:p>
            <w:pPr>
              <w:spacing w:after="0" w:line="148" w:lineRule="exact"/>
              <w:rPr>
                <w:rFonts w:ascii="Times New Roman" w:cs="Times New Roman" w:eastAsia="Times New Roman" w:hAnsi="Times New Roman"/>
                <w:sz w:val="16"/>
                <w:szCs w:val="16"/>
                <w:color w:val="auto"/>
              </w:rPr>
            </w:pPr>
            <w:hyperlink r:id="rId6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10.30†</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Pr>
          <w:p>
            <w:pPr>
              <w:spacing w:after="0" w:line="20" w:lineRule="exact"/>
              <w:rPr>
                <w:sz w:val="1"/>
                <w:szCs w:val="1"/>
                <w:color w:val="auto"/>
              </w:rPr>
            </w:pPr>
          </w:p>
        </w:tc>
        <w:tc>
          <w:tcPr>
            <w:tcW w:w="4340" w:type="dxa"/>
            <w:vAlign w:val="bottom"/>
            <w:tcBorders>
              <w:right w:val="single" w:sz="8" w:color="467886"/>
            </w:tcBorders>
            <w:gridSpan w:val="12"/>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920" w:type="dxa"/>
            <w:vAlign w:val="bottom"/>
            <w:gridSpan w:val="13"/>
          </w:tcPr>
          <w:p>
            <w:pPr>
              <w:spacing w:after="0" w:line="155" w:lineRule="exact"/>
              <w:rPr>
                <w:rFonts w:ascii="Times New Roman" w:cs="Times New Roman" w:eastAsia="Times New Roman" w:hAnsi="Times New Roman"/>
                <w:sz w:val="16"/>
                <w:szCs w:val="16"/>
                <w:color w:val="467886"/>
              </w:rPr>
            </w:pPr>
            <w:hyperlink r:id="rId69">
              <w:r>
                <w:rPr>
                  <w:rFonts w:ascii="Times New Roman" w:cs="Times New Roman" w:eastAsia="Times New Roman" w:hAnsi="Times New Roman"/>
                  <w:sz w:val="16"/>
                  <w:szCs w:val="16"/>
                  <w:color w:val="467886"/>
                </w:rPr>
                <w:t>the quarter ended June 30, 2025</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April 28, 2025, by and between Reading</w:t>
            </w:r>
          </w:p>
        </w:tc>
        <w:tc>
          <w:tcPr>
            <w:tcW w:w="5000" w:type="dxa"/>
            <w:vAlign w:val="bottom"/>
            <w:tcBorders>
              <w:right w:val="single" w:sz="8" w:color="CEEEFA"/>
            </w:tcBorders>
            <w:gridSpan w:val="14"/>
            <w:shd w:val="clear" w:color="auto" w:fill="CEEEFA"/>
          </w:tcPr>
          <w:p>
            <w:pPr>
              <w:spacing w:after="0" w:line="148" w:lineRule="exact"/>
              <w:rPr>
                <w:rFonts w:ascii="Times New Roman" w:cs="Times New Roman" w:eastAsia="Times New Roman" w:hAnsi="Times New Roman"/>
                <w:sz w:val="16"/>
                <w:szCs w:val="16"/>
                <w:color w:val="auto"/>
              </w:rPr>
            </w:pPr>
            <w:hyperlink r:id="rId7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 to the Company’s Quarterly Report on Form 10-Q for</w:t>
              </w:r>
            </w:hyperlink>
          </w:p>
        </w:tc>
        <w:tc>
          <w:tcPr>
            <w:tcW w:w="0" w:type="dxa"/>
            <w:vAlign w:val="bottom"/>
          </w:tcPr>
          <w:p>
            <w:pPr>
              <w:spacing w:after="0"/>
              <w:rPr>
                <w:sz w:val="1"/>
                <w:szCs w:val="1"/>
                <w:color w:val="auto"/>
              </w:rPr>
            </w:pPr>
          </w:p>
        </w:tc>
      </w:tr>
      <w:tr>
        <w:trPr>
          <w:trHeight w:val="20"/>
        </w:trPr>
        <w:tc>
          <w:tcPr>
            <w:tcW w:w="112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10.31†</w:t>
            </w:r>
          </w:p>
        </w:tc>
        <w:tc>
          <w:tcPr>
            <w:tcW w:w="5120" w:type="dxa"/>
            <w:vAlign w:val="bottom"/>
            <w:tcBorders>
              <w:right w:val="single" w:sz="8" w:color="CEEEFA"/>
            </w:tcBorders>
            <w:gridSpan w:val="4"/>
            <w:vMerge w:val="restart"/>
            <w:shd w:val="clear" w:color="auto" w:fill="CEEEFA"/>
          </w:tcPr>
          <w:p>
            <w:pPr>
              <w:spacing w:after="0" w:line="17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Borders>
              <w:right w:val="single" w:sz="8" w:color="CEEEFA"/>
            </w:tcBorders>
            <w:shd w:val="clear" w:color="auto" w:fill="CEEEFA"/>
          </w:tcPr>
          <w:p>
            <w:pPr>
              <w:spacing w:after="0" w:line="20" w:lineRule="exact"/>
              <w:rPr>
                <w:sz w:val="1"/>
                <w:szCs w:val="1"/>
                <w:color w:val="auto"/>
              </w:rPr>
            </w:pPr>
          </w:p>
        </w:tc>
        <w:tc>
          <w:tcPr>
            <w:tcW w:w="4340" w:type="dxa"/>
            <w:vAlign w:val="bottom"/>
            <w:tcBorders>
              <w:right w:val="single" w:sz="8" w:color="467886"/>
            </w:tcBorders>
            <w:gridSpan w:val="12"/>
            <w:shd w:val="clear" w:color="auto" w:fill="467886"/>
          </w:tcPr>
          <w:p>
            <w:pPr>
              <w:spacing w:after="0" w:line="20" w:lineRule="exact"/>
              <w:rPr>
                <w:sz w:val="1"/>
                <w:szCs w:val="1"/>
                <w:color w:val="auto"/>
              </w:rPr>
            </w:pPr>
          </w:p>
        </w:tc>
        <w:tc>
          <w:tcPr>
            <w:tcW w:w="80" w:type="dxa"/>
            <w:vAlign w:val="bottom"/>
            <w:tcBorders>
              <w:right w:val="single" w:sz="8" w:color="CEEEFA"/>
            </w:tcBorders>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vMerge w:val="continue"/>
            <w:shd w:val="clear" w:color="auto" w:fill="CEEEFA"/>
          </w:tcPr>
          <w:p>
            <w:pPr>
              <w:spacing w:after="0"/>
              <w:rPr>
                <w:sz w:val="13"/>
                <w:szCs w:val="13"/>
                <w:color w:val="auto"/>
              </w:rPr>
            </w:pPr>
          </w:p>
        </w:tc>
        <w:tc>
          <w:tcPr>
            <w:tcW w:w="5120" w:type="dxa"/>
            <w:vAlign w:val="bottom"/>
            <w:tcBorders>
              <w:right w:val="single" w:sz="8" w:color="CEEEFA"/>
            </w:tcBorders>
            <w:gridSpan w:val="4"/>
            <w:vMerge w:val="continue"/>
            <w:shd w:val="clear" w:color="auto" w:fill="CEEEFA"/>
          </w:tcPr>
          <w:p>
            <w:pPr>
              <w:spacing w:after="0"/>
              <w:rPr>
                <w:sz w:val="13"/>
                <w:szCs w:val="13"/>
                <w:color w:val="auto"/>
              </w:rPr>
            </w:pPr>
          </w:p>
        </w:tc>
        <w:tc>
          <w:tcPr>
            <w:tcW w:w="4920" w:type="dxa"/>
            <w:vAlign w:val="bottom"/>
            <w:tcBorders>
              <w:right w:val="single" w:sz="8" w:color="CEEEFA"/>
            </w:tcBorders>
            <w:gridSpan w:val="13"/>
            <w:shd w:val="clear" w:color="auto" w:fill="CEEEFA"/>
          </w:tcPr>
          <w:p>
            <w:pPr>
              <w:spacing w:after="0" w:line="155" w:lineRule="exact"/>
              <w:rPr>
                <w:rFonts w:ascii="Times New Roman" w:cs="Times New Roman" w:eastAsia="Times New Roman" w:hAnsi="Times New Roman"/>
                <w:sz w:val="16"/>
                <w:szCs w:val="16"/>
                <w:color w:val="467886"/>
              </w:rPr>
            </w:pPr>
            <w:hyperlink r:id="rId70">
              <w:r>
                <w:rPr>
                  <w:rFonts w:ascii="Times New Roman" w:cs="Times New Roman" w:eastAsia="Times New Roman" w:hAnsi="Times New Roman"/>
                  <w:sz w:val="16"/>
                  <w:szCs w:val="16"/>
                  <w:color w:val="467886"/>
                </w:rPr>
                <w:t>the quarter ended June 30, 2025</w:t>
              </w:r>
              <w:r>
                <w:rPr>
                  <w:rFonts w:ascii="Times New Roman" w:cs="Times New Roman" w:eastAsia="Times New Roman" w:hAnsi="Times New Roman"/>
                  <w:sz w:val="16"/>
                  <w:szCs w:val="16"/>
                  <w:color w:val="000000"/>
                </w:rPr>
                <w:t>, and incorporated herein by reference.</w:t>
              </w:r>
            </w:hyperlink>
          </w:p>
        </w:tc>
        <w:tc>
          <w:tcPr>
            <w:tcW w:w="80" w:type="dxa"/>
            <w:vAlign w:val="bottom"/>
            <w:tcBorders>
              <w:right w:val="single" w:sz="8" w:color="CEEEFA"/>
            </w:tcBorders>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CEEEFA"/>
          </w:tcPr>
          <w:p>
            <w:pPr>
              <w:spacing w:after="0"/>
              <w:rPr>
                <w:sz w:val="2"/>
                <w:szCs w:val="2"/>
                <w:color w:val="auto"/>
              </w:rPr>
            </w:pPr>
          </w:p>
        </w:tc>
        <w:tc>
          <w:tcPr>
            <w:tcW w:w="3560" w:type="dxa"/>
            <w:vAlign w:val="bottom"/>
            <w:shd w:val="clear" w:color="auto" w:fill="CEEEFA"/>
          </w:tcPr>
          <w:p>
            <w:pPr>
              <w:spacing w:after="0"/>
              <w:rPr>
                <w:sz w:val="2"/>
                <w:szCs w:val="2"/>
                <w:color w:val="auto"/>
              </w:rPr>
            </w:pPr>
          </w:p>
        </w:tc>
        <w:tc>
          <w:tcPr>
            <w:tcW w:w="68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600" w:type="dxa"/>
            <w:vAlign w:val="bottom"/>
            <w:tcBorders>
              <w:right w:val="single" w:sz="8" w:color="CEEEFA"/>
            </w:tcBorders>
            <w:shd w:val="clear" w:color="auto" w:fill="CEEEFA"/>
          </w:tcPr>
          <w:p>
            <w:pPr>
              <w:spacing w:after="0"/>
              <w:rPr>
                <w:sz w:val="2"/>
                <w:szCs w:val="2"/>
                <w:color w:val="auto"/>
              </w:rPr>
            </w:pPr>
          </w:p>
        </w:tc>
        <w:tc>
          <w:tcPr>
            <w:tcW w:w="580" w:type="dxa"/>
            <w:vAlign w:val="bottom"/>
            <w:tcBorders>
              <w:right w:val="single" w:sz="8" w:color="467886"/>
            </w:tcBorders>
            <w:shd w:val="clear" w:color="auto" w:fill="467886"/>
          </w:tcPr>
          <w:p>
            <w:pPr>
              <w:spacing w:after="0"/>
              <w:rPr>
                <w:sz w:val="2"/>
                <w:szCs w:val="2"/>
                <w:color w:val="auto"/>
              </w:rPr>
            </w:pPr>
          </w:p>
        </w:tc>
        <w:tc>
          <w:tcPr>
            <w:tcW w:w="540" w:type="dxa"/>
            <w:vAlign w:val="bottom"/>
            <w:shd w:val="clear" w:color="auto" w:fill="467886"/>
          </w:tcPr>
          <w:p>
            <w:pPr>
              <w:spacing w:after="0"/>
              <w:rPr>
                <w:sz w:val="2"/>
                <w:szCs w:val="2"/>
                <w:color w:val="auto"/>
              </w:rPr>
            </w:pPr>
          </w:p>
        </w:tc>
        <w:tc>
          <w:tcPr>
            <w:tcW w:w="580" w:type="dxa"/>
            <w:vAlign w:val="bottom"/>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60" w:type="dxa"/>
            <w:vAlign w:val="bottom"/>
            <w:tcBorders>
              <w:right w:val="single" w:sz="8" w:color="467886"/>
            </w:tcBorders>
            <w:shd w:val="clear" w:color="auto" w:fill="467886"/>
          </w:tcPr>
          <w:p>
            <w:pPr>
              <w:spacing w:after="0"/>
              <w:rPr>
                <w:sz w:val="2"/>
                <w:szCs w:val="2"/>
                <w:color w:val="auto"/>
              </w:rPr>
            </w:pPr>
          </w:p>
        </w:tc>
        <w:tc>
          <w:tcPr>
            <w:tcW w:w="200" w:type="dxa"/>
            <w:vAlign w:val="bottom"/>
            <w:tcBorders>
              <w:right w:val="single" w:sz="8" w:color="CEEEFA"/>
            </w:tcBorders>
            <w:shd w:val="clear" w:color="auto" w:fill="CEEEFA"/>
          </w:tcPr>
          <w:p>
            <w:pPr>
              <w:spacing w:after="0"/>
              <w:rPr>
                <w:sz w:val="2"/>
                <w:szCs w:val="2"/>
                <w:color w:val="auto"/>
              </w:rPr>
            </w:pPr>
          </w:p>
        </w:tc>
        <w:tc>
          <w:tcPr>
            <w:tcW w:w="200" w:type="dxa"/>
            <w:vAlign w:val="bottom"/>
            <w:shd w:val="clear" w:color="auto" w:fill="CEEEFA"/>
          </w:tcPr>
          <w:p>
            <w:pPr>
              <w:spacing w:after="0"/>
              <w:rPr>
                <w:sz w:val="2"/>
                <w:szCs w:val="2"/>
                <w:color w:val="auto"/>
              </w:rPr>
            </w:pPr>
          </w:p>
        </w:tc>
        <w:tc>
          <w:tcPr>
            <w:tcW w:w="1800" w:type="dxa"/>
            <w:vAlign w:val="bottom"/>
            <w:shd w:val="clear" w:color="auto" w:fill="CEEEFA"/>
          </w:tcPr>
          <w:p>
            <w:pPr>
              <w:spacing w:after="0"/>
              <w:rPr>
                <w:sz w:val="2"/>
                <w:szCs w:val="2"/>
                <w:color w:val="auto"/>
              </w:rPr>
            </w:pPr>
          </w:p>
        </w:tc>
        <w:tc>
          <w:tcPr>
            <w:tcW w:w="26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140" w:type="dxa"/>
            <w:vAlign w:val="bottom"/>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80" w:type="dxa"/>
            <w:vAlign w:val="bottom"/>
            <w:tcBorders>
              <w:right w:val="single" w:sz="8" w:color="CEEEFA"/>
            </w:tcBorders>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Amendment Deed dated November 12, 2025, by and between Reading</w:t>
            </w:r>
          </w:p>
        </w:tc>
        <w:tc>
          <w:tcPr>
            <w:tcW w:w="5000" w:type="dxa"/>
            <w:vAlign w:val="bottom"/>
            <w:gridSpan w:val="14"/>
          </w:tcPr>
          <w:p>
            <w:pPr>
              <w:spacing w:after="0" w:line="148" w:lineRule="exact"/>
              <w:rPr>
                <w:rFonts w:ascii="Times New Roman" w:cs="Times New Roman" w:eastAsia="Times New Roman" w:hAnsi="Times New Roman"/>
                <w:sz w:val="16"/>
                <w:szCs w:val="16"/>
                <w:color w:val="auto"/>
              </w:rPr>
            </w:pPr>
            <w:hyperlink r:id="rId7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10.32 to the Company’s Annual Report on Form 10-K for</w:t>
              </w:r>
            </w:hyperlink>
          </w:p>
        </w:tc>
        <w:tc>
          <w:tcPr>
            <w:tcW w:w="0" w:type="dxa"/>
            <w:vAlign w:val="bottom"/>
          </w:tcPr>
          <w:p>
            <w:pPr>
              <w:spacing w:after="0"/>
              <w:rPr>
                <w:sz w:val="1"/>
                <w:szCs w:val="1"/>
                <w:color w:val="auto"/>
              </w:rPr>
            </w:pPr>
          </w:p>
        </w:tc>
      </w:tr>
      <w:tr>
        <w:trPr>
          <w:trHeight w:val="163"/>
        </w:trPr>
        <w:tc>
          <w:tcPr>
            <w:tcW w:w="11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10.32†</w:t>
            </w:r>
          </w:p>
        </w:tc>
        <w:tc>
          <w:tcPr>
            <w:tcW w:w="512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580" w:type="dxa"/>
            <w:vAlign w:val="bottom"/>
          </w:tcPr>
          <w:p>
            <w:pPr>
              <w:spacing w:after="0" w:line="155" w:lineRule="exact"/>
              <w:rPr>
                <w:rFonts w:ascii="Times New Roman" w:cs="Times New Roman" w:eastAsia="Times New Roman" w:hAnsi="Times New Roman"/>
                <w:sz w:val="16"/>
                <w:szCs w:val="16"/>
                <w:color w:val="467886"/>
              </w:rPr>
            </w:pPr>
            <w:hyperlink r:id="rId71">
              <w:r>
                <w:rPr>
                  <w:rFonts w:ascii="Times New Roman" w:cs="Times New Roman" w:eastAsia="Times New Roman" w:hAnsi="Times New Roman"/>
                  <w:sz w:val="16"/>
                  <w:szCs w:val="16"/>
                  <w:color w:val="467886"/>
                </w:rPr>
                <w:t>the year</w:t>
              </w:r>
            </w:hyperlink>
          </w:p>
        </w:tc>
        <w:tc>
          <w:tcPr>
            <w:tcW w:w="4340" w:type="dxa"/>
            <w:vAlign w:val="bottom"/>
            <w:tcBorders>
              <w:top w:val="single" w:sz="8" w:color="467886"/>
            </w:tcBorders>
            <w:gridSpan w:val="12"/>
          </w:tcPr>
          <w:p>
            <w:pPr>
              <w:spacing w:after="0" w:line="155" w:lineRule="exact"/>
              <w:rPr>
                <w:rFonts w:ascii="Times New Roman" w:cs="Times New Roman" w:eastAsia="Times New Roman" w:hAnsi="Times New Roman"/>
                <w:sz w:val="16"/>
                <w:szCs w:val="16"/>
                <w:color w:val="467886"/>
              </w:rPr>
            </w:pPr>
            <w:hyperlink r:id="rId71">
              <w:r>
                <w:rPr>
                  <w:rFonts w:ascii="Times New Roman" w:cs="Times New Roman" w:eastAsia="Times New Roman" w:hAnsi="Times New Roman"/>
                  <w:sz w:val="16"/>
                  <w:szCs w:val="16"/>
                  <w:color w:val="467886"/>
                </w:rPr>
                <w:t>ended December 31, 2025</w:t>
              </w:r>
              <w:r>
                <w:rPr>
                  <w:rFonts w:ascii="Times New Roman" w:cs="Times New Roman" w:eastAsia="Times New Roman" w:hAnsi="Times New Roman"/>
                  <w:sz w:val="16"/>
                  <w:szCs w:val="16"/>
                  <w:color w:val="000000"/>
                </w:rPr>
                <w:t>, and incorporated herein by reference.</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5120" w:type="dxa"/>
            <w:vAlign w:val="bottom"/>
            <w:tcBorders>
              <w:right w:val="single" w:sz="8" w:color="CEEEFA"/>
            </w:tcBorders>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Renewal and Amendment of Banking Facilities dated December 17, 2024, by</w:t>
            </w:r>
          </w:p>
        </w:tc>
        <w:tc>
          <w:tcPr>
            <w:tcW w:w="580" w:type="dxa"/>
            <w:vAlign w:val="bottom"/>
            <w:tcBorders>
              <w:top w:val="single" w:sz="8" w:color="467886"/>
              <w:right w:val="single" w:sz="8" w:color="CEEEFA"/>
            </w:tcBorders>
            <w:shd w:val="clear" w:color="auto" w:fill="CEEEFA"/>
          </w:tcPr>
          <w:p>
            <w:pPr>
              <w:spacing w:after="0"/>
              <w:rPr>
                <w:sz w:val="12"/>
                <w:szCs w:val="12"/>
                <w:color w:val="auto"/>
              </w:rPr>
            </w:pPr>
          </w:p>
        </w:tc>
        <w:tc>
          <w:tcPr>
            <w:tcW w:w="540" w:type="dxa"/>
            <w:vAlign w:val="bottom"/>
            <w:tcBorders>
              <w:top w:val="single" w:sz="8" w:color="467886"/>
            </w:tcBorders>
            <w:shd w:val="clear" w:color="auto" w:fill="CEEEFA"/>
          </w:tcPr>
          <w:p>
            <w:pPr>
              <w:spacing w:after="0"/>
              <w:rPr>
                <w:sz w:val="12"/>
                <w:szCs w:val="12"/>
                <w:color w:val="auto"/>
              </w:rPr>
            </w:pPr>
          </w:p>
        </w:tc>
        <w:tc>
          <w:tcPr>
            <w:tcW w:w="580" w:type="dxa"/>
            <w:vAlign w:val="bottom"/>
            <w:tcBorders>
              <w:top w:val="single" w:sz="8" w:color="467886"/>
            </w:tcBorders>
            <w:shd w:val="clear" w:color="auto" w:fill="CEEEFA"/>
          </w:tcPr>
          <w:p>
            <w:pPr>
              <w:spacing w:after="0"/>
              <w:rPr>
                <w:sz w:val="12"/>
                <w:szCs w:val="12"/>
                <w:color w:val="auto"/>
              </w:rPr>
            </w:pPr>
          </w:p>
        </w:tc>
        <w:tc>
          <w:tcPr>
            <w:tcW w:w="120" w:type="dxa"/>
            <w:vAlign w:val="bottom"/>
            <w:tcBorders>
              <w:top w:val="single" w:sz="8" w:color="467886"/>
            </w:tcBorders>
            <w:shd w:val="clear" w:color="auto" w:fill="CEEEFA"/>
          </w:tcPr>
          <w:p>
            <w:pPr>
              <w:spacing w:after="0"/>
              <w:rPr>
                <w:sz w:val="12"/>
                <w:szCs w:val="12"/>
                <w:color w:val="auto"/>
              </w:rPr>
            </w:pPr>
          </w:p>
        </w:tc>
        <w:tc>
          <w:tcPr>
            <w:tcW w:w="260" w:type="dxa"/>
            <w:vAlign w:val="bottom"/>
            <w:tcBorders>
              <w:top w:val="single" w:sz="8" w:color="467886"/>
              <w:right w:val="single" w:sz="8" w:color="CEEEFA"/>
            </w:tcBorders>
            <w:shd w:val="clear" w:color="auto" w:fill="CEEEFA"/>
          </w:tcPr>
          <w:p>
            <w:pPr>
              <w:spacing w:after="0"/>
              <w:rPr>
                <w:sz w:val="12"/>
                <w:szCs w:val="12"/>
                <w:color w:val="auto"/>
              </w:rPr>
            </w:pPr>
          </w:p>
        </w:tc>
        <w:tc>
          <w:tcPr>
            <w:tcW w:w="200" w:type="dxa"/>
            <w:vAlign w:val="bottom"/>
            <w:tcBorders>
              <w:top w:val="single" w:sz="8" w:color="467886"/>
              <w:right w:val="single" w:sz="8" w:color="CEEEFA"/>
            </w:tcBorders>
            <w:shd w:val="clear" w:color="auto" w:fill="CEEEFA"/>
          </w:tcPr>
          <w:p>
            <w:pPr>
              <w:spacing w:after="0"/>
              <w:rPr>
                <w:sz w:val="12"/>
                <w:szCs w:val="12"/>
                <w:color w:val="auto"/>
              </w:rPr>
            </w:pPr>
          </w:p>
        </w:tc>
        <w:tc>
          <w:tcPr>
            <w:tcW w:w="200" w:type="dxa"/>
            <w:vAlign w:val="bottom"/>
            <w:shd w:val="clear" w:color="auto" w:fill="CEEEFA"/>
          </w:tcPr>
          <w:p>
            <w:pPr>
              <w:spacing w:after="0"/>
              <w:rPr>
                <w:sz w:val="12"/>
                <w:szCs w:val="12"/>
                <w:color w:val="auto"/>
              </w:rPr>
            </w:pPr>
          </w:p>
        </w:tc>
        <w:tc>
          <w:tcPr>
            <w:tcW w:w="1800" w:type="dxa"/>
            <w:vAlign w:val="bottom"/>
            <w:shd w:val="clear" w:color="auto" w:fill="CEEEFA"/>
          </w:tcPr>
          <w:p>
            <w:pPr>
              <w:spacing w:after="0"/>
              <w:rPr>
                <w:sz w:val="12"/>
                <w:szCs w:val="12"/>
                <w:color w:val="auto"/>
              </w:rPr>
            </w:pPr>
          </w:p>
        </w:tc>
        <w:tc>
          <w:tcPr>
            <w:tcW w:w="26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40" w:type="dxa"/>
            <w:vAlign w:val="bottom"/>
            <w:shd w:val="clear" w:color="auto" w:fill="CEEEFA"/>
          </w:tcPr>
          <w:p>
            <w:pPr>
              <w:spacing w:after="0"/>
              <w:rPr>
                <w:sz w:val="12"/>
                <w:szCs w:val="12"/>
                <w:color w:val="auto"/>
              </w:rPr>
            </w:pPr>
          </w:p>
        </w:tc>
        <w:tc>
          <w:tcPr>
            <w:tcW w:w="140" w:type="dxa"/>
            <w:vAlign w:val="bottom"/>
            <w:shd w:val="clear" w:color="auto" w:fill="CEEEFA"/>
          </w:tcPr>
          <w:p>
            <w:pPr>
              <w:spacing w:after="0"/>
              <w:rPr>
                <w:sz w:val="12"/>
                <w:szCs w:val="12"/>
                <w:color w:val="auto"/>
              </w:rPr>
            </w:pPr>
          </w:p>
        </w:tc>
        <w:tc>
          <w:tcPr>
            <w:tcW w:w="80" w:type="dxa"/>
            <w:vAlign w:val="bottom"/>
            <w:tcBorders>
              <w:right w:val="single" w:sz="8" w:color="CEEEFA"/>
            </w:tcBorders>
            <w:shd w:val="clear" w:color="auto" w:fill="CEEEFA"/>
          </w:tcPr>
          <w:p>
            <w:pPr>
              <w:spacing w:after="0"/>
              <w:rPr>
                <w:sz w:val="12"/>
                <w:szCs w:val="12"/>
                <w:color w:val="auto"/>
              </w:rPr>
            </w:pPr>
          </w:p>
        </w:tc>
        <w:tc>
          <w:tcPr>
            <w:tcW w:w="80" w:type="dxa"/>
            <w:vAlign w:val="bottom"/>
            <w:tcBorders>
              <w:right w:val="single" w:sz="8" w:color="CEEEFA"/>
            </w:tcBorders>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EEEFA"/>
          </w:tcPr>
          <w:p>
            <w:pPr>
              <w:spacing w:after="0"/>
              <w:rPr>
                <w:sz w:val="15"/>
                <w:szCs w:val="15"/>
                <w:color w:val="auto"/>
              </w:rPr>
            </w:pPr>
          </w:p>
        </w:tc>
        <w:tc>
          <w:tcPr>
            <w:tcW w:w="5120" w:type="dxa"/>
            <w:vAlign w:val="bottom"/>
            <w:tcBorders>
              <w:right w:val="single" w:sz="8" w:color="CEEEFA"/>
            </w:tcBorders>
            <w:gridSpan w:val="4"/>
            <w:shd w:val="clear" w:color="auto" w:fill="CEEEFA"/>
          </w:tcPr>
          <w:p>
            <w:pPr>
              <w:spacing w:after="0" w:line="176" w:lineRule="exact"/>
              <w:rPr>
                <w:sz w:val="20"/>
                <w:szCs w:val="20"/>
                <w:color w:val="auto"/>
              </w:rPr>
            </w:pPr>
            <w:r>
              <w:rPr>
                <w:rFonts w:ascii="Times New Roman" w:cs="Times New Roman" w:eastAsia="Times New Roman" w:hAnsi="Times New Roman"/>
                <w:sz w:val="16"/>
                <w:szCs w:val="16"/>
                <w:color w:val="auto"/>
              </w:rPr>
              <w:t>and between Reading Entertainment Australia Pty Ltd and National Australia</w:t>
            </w:r>
          </w:p>
        </w:tc>
        <w:tc>
          <w:tcPr>
            <w:tcW w:w="5000" w:type="dxa"/>
            <w:vAlign w:val="bottom"/>
            <w:tcBorders>
              <w:right w:val="single" w:sz="8" w:color="CEEEFA"/>
            </w:tcBorders>
            <w:gridSpan w:val="14"/>
            <w:shd w:val="clear" w:color="auto" w:fill="CEEEFA"/>
          </w:tcPr>
          <w:p>
            <w:pPr>
              <w:spacing w:after="0" w:line="176" w:lineRule="exact"/>
              <w:rPr>
                <w:rFonts w:ascii="Times New Roman" w:cs="Times New Roman" w:eastAsia="Times New Roman" w:hAnsi="Times New Roman"/>
                <w:sz w:val="16"/>
                <w:szCs w:val="16"/>
                <w:color w:val="auto"/>
              </w:rPr>
            </w:pPr>
            <w:hyperlink r:id="rId7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10.28 to the Company’s Annual Report on Form 10-K for</w:t>
              </w:r>
            </w:hyperlink>
          </w:p>
        </w:tc>
        <w:tc>
          <w:tcPr>
            <w:tcW w:w="0" w:type="dxa"/>
            <w:vAlign w:val="bottom"/>
          </w:tcPr>
          <w:p>
            <w:pPr>
              <w:spacing w:after="0"/>
              <w:rPr>
                <w:sz w:val="1"/>
                <w:szCs w:val="1"/>
                <w:color w:val="auto"/>
              </w:rPr>
            </w:pPr>
          </w:p>
        </w:tc>
      </w:tr>
      <w:tr>
        <w:trPr>
          <w:trHeight w:val="163"/>
        </w:trPr>
        <w:tc>
          <w:tcPr>
            <w:tcW w:w="112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10.33†</w:t>
            </w:r>
          </w:p>
        </w:tc>
        <w:tc>
          <w:tcPr>
            <w:tcW w:w="5120" w:type="dxa"/>
            <w:vAlign w:val="bottom"/>
            <w:tcBorders>
              <w:top w:val="single" w:sz="8" w:color="CEEEFA"/>
              <w:right w:val="single" w:sz="8" w:color="CEEEFA"/>
            </w:tcBorders>
            <w:gridSpan w:val="4"/>
            <w:shd w:val="clear" w:color="auto" w:fill="CEEEFA"/>
          </w:tcPr>
          <w:p>
            <w:pPr>
              <w:spacing w:after="0" w:line="155" w:lineRule="exact"/>
              <w:rPr>
                <w:sz w:val="20"/>
                <w:szCs w:val="20"/>
                <w:color w:val="auto"/>
              </w:rPr>
            </w:pPr>
            <w:r>
              <w:rPr>
                <w:rFonts w:ascii="Times New Roman" w:cs="Times New Roman" w:eastAsia="Times New Roman" w:hAnsi="Times New Roman"/>
                <w:sz w:val="16"/>
                <w:szCs w:val="16"/>
                <w:color w:val="auto"/>
              </w:rPr>
              <w:t>Bank Limited</w:t>
            </w:r>
          </w:p>
        </w:tc>
        <w:tc>
          <w:tcPr>
            <w:tcW w:w="580" w:type="dxa"/>
            <w:vAlign w:val="bottom"/>
            <w:tcBorders>
              <w:top w:val="single" w:sz="8" w:color="CEEEFA"/>
              <w:right w:val="single" w:sz="8" w:color="CEEEFA"/>
            </w:tcBorders>
            <w:shd w:val="clear" w:color="auto" w:fill="CEEEFA"/>
          </w:tcPr>
          <w:p>
            <w:pPr>
              <w:spacing w:after="0" w:line="155" w:lineRule="exact"/>
              <w:rPr>
                <w:rFonts w:ascii="Times New Roman" w:cs="Times New Roman" w:eastAsia="Times New Roman" w:hAnsi="Times New Roman"/>
                <w:sz w:val="16"/>
                <w:szCs w:val="16"/>
                <w:color w:val="467886"/>
              </w:rPr>
            </w:pPr>
            <w:hyperlink r:id="rId72">
              <w:r>
                <w:rPr>
                  <w:rFonts w:ascii="Times New Roman" w:cs="Times New Roman" w:eastAsia="Times New Roman" w:hAnsi="Times New Roman"/>
                  <w:sz w:val="16"/>
                  <w:szCs w:val="16"/>
                  <w:color w:val="467886"/>
                </w:rPr>
                <w:t>the year</w:t>
              </w:r>
            </w:hyperlink>
          </w:p>
        </w:tc>
        <w:tc>
          <w:tcPr>
            <w:tcW w:w="4340" w:type="dxa"/>
            <w:vAlign w:val="bottom"/>
            <w:tcBorders>
              <w:top w:val="single" w:sz="8" w:color="467886"/>
              <w:right w:val="single" w:sz="8" w:color="CEEEFA"/>
            </w:tcBorders>
            <w:gridSpan w:val="12"/>
            <w:shd w:val="clear" w:color="auto" w:fill="CEEEFA"/>
          </w:tcPr>
          <w:p>
            <w:pPr>
              <w:spacing w:after="0" w:line="155" w:lineRule="exact"/>
              <w:rPr>
                <w:rFonts w:ascii="Times New Roman" w:cs="Times New Roman" w:eastAsia="Times New Roman" w:hAnsi="Times New Roman"/>
                <w:sz w:val="16"/>
                <w:szCs w:val="16"/>
                <w:color w:val="467886"/>
              </w:rPr>
            </w:pPr>
            <w:hyperlink r:id="rId72">
              <w:r>
                <w:rPr>
                  <w:rFonts w:ascii="Times New Roman" w:cs="Times New Roman" w:eastAsia="Times New Roman" w:hAnsi="Times New Roman"/>
                  <w:sz w:val="16"/>
                  <w:szCs w:val="16"/>
                  <w:color w:val="467886"/>
                </w:rPr>
                <w:t>ended December 31, 2024</w:t>
              </w:r>
              <w:r>
                <w:rPr>
                  <w:rFonts w:ascii="Times New Roman" w:cs="Times New Roman" w:eastAsia="Times New Roman" w:hAnsi="Times New Roman"/>
                  <w:sz w:val="16"/>
                  <w:szCs w:val="16"/>
                  <w:color w:val="000000"/>
                </w:rPr>
                <w:t>, and incorporated herein by reference.</w:t>
              </w:r>
            </w:hyperlink>
          </w:p>
        </w:tc>
        <w:tc>
          <w:tcPr>
            <w:tcW w:w="80" w:type="dxa"/>
            <w:vAlign w:val="bottom"/>
            <w:tcBorders>
              <w:top w:val="single" w:sz="8" w:color="CEEEFA"/>
              <w:right w:val="single" w:sz="8" w:color="CEEEFA"/>
            </w:tcBorders>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tcBorders>
              <w:top w:val="single" w:sz="8" w:color="CEEEFA"/>
            </w:tcBorders>
          </w:tcPr>
          <w:p>
            <w:pPr>
              <w:spacing w:after="0"/>
              <w:rPr>
                <w:sz w:val="12"/>
                <w:szCs w:val="12"/>
                <w:color w:val="auto"/>
              </w:rPr>
            </w:pPr>
          </w:p>
        </w:tc>
        <w:tc>
          <w:tcPr>
            <w:tcW w:w="5120" w:type="dxa"/>
            <w:vAlign w:val="bottom"/>
            <w:tcBorders>
              <w:top w:val="single" w:sz="8" w:color="CEEEFA"/>
            </w:tcBorders>
            <w:gridSpan w:val="4"/>
          </w:tcPr>
          <w:p>
            <w:pPr>
              <w:spacing w:after="0" w:line="148" w:lineRule="exact"/>
              <w:rPr>
                <w:sz w:val="20"/>
                <w:szCs w:val="20"/>
                <w:color w:val="auto"/>
              </w:rPr>
            </w:pPr>
            <w:r>
              <w:rPr>
                <w:rFonts w:ascii="Times New Roman" w:cs="Times New Roman" w:eastAsia="Times New Roman" w:hAnsi="Times New Roman"/>
                <w:sz w:val="16"/>
                <w:szCs w:val="16"/>
                <w:color w:val="auto"/>
              </w:rPr>
              <w:t>Second Amended and Restated Credit Agreement dated March 6, 2020,</w:t>
            </w:r>
          </w:p>
        </w:tc>
        <w:tc>
          <w:tcPr>
            <w:tcW w:w="580" w:type="dxa"/>
            <w:vAlign w:val="bottom"/>
            <w:tcBorders>
              <w:top w:val="single" w:sz="8" w:color="467886"/>
            </w:tcBorders>
          </w:tcPr>
          <w:p>
            <w:pPr>
              <w:spacing w:after="0"/>
              <w:rPr>
                <w:sz w:val="12"/>
                <w:szCs w:val="12"/>
                <w:color w:val="auto"/>
              </w:rPr>
            </w:pPr>
          </w:p>
        </w:tc>
        <w:tc>
          <w:tcPr>
            <w:tcW w:w="540" w:type="dxa"/>
            <w:vAlign w:val="bottom"/>
            <w:tcBorders>
              <w:top w:val="single" w:sz="8" w:color="467886"/>
            </w:tcBorders>
          </w:tcPr>
          <w:p>
            <w:pPr>
              <w:spacing w:after="0"/>
              <w:rPr>
                <w:sz w:val="12"/>
                <w:szCs w:val="12"/>
                <w:color w:val="auto"/>
              </w:rPr>
            </w:pPr>
          </w:p>
        </w:tc>
        <w:tc>
          <w:tcPr>
            <w:tcW w:w="580" w:type="dxa"/>
            <w:vAlign w:val="bottom"/>
            <w:tcBorders>
              <w:top w:val="single" w:sz="8" w:color="467886"/>
            </w:tcBorders>
          </w:tcPr>
          <w:p>
            <w:pPr>
              <w:spacing w:after="0"/>
              <w:rPr>
                <w:sz w:val="12"/>
                <w:szCs w:val="12"/>
                <w:color w:val="auto"/>
              </w:rPr>
            </w:pPr>
          </w:p>
        </w:tc>
        <w:tc>
          <w:tcPr>
            <w:tcW w:w="120" w:type="dxa"/>
            <w:vAlign w:val="bottom"/>
            <w:tcBorders>
              <w:top w:val="single" w:sz="8" w:color="467886"/>
            </w:tcBorders>
          </w:tcPr>
          <w:p>
            <w:pPr>
              <w:spacing w:after="0"/>
              <w:rPr>
                <w:sz w:val="12"/>
                <w:szCs w:val="12"/>
                <w:color w:val="auto"/>
              </w:rPr>
            </w:pPr>
          </w:p>
        </w:tc>
        <w:tc>
          <w:tcPr>
            <w:tcW w:w="260" w:type="dxa"/>
            <w:vAlign w:val="bottom"/>
            <w:tcBorders>
              <w:top w:val="single" w:sz="8" w:color="467886"/>
            </w:tcBorders>
          </w:tcPr>
          <w:p>
            <w:pPr>
              <w:spacing w:after="0"/>
              <w:rPr>
                <w:sz w:val="12"/>
                <w:szCs w:val="12"/>
                <w:color w:val="auto"/>
              </w:rPr>
            </w:pPr>
          </w:p>
        </w:tc>
        <w:tc>
          <w:tcPr>
            <w:tcW w:w="200" w:type="dxa"/>
            <w:vAlign w:val="bottom"/>
            <w:tcBorders>
              <w:top w:val="single" w:sz="8" w:color="467886"/>
            </w:tcBorders>
          </w:tcPr>
          <w:p>
            <w:pPr>
              <w:spacing w:after="0"/>
              <w:rPr>
                <w:sz w:val="12"/>
                <w:szCs w:val="12"/>
                <w:color w:val="auto"/>
              </w:rPr>
            </w:pPr>
          </w:p>
        </w:tc>
        <w:tc>
          <w:tcPr>
            <w:tcW w:w="200" w:type="dxa"/>
            <w:vAlign w:val="bottom"/>
            <w:tcBorders>
              <w:top w:val="single" w:sz="8" w:color="CEEEFA"/>
            </w:tcBorders>
          </w:tcPr>
          <w:p>
            <w:pPr>
              <w:spacing w:after="0"/>
              <w:rPr>
                <w:sz w:val="12"/>
                <w:szCs w:val="12"/>
                <w:color w:val="auto"/>
              </w:rPr>
            </w:pPr>
          </w:p>
        </w:tc>
        <w:tc>
          <w:tcPr>
            <w:tcW w:w="1800" w:type="dxa"/>
            <w:vAlign w:val="bottom"/>
            <w:tcBorders>
              <w:top w:val="single" w:sz="8" w:color="CEEEFA"/>
            </w:tcBorders>
          </w:tcPr>
          <w:p>
            <w:pPr>
              <w:spacing w:after="0"/>
              <w:rPr>
                <w:sz w:val="12"/>
                <w:szCs w:val="12"/>
                <w:color w:val="auto"/>
              </w:rPr>
            </w:pPr>
          </w:p>
        </w:tc>
        <w:tc>
          <w:tcPr>
            <w:tcW w:w="26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40" w:type="dxa"/>
            <w:vAlign w:val="bottom"/>
            <w:tcBorders>
              <w:top w:val="single" w:sz="8" w:color="CEEEFA"/>
            </w:tcBorders>
          </w:tcPr>
          <w:p>
            <w:pPr>
              <w:spacing w:after="0"/>
              <w:rPr>
                <w:sz w:val="12"/>
                <w:szCs w:val="12"/>
                <w:color w:val="auto"/>
              </w:rPr>
            </w:pPr>
          </w:p>
        </w:tc>
        <w:tc>
          <w:tcPr>
            <w:tcW w:w="14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51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among Consolidated Amusement Holdings, LLC, certain affiliates of the</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12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Company, the financial institutions party thereto and Bank of America, N.A.,</w:t>
            </w:r>
          </w:p>
        </w:tc>
        <w:tc>
          <w:tcPr>
            <w:tcW w:w="5000" w:type="dxa"/>
            <w:vAlign w:val="bottom"/>
            <w:gridSpan w:val="14"/>
          </w:tcPr>
          <w:p>
            <w:pPr>
              <w:spacing w:after="0" w:line="176" w:lineRule="exact"/>
              <w:rPr>
                <w:rFonts w:ascii="Times New Roman" w:cs="Times New Roman" w:eastAsia="Times New Roman" w:hAnsi="Times New Roman"/>
                <w:sz w:val="16"/>
                <w:szCs w:val="16"/>
                <w:color w:val="auto"/>
              </w:rPr>
            </w:pP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10.2.1 to the Company’s report on Form 8-K (file no. 1-</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10.34</w:t>
            </w:r>
          </w:p>
        </w:tc>
        <w:tc>
          <w:tcPr>
            <w:tcW w:w="512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as administrative agent</w:t>
            </w:r>
          </w:p>
        </w:tc>
        <w:tc>
          <w:tcPr>
            <w:tcW w:w="580" w:type="dxa"/>
            <w:vAlign w:val="bottom"/>
            <w:tcBorders>
              <w:right w:val="single" w:sz="8" w:color="0000EE"/>
            </w:tcBorders>
          </w:tcPr>
          <w:p>
            <w:pPr>
              <w:spacing w:after="0" w:line="20" w:lineRule="exact"/>
              <w:rPr>
                <w:sz w:val="1"/>
                <w:szCs w:val="1"/>
                <w:color w:val="auto"/>
              </w:rPr>
            </w:pPr>
          </w:p>
        </w:tc>
        <w:tc>
          <w:tcPr>
            <w:tcW w:w="4120" w:type="dxa"/>
            <w:vAlign w:val="bottom"/>
            <w:gridSpan w:val="10"/>
            <w:shd w:val="clear" w:color="auto" w:fill="467886"/>
          </w:tcPr>
          <w:p>
            <w:pPr>
              <w:spacing w:after="0" w:line="20" w:lineRule="exact"/>
              <w:rPr>
                <w:sz w:val="1"/>
                <w:szCs w:val="1"/>
                <w:color w:val="auto"/>
              </w:rPr>
            </w:pPr>
          </w:p>
        </w:tc>
        <w:tc>
          <w:tcPr>
            <w:tcW w:w="30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700" w:type="dxa"/>
            <w:vAlign w:val="bottom"/>
            <w:gridSpan w:val="11"/>
          </w:tcPr>
          <w:p>
            <w:pPr>
              <w:spacing w:after="0" w:line="155" w:lineRule="exact"/>
              <w:rPr>
                <w:rFonts w:ascii="Times New Roman" w:cs="Times New Roman" w:eastAsia="Times New Roman" w:hAnsi="Times New Roman"/>
                <w:sz w:val="16"/>
                <w:szCs w:val="16"/>
                <w:color w:val="467886"/>
              </w:rPr>
            </w:pPr>
            <w:hyperlink r:id="rId59">
              <w:r>
                <w:rPr>
                  <w:rFonts w:ascii="Times New Roman" w:cs="Times New Roman" w:eastAsia="Times New Roman" w:hAnsi="Times New Roman"/>
                  <w:sz w:val="16"/>
                  <w:szCs w:val="16"/>
                  <w:color w:val="467886"/>
                </w:rPr>
                <w:t>8625)</w:t>
              </w:r>
              <w:r>
                <w:rPr>
                  <w:rFonts w:ascii="Times New Roman" w:cs="Times New Roman" w:eastAsia="Times New Roman" w:hAnsi="Times New Roman"/>
                  <w:sz w:val="16"/>
                  <w:szCs w:val="16"/>
                  <w:u w:val="single" w:color="auto"/>
                  <w:color w:val="467886"/>
                </w:rPr>
                <w:t>,</w:t>
              </w:r>
              <w:r>
                <w:rPr>
                  <w:rFonts w:ascii="Times New Roman" w:cs="Times New Roman" w:eastAsia="Times New Roman" w:hAnsi="Times New Roman"/>
                  <w:sz w:val="16"/>
                  <w:szCs w:val="16"/>
                  <w:color w:val="467886"/>
                </w:rPr>
                <w:t xml:space="preserve"> filed on June 2, 2020</w:t>
              </w:r>
              <w:r>
                <w:rPr>
                  <w:rFonts w:ascii="Times New Roman" w:cs="Times New Roman" w:eastAsia="Times New Roman" w:hAnsi="Times New Roman"/>
                  <w:sz w:val="16"/>
                  <w:szCs w:val="16"/>
                  <w:color w:val="000000"/>
                </w:rPr>
                <w:t>, and incorporated herein by reference.</w:t>
              </w:r>
            </w:hyperlink>
          </w:p>
        </w:tc>
        <w:tc>
          <w:tcPr>
            <w:tcW w:w="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11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top w:val="single" w:sz="8" w:color="467886"/>
              <w:bottom w:val="single" w:sz="8" w:color="9A9A9A"/>
            </w:tcBorders>
          </w:tcPr>
          <w:p>
            <w:pPr>
              <w:spacing w:after="0"/>
              <w:rPr>
                <w:sz w:val="24"/>
                <w:szCs w:val="24"/>
                <w:color w:val="auto"/>
              </w:rPr>
            </w:pPr>
          </w:p>
        </w:tc>
        <w:tc>
          <w:tcPr>
            <w:tcW w:w="540" w:type="dxa"/>
            <w:vAlign w:val="bottom"/>
            <w:tcBorders>
              <w:top w:val="single" w:sz="8" w:color="467886"/>
              <w:bottom w:val="single" w:sz="8" w:color="9A9A9A"/>
            </w:tcBorders>
          </w:tcPr>
          <w:p>
            <w:pPr>
              <w:spacing w:after="0"/>
              <w:rPr>
                <w:sz w:val="24"/>
                <w:szCs w:val="24"/>
                <w:color w:val="auto"/>
              </w:rPr>
            </w:pPr>
          </w:p>
        </w:tc>
        <w:tc>
          <w:tcPr>
            <w:tcW w:w="580" w:type="dxa"/>
            <w:vAlign w:val="bottom"/>
            <w:tcBorders>
              <w:top w:val="single" w:sz="8" w:color="467886"/>
              <w:bottom w:val="single" w:sz="8" w:color="9A9A9A"/>
            </w:tcBorders>
          </w:tcPr>
          <w:p>
            <w:pPr>
              <w:spacing w:after="0"/>
              <w:rPr>
                <w:sz w:val="24"/>
                <w:szCs w:val="24"/>
                <w:color w:val="auto"/>
              </w:rPr>
            </w:pPr>
          </w:p>
        </w:tc>
        <w:tc>
          <w:tcPr>
            <w:tcW w:w="120" w:type="dxa"/>
            <w:vAlign w:val="bottom"/>
            <w:tcBorders>
              <w:top w:val="single" w:sz="8" w:color="467886"/>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800" w:type="dxa"/>
            <w:vAlign w:val="bottom"/>
            <w:shd w:val="clear" w:color="auto" w:fill="CEEEFA"/>
          </w:tcPr>
          <w:p>
            <w:pPr>
              <w:spacing w:after="0"/>
              <w:rPr>
                <w:sz w:val="16"/>
                <w:szCs w:val="16"/>
                <w:color w:val="auto"/>
              </w:rPr>
            </w:pPr>
          </w:p>
        </w:tc>
        <w:tc>
          <w:tcPr>
            <w:tcW w:w="5440" w:type="dxa"/>
            <w:vAlign w:val="bottom"/>
            <w:shd w:val="clear" w:color="auto" w:fill="CEEEFA"/>
          </w:tcPr>
          <w:p>
            <w:pPr>
              <w:ind w:left="320"/>
              <w:spacing w:after="0"/>
              <w:rPr>
                <w:sz w:val="20"/>
                <w:szCs w:val="20"/>
                <w:color w:val="auto"/>
              </w:rPr>
            </w:pPr>
            <w:r>
              <w:rPr>
                <w:rFonts w:ascii="Times New Roman" w:cs="Times New Roman" w:eastAsia="Times New Roman" w:hAnsi="Times New Roman"/>
                <w:sz w:val="16"/>
                <w:szCs w:val="16"/>
                <w:color w:val="auto"/>
              </w:rPr>
              <w:t>Waiver and First Amendment to Second Amended and Restated Credit</w:t>
            </w:r>
          </w:p>
        </w:tc>
        <w:tc>
          <w:tcPr>
            <w:tcW w:w="360" w:type="dxa"/>
            <w:vAlign w:val="bottom"/>
            <w:shd w:val="clear" w:color="auto" w:fill="CEEEFA"/>
          </w:tcPr>
          <w:p>
            <w:pPr>
              <w:spacing w:after="0"/>
              <w:rPr>
                <w:sz w:val="16"/>
                <w:szCs w:val="16"/>
                <w:color w:val="auto"/>
              </w:rPr>
            </w:pPr>
          </w:p>
        </w:tc>
        <w:tc>
          <w:tcPr>
            <w:tcW w:w="240" w:type="dxa"/>
            <w:vAlign w:val="bottom"/>
            <w:tcBorders>
              <w:right w:val="single" w:sz="8" w:color="CEEEFA"/>
            </w:tcBorders>
            <w:shd w:val="clear" w:color="auto" w:fill="CEEEFA"/>
          </w:tcPr>
          <w:p>
            <w:pPr>
              <w:spacing w:after="0"/>
              <w:rPr>
                <w:sz w:val="16"/>
                <w:szCs w:val="16"/>
                <w:color w:val="auto"/>
              </w:rPr>
            </w:pPr>
          </w:p>
        </w:tc>
        <w:tc>
          <w:tcPr>
            <w:tcW w:w="1220" w:type="dxa"/>
            <w:vAlign w:val="bottom"/>
            <w:shd w:val="clear" w:color="auto" w:fill="CEEEFA"/>
          </w:tcPr>
          <w:p>
            <w:pPr>
              <w:spacing w:after="0"/>
              <w:rPr>
                <w:sz w:val="16"/>
                <w:szCs w:val="16"/>
                <w:color w:val="auto"/>
              </w:rPr>
            </w:pPr>
          </w:p>
        </w:tc>
        <w:tc>
          <w:tcPr>
            <w:tcW w:w="300" w:type="dxa"/>
            <w:vAlign w:val="bottom"/>
            <w:tcBorders>
              <w:right w:val="single" w:sz="8" w:color="CEEEFA"/>
            </w:tcBorders>
            <w:shd w:val="clear" w:color="auto" w:fill="CEEEFA"/>
          </w:tcPr>
          <w:p>
            <w:pPr>
              <w:spacing w:after="0"/>
              <w:rPr>
                <w:sz w:val="16"/>
                <w:szCs w:val="16"/>
                <w:color w:val="auto"/>
              </w:rPr>
            </w:pPr>
          </w:p>
        </w:tc>
        <w:tc>
          <w:tcPr>
            <w:tcW w:w="120" w:type="dxa"/>
            <w:vAlign w:val="bottom"/>
            <w:shd w:val="clear" w:color="auto" w:fill="CEEEFA"/>
          </w:tcPr>
          <w:p>
            <w:pPr>
              <w:spacing w:after="0"/>
              <w:rPr>
                <w:sz w:val="16"/>
                <w:szCs w:val="16"/>
                <w:color w:val="auto"/>
              </w:rPr>
            </w:pPr>
          </w:p>
        </w:tc>
        <w:tc>
          <w:tcPr>
            <w:tcW w:w="240" w:type="dxa"/>
            <w:vAlign w:val="bottom"/>
            <w:tcBorders>
              <w:left w:val="single" w:sz="8" w:color="CEEEFA"/>
            </w:tcBorders>
            <w:shd w:val="clear" w:color="auto" w:fill="CEEEFA"/>
          </w:tcPr>
          <w:p>
            <w:pPr>
              <w:spacing w:after="0"/>
              <w:rPr>
                <w:sz w:val="16"/>
                <w:szCs w:val="16"/>
                <w:color w:val="auto"/>
              </w:rPr>
            </w:pPr>
          </w:p>
        </w:tc>
        <w:tc>
          <w:tcPr>
            <w:tcW w:w="20" w:type="dxa"/>
            <w:vAlign w:val="bottom"/>
            <w:shd w:val="clear" w:color="auto" w:fill="CEEEFA"/>
          </w:tcPr>
          <w:p>
            <w:pPr>
              <w:spacing w:after="0"/>
              <w:rPr>
                <w:sz w:val="16"/>
                <w:szCs w:val="16"/>
                <w:color w:val="auto"/>
              </w:rPr>
            </w:pPr>
          </w:p>
        </w:tc>
        <w:tc>
          <w:tcPr>
            <w:tcW w:w="2080" w:type="dxa"/>
            <w:vAlign w:val="bottom"/>
            <w:shd w:val="clear" w:color="auto" w:fill="CEEEFA"/>
          </w:tcPr>
          <w:p>
            <w:pPr>
              <w:spacing w:after="0"/>
              <w:rPr>
                <w:sz w:val="16"/>
                <w:szCs w:val="16"/>
                <w:color w:val="auto"/>
              </w:rPr>
            </w:pPr>
          </w:p>
        </w:tc>
        <w:tc>
          <w:tcPr>
            <w:tcW w:w="120" w:type="dxa"/>
            <w:vAlign w:val="bottom"/>
            <w:shd w:val="clear" w:color="auto" w:fill="CEEEFA"/>
          </w:tcPr>
          <w:p>
            <w:pPr>
              <w:spacing w:after="0"/>
              <w:rPr>
                <w:sz w:val="16"/>
                <w:szCs w:val="16"/>
                <w:color w:val="auto"/>
              </w:rPr>
            </w:pPr>
          </w:p>
        </w:tc>
        <w:tc>
          <w:tcPr>
            <w:tcW w:w="120" w:type="dxa"/>
            <w:vAlign w:val="bottom"/>
            <w:shd w:val="clear" w:color="auto" w:fill="CEEEFA"/>
          </w:tcPr>
          <w:p>
            <w:pPr>
              <w:spacing w:after="0"/>
              <w:rPr>
                <w:sz w:val="16"/>
                <w:szCs w:val="16"/>
                <w:color w:val="auto"/>
              </w:rPr>
            </w:pPr>
          </w:p>
        </w:tc>
        <w:tc>
          <w:tcPr>
            <w:tcW w:w="100" w:type="dxa"/>
            <w:vAlign w:val="bottom"/>
            <w:tcBorders>
              <w:right w:val="single" w:sz="8" w:color="CEEEFA"/>
            </w:tcBorders>
            <w:shd w:val="clear" w:color="auto" w:fill="CEEEFA"/>
          </w:tcPr>
          <w:p>
            <w:pPr>
              <w:spacing w:after="0"/>
              <w:rPr>
                <w:sz w:val="16"/>
                <w:szCs w:val="16"/>
                <w:color w:val="auto"/>
              </w:rPr>
            </w:pPr>
          </w:p>
        </w:tc>
        <w:tc>
          <w:tcPr>
            <w:tcW w:w="80" w:type="dxa"/>
            <w:vAlign w:val="bottom"/>
            <w:shd w:val="clear" w:color="auto" w:fill="CEEEFA"/>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EEEFA"/>
          </w:tcPr>
          <w:p>
            <w:pPr>
              <w:spacing w:after="0"/>
              <w:rPr>
                <w:sz w:val="15"/>
                <w:szCs w:val="15"/>
                <w:color w:val="auto"/>
              </w:rPr>
            </w:pPr>
          </w:p>
        </w:tc>
        <w:tc>
          <w:tcPr>
            <w:tcW w:w="5440" w:type="dxa"/>
            <w:vAlign w:val="bottom"/>
            <w:shd w:val="clear" w:color="auto" w:fill="CEEEFA"/>
          </w:tcPr>
          <w:p>
            <w:pPr>
              <w:ind w:left="320"/>
              <w:spacing w:after="0" w:line="175" w:lineRule="exact"/>
              <w:rPr>
                <w:sz w:val="20"/>
                <w:szCs w:val="20"/>
                <w:color w:val="auto"/>
              </w:rPr>
            </w:pPr>
            <w:r>
              <w:rPr>
                <w:rFonts w:ascii="Times New Roman" w:cs="Times New Roman" w:eastAsia="Times New Roman" w:hAnsi="Times New Roman"/>
                <w:sz w:val="16"/>
                <w:szCs w:val="16"/>
                <w:color w:val="auto"/>
              </w:rPr>
              <w:t>Agreement dated May 15, 2020, among Consolidated Amusement Holdings,</w:t>
            </w:r>
          </w:p>
        </w:tc>
        <w:tc>
          <w:tcPr>
            <w:tcW w:w="360" w:type="dxa"/>
            <w:vAlign w:val="bottom"/>
            <w:shd w:val="clear" w:color="auto" w:fill="CEEEFA"/>
          </w:tcPr>
          <w:p>
            <w:pPr>
              <w:spacing w:after="0"/>
              <w:rPr>
                <w:sz w:val="15"/>
                <w:szCs w:val="15"/>
                <w:color w:val="auto"/>
              </w:rPr>
            </w:pPr>
          </w:p>
        </w:tc>
        <w:tc>
          <w:tcPr>
            <w:tcW w:w="240" w:type="dxa"/>
            <w:vAlign w:val="bottom"/>
            <w:tcBorders>
              <w:right w:val="single" w:sz="8" w:color="CEEEFA"/>
            </w:tcBorders>
            <w:shd w:val="clear" w:color="auto" w:fill="CEEEFA"/>
          </w:tcPr>
          <w:p>
            <w:pPr>
              <w:spacing w:after="0"/>
              <w:rPr>
                <w:sz w:val="15"/>
                <w:szCs w:val="15"/>
                <w:color w:val="auto"/>
              </w:rPr>
            </w:pPr>
          </w:p>
        </w:tc>
        <w:tc>
          <w:tcPr>
            <w:tcW w:w="1220" w:type="dxa"/>
            <w:vAlign w:val="bottom"/>
            <w:shd w:val="clear" w:color="auto" w:fill="CEEEFA"/>
          </w:tcPr>
          <w:p>
            <w:pPr>
              <w:spacing w:after="0"/>
              <w:rPr>
                <w:sz w:val="15"/>
                <w:szCs w:val="15"/>
                <w:color w:val="auto"/>
              </w:rPr>
            </w:pPr>
          </w:p>
        </w:tc>
        <w:tc>
          <w:tcPr>
            <w:tcW w:w="300" w:type="dxa"/>
            <w:vAlign w:val="bottom"/>
            <w:tcBorders>
              <w:right w:val="single" w:sz="8" w:color="CEEEFA"/>
            </w:tcBorders>
            <w:shd w:val="clear" w:color="auto" w:fill="CEEEFA"/>
          </w:tcPr>
          <w:p>
            <w:pPr>
              <w:spacing w:after="0"/>
              <w:rPr>
                <w:sz w:val="15"/>
                <w:szCs w:val="15"/>
                <w:color w:val="auto"/>
              </w:rPr>
            </w:pPr>
          </w:p>
        </w:tc>
        <w:tc>
          <w:tcPr>
            <w:tcW w:w="120" w:type="dxa"/>
            <w:vAlign w:val="bottom"/>
            <w:shd w:val="clear" w:color="auto" w:fill="CEEEFA"/>
          </w:tcPr>
          <w:p>
            <w:pPr>
              <w:spacing w:after="0"/>
              <w:rPr>
                <w:sz w:val="15"/>
                <w:szCs w:val="15"/>
                <w:color w:val="auto"/>
              </w:rPr>
            </w:pPr>
          </w:p>
        </w:tc>
        <w:tc>
          <w:tcPr>
            <w:tcW w:w="240" w:type="dxa"/>
            <w:vAlign w:val="bottom"/>
            <w:tcBorders>
              <w:left w:val="single" w:sz="8" w:color="CEEEFA"/>
            </w:tcBorders>
            <w:shd w:val="clear" w:color="auto" w:fill="CEEEFA"/>
          </w:tcPr>
          <w:p>
            <w:pPr>
              <w:spacing w:after="0"/>
              <w:rPr>
                <w:sz w:val="15"/>
                <w:szCs w:val="15"/>
                <w:color w:val="auto"/>
              </w:rPr>
            </w:pPr>
          </w:p>
        </w:tc>
        <w:tc>
          <w:tcPr>
            <w:tcW w:w="20" w:type="dxa"/>
            <w:vAlign w:val="bottom"/>
            <w:shd w:val="clear" w:color="auto" w:fill="CEEEFA"/>
          </w:tcPr>
          <w:p>
            <w:pPr>
              <w:spacing w:after="0"/>
              <w:rPr>
                <w:sz w:val="15"/>
                <w:szCs w:val="15"/>
                <w:color w:val="auto"/>
              </w:rPr>
            </w:pPr>
          </w:p>
        </w:tc>
        <w:tc>
          <w:tcPr>
            <w:tcW w:w="2080" w:type="dxa"/>
            <w:vAlign w:val="bottom"/>
            <w:shd w:val="clear" w:color="auto" w:fill="CEEEFA"/>
          </w:tcPr>
          <w:p>
            <w:pPr>
              <w:spacing w:after="0"/>
              <w:rPr>
                <w:sz w:val="15"/>
                <w:szCs w:val="15"/>
                <w:color w:val="auto"/>
              </w:rPr>
            </w:pPr>
          </w:p>
        </w:tc>
        <w:tc>
          <w:tcPr>
            <w:tcW w:w="120" w:type="dxa"/>
            <w:vAlign w:val="bottom"/>
            <w:shd w:val="clear" w:color="auto" w:fill="CEEEFA"/>
          </w:tcPr>
          <w:p>
            <w:pPr>
              <w:spacing w:after="0"/>
              <w:rPr>
                <w:sz w:val="15"/>
                <w:szCs w:val="15"/>
                <w:color w:val="auto"/>
              </w:rPr>
            </w:pPr>
          </w:p>
        </w:tc>
        <w:tc>
          <w:tcPr>
            <w:tcW w:w="120" w:type="dxa"/>
            <w:vAlign w:val="bottom"/>
            <w:shd w:val="clear" w:color="auto" w:fill="CEEEFA"/>
          </w:tcPr>
          <w:p>
            <w:pPr>
              <w:spacing w:after="0"/>
              <w:rPr>
                <w:sz w:val="15"/>
                <w:szCs w:val="15"/>
                <w:color w:val="auto"/>
              </w:rPr>
            </w:pPr>
          </w:p>
        </w:tc>
        <w:tc>
          <w:tcPr>
            <w:tcW w:w="100" w:type="dxa"/>
            <w:vAlign w:val="bottom"/>
            <w:tcBorders>
              <w:right w:val="single" w:sz="8" w:color="CEEEFA"/>
            </w:tcBorders>
            <w:shd w:val="clear" w:color="auto" w:fill="CEEEFA"/>
          </w:tcPr>
          <w:p>
            <w:pPr>
              <w:spacing w:after="0"/>
              <w:rPr>
                <w:sz w:val="15"/>
                <w:szCs w:val="15"/>
                <w:color w:val="auto"/>
              </w:rPr>
            </w:pPr>
          </w:p>
        </w:tc>
        <w:tc>
          <w:tcPr>
            <w:tcW w:w="80" w:type="dxa"/>
            <w:vAlign w:val="bottom"/>
            <w:shd w:val="clear" w:color="auto" w:fill="CEEEFA"/>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EEEFA"/>
          </w:tcPr>
          <w:p>
            <w:pPr>
              <w:spacing w:after="0"/>
              <w:rPr>
                <w:sz w:val="15"/>
                <w:szCs w:val="15"/>
                <w:color w:val="auto"/>
              </w:rPr>
            </w:pPr>
          </w:p>
        </w:tc>
        <w:tc>
          <w:tcPr>
            <w:tcW w:w="5440" w:type="dxa"/>
            <w:vAlign w:val="bottom"/>
            <w:shd w:val="clear" w:color="auto" w:fill="CEEEFA"/>
          </w:tcPr>
          <w:p>
            <w:pPr>
              <w:ind w:left="320"/>
              <w:spacing w:after="0" w:line="176" w:lineRule="exact"/>
              <w:rPr>
                <w:sz w:val="20"/>
                <w:szCs w:val="20"/>
                <w:color w:val="auto"/>
              </w:rPr>
            </w:pPr>
            <w:r>
              <w:rPr>
                <w:rFonts w:ascii="Times New Roman" w:cs="Times New Roman" w:eastAsia="Times New Roman" w:hAnsi="Times New Roman"/>
                <w:sz w:val="16"/>
                <w:szCs w:val="16"/>
                <w:color w:val="auto"/>
              </w:rPr>
              <w:t>LLC, certain affiliates of the Company, the financial institutions party thereto</w:t>
            </w:r>
          </w:p>
        </w:tc>
        <w:tc>
          <w:tcPr>
            <w:tcW w:w="5000" w:type="dxa"/>
            <w:vAlign w:val="bottom"/>
            <w:gridSpan w:val="12"/>
            <w:shd w:val="clear" w:color="auto" w:fill="CEEEFA"/>
          </w:tcPr>
          <w:p>
            <w:pPr>
              <w:spacing w:after="0" w:line="176" w:lineRule="exact"/>
              <w:rPr>
                <w:rFonts w:ascii="Times New Roman" w:cs="Times New Roman" w:eastAsia="Times New Roman" w:hAnsi="Times New Roman"/>
                <w:sz w:val="16"/>
                <w:szCs w:val="16"/>
                <w:color w:val="auto"/>
              </w:rPr>
            </w:pP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10.2.2 to the Company’s report on Form 8-K (file no. 1-</w:t>
              </w:r>
            </w:hyperlink>
          </w:p>
        </w:tc>
        <w:tc>
          <w:tcPr>
            <w:tcW w:w="0" w:type="dxa"/>
            <w:vAlign w:val="bottom"/>
          </w:tcPr>
          <w:p>
            <w:pPr>
              <w:spacing w:after="0"/>
              <w:rPr>
                <w:sz w:val="1"/>
                <w:szCs w:val="1"/>
                <w:color w:val="auto"/>
              </w:rPr>
            </w:pPr>
          </w:p>
        </w:tc>
      </w:tr>
      <w:tr>
        <w:trPr>
          <w:trHeight w:val="20"/>
        </w:trPr>
        <w:tc>
          <w:tcPr>
            <w:tcW w:w="80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10.35</w:t>
            </w:r>
          </w:p>
        </w:tc>
        <w:tc>
          <w:tcPr>
            <w:tcW w:w="5440" w:type="dxa"/>
            <w:vAlign w:val="bottom"/>
            <w:vMerge w:val="restart"/>
            <w:shd w:val="clear" w:color="auto" w:fill="CEEEFA"/>
          </w:tcPr>
          <w:p>
            <w:pPr>
              <w:ind w:left="320"/>
              <w:spacing w:after="0" w:line="175" w:lineRule="exact"/>
              <w:rPr>
                <w:sz w:val="20"/>
                <w:szCs w:val="20"/>
                <w:color w:val="auto"/>
              </w:rPr>
            </w:pPr>
            <w:r>
              <w:rPr>
                <w:rFonts w:ascii="Times New Roman" w:cs="Times New Roman" w:eastAsia="Times New Roman" w:hAnsi="Times New Roman"/>
                <w:sz w:val="16"/>
                <w:szCs w:val="16"/>
                <w:color w:val="auto"/>
              </w:rPr>
              <w:t>and Bank of America, N.A., as administrative agent</w:t>
            </w:r>
          </w:p>
        </w:tc>
        <w:tc>
          <w:tcPr>
            <w:tcW w:w="360" w:type="dxa"/>
            <w:vAlign w:val="bottom"/>
            <w:shd w:val="clear" w:color="auto" w:fill="CEEEFA"/>
          </w:tcPr>
          <w:p>
            <w:pPr>
              <w:spacing w:after="0" w:line="20" w:lineRule="exact"/>
              <w:rPr>
                <w:sz w:val="1"/>
                <w:szCs w:val="1"/>
                <w:color w:val="auto"/>
              </w:rPr>
            </w:pPr>
          </w:p>
        </w:tc>
        <w:tc>
          <w:tcPr>
            <w:tcW w:w="240" w:type="dxa"/>
            <w:vAlign w:val="bottom"/>
            <w:tcBorders>
              <w:right w:val="single" w:sz="8" w:color="467886"/>
            </w:tcBorders>
            <w:shd w:val="clear" w:color="auto" w:fill="CEEEFA"/>
          </w:tcPr>
          <w:p>
            <w:pPr>
              <w:spacing w:after="0" w:line="20" w:lineRule="exact"/>
              <w:rPr>
                <w:sz w:val="1"/>
                <w:szCs w:val="1"/>
                <w:color w:val="auto"/>
              </w:rPr>
            </w:pPr>
          </w:p>
        </w:tc>
        <w:tc>
          <w:tcPr>
            <w:tcW w:w="1220" w:type="dxa"/>
            <w:vAlign w:val="bottom"/>
            <w:shd w:val="clear" w:color="auto" w:fill="467886"/>
          </w:tcPr>
          <w:p>
            <w:pPr>
              <w:spacing w:after="0" w:line="20" w:lineRule="exact"/>
              <w:rPr>
                <w:sz w:val="1"/>
                <w:szCs w:val="1"/>
                <w:color w:val="auto"/>
              </w:rPr>
            </w:pPr>
          </w:p>
        </w:tc>
        <w:tc>
          <w:tcPr>
            <w:tcW w:w="300" w:type="dxa"/>
            <w:vAlign w:val="bottom"/>
            <w:tcBorders>
              <w:right w:val="single" w:sz="8" w:color="467886"/>
            </w:tcBorders>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4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80" w:type="dxa"/>
            <w:vAlign w:val="bottom"/>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20" w:type="dxa"/>
            <w:vAlign w:val="bottom"/>
            <w:shd w:val="clear" w:color="auto" w:fill="CEEEFA"/>
          </w:tcPr>
          <w:p>
            <w:pPr>
              <w:spacing w:after="0" w:line="20" w:lineRule="exact"/>
              <w:rPr>
                <w:sz w:val="1"/>
                <w:szCs w:val="1"/>
                <w:color w:val="auto"/>
              </w:rPr>
            </w:pPr>
          </w:p>
        </w:tc>
        <w:tc>
          <w:tcPr>
            <w:tcW w:w="100" w:type="dxa"/>
            <w:vAlign w:val="bottom"/>
            <w:tcBorders>
              <w:right w:val="single" w:sz="8" w:color="CEEEFA"/>
            </w:tcBorders>
            <w:shd w:val="clear" w:color="auto" w:fill="CEEEFA"/>
          </w:tcPr>
          <w:p>
            <w:pPr>
              <w:spacing w:after="0" w:line="20" w:lineRule="exact"/>
              <w:rPr>
                <w:sz w:val="1"/>
                <w:szCs w:val="1"/>
                <w:color w:val="auto"/>
              </w:rPr>
            </w:pPr>
          </w:p>
        </w:tc>
        <w:tc>
          <w:tcPr>
            <w:tcW w:w="80" w:type="dxa"/>
            <w:vAlign w:val="bottom"/>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vMerge w:val="continue"/>
            <w:shd w:val="clear" w:color="auto" w:fill="CEEEFA"/>
          </w:tcPr>
          <w:p>
            <w:pPr>
              <w:spacing w:after="0"/>
              <w:rPr>
                <w:sz w:val="14"/>
                <w:szCs w:val="14"/>
                <w:color w:val="auto"/>
              </w:rPr>
            </w:pPr>
          </w:p>
        </w:tc>
        <w:tc>
          <w:tcPr>
            <w:tcW w:w="5440" w:type="dxa"/>
            <w:vAlign w:val="bottom"/>
            <w:vMerge w:val="continue"/>
            <w:shd w:val="clear" w:color="auto" w:fill="CEEEFA"/>
          </w:tcPr>
          <w:p>
            <w:pPr>
              <w:spacing w:after="0"/>
              <w:rPr>
                <w:sz w:val="14"/>
                <w:szCs w:val="14"/>
                <w:color w:val="auto"/>
              </w:rPr>
            </w:pPr>
          </w:p>
        </w:tc>
        <w:tc>
          <w:tcPr>
            <w:tcW w:w="4700" w:type="dxa"/>
            <w:vAlign w:val="bottom"/>
            <w:gridSpan w:val="9"/>
            <w:shd w:val="clear" w:color="auto" w:fill="CEEEFA"/>
          </w:tcPr>
          <w:p>
            <w:pPr>
              <w:spacing w:after="0" w:line="155" w:lineRule="exact"/>
              <w:rPr>
                <w:rFonts w:ascii="Times New Roman" w:cs="Times New Roman" w:eastAsia="Times New Roman" w:hAnsi="Times New Roman"/>
                <w:sz w:val="16"/>
                <w:szCs w:val="16"/>
                <w:color w:val="467886"/>
              </w:rPr>
            </w:pPr>
            <w:hyperlink r:id="rId59">
              <w:r>
                <w:rPr>
                  <w:rFonts w:ascii="Times New Roman" w:cs="Times New Roman" w:eastAsia="Times New Roman" w:hAnsi="Times New Roman"/>
                  <w:sz w:val="16"/>
                  <w:szCs w:val="16"/>
                  <w:color w:val="467886"/>
                </w:rPr>
                <w:t>8625)</w:t>
              </w:r>
              <w:r>
                <w:rPr>
                  <w:rFonts w:ascii="Times New Roman" w:cs="Times New Roman" w:eastAsia="Times New Roman" w:hAnsi="Times New Roman"/>
                  <w:sz w:val="16"/>
                  <w:szCs w:val="16"/>
                  <w:u w:val="single" w:color="auto"/>
                  <w:color w:val="467886"/>
                </w:rPr>
                <w:t>,</w:t>
              </w:r>
              <w:r>
                <w:rPr>
                  <w:rFonts w:ascii="Times New Roman" w:cs="Times New Roman" w:eastAsia="Times New Roman" w:hAnsi="Times New Roman"/>
                  <w:sz w:val="16"/>
                  <w:szCs w:val="16"/>
                  <w:color w:val="467886"/>
                </w:rPr>
                <w:t xml:space="preserve"> filed on June 2, 2020</w:t>
              </w:r>
              <w:r>
                <w:rPr>
                  <w:rFonts w:ascii="Times New Roman" w:cs="Times New Roman" w:eastAsia="Times New Roman" w:hAnsi="Times New Roman"/>
                  <w:sz w:val="16"/>
                  <w:szCs w:val="16"/>
                  <w:color w:val="000000"/>
                </w:rPr>
                <w:t>, and incorporated herein by reference.</w:t>
              </w:r>
            </w:hyperlink>
          </w:p>
        </w:tc>
        <w:tc>
          <w:tcPr>
            <w:tcW w:w="120" w:type="dxa"/>
            <w:vAlign w:val="bottom"/>
            <w:shd w:val="clear" w:color="auto" w:fill="CEEEFA"/>
          </w:tcPr>
          <w:p>
            <w:pPr>
              <w:spacing w:after="0"/>
              <w:rPr>
                <w:sz w:val="14"/>
                <w:szCs w:val="14"/>
                <w:color w:val="auto"/>
              </w:rPr>
            </w:pPr>
          </w:p>
        </w:tc>
        <w:tc>
          <w:tcPr>
            <w:tcW w:w="100" w:type="dxa"/>
            <w:vAlign w:val="bottom"/>
            <w:tcBorders>
              <w:right w:val="single" w:sz="8" w:color="CEEEFA"/>
            </w:tcBorders>
            <w:shd w:val="clear" w:color="auto" w:fill="CEEEFA"/>
          </w:tcPr>
          <w:p>
            <w:pPr>
              <w:spacing w:after="0"/>
              <w:rPr>
                <w:sz w:val="14"/>
                <w:szCs w:val="14"/>
                <w:color w:val="auto"/>
              </w:rPr>
            </w:pPr>
          </w:p>
        </w:tc>
        <w:tc>
          <w:tcPr>
            <w:tcW w:w="80" w:type="dxa"/>
            <w:vAlign w:val="bottom"/>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EEEFA"/>
            </w:tcBorders>
          </w:tcPr>
          <w:p>
            <w:pPr>
              <w:spacing w:after="0"/>
              <w:rPr>
                <w:sz w:val="12"/>
                <w:szCs w:val="12"/>
                <w:color w:val="auto"/>
              </w:rPr>
            </w:pPr>
          </w:p>
        </w:tc>
        <w:tc>
          <w:tcPr>
            <w:tcW w:w="5440" w:type="dxa"/>
            <w:vAlign w:val="bottom"/>
            <w:tcBorders>
              <w:top w:val="single" w:sz="8" w:color="CEEEFA"/>
            </w:tcBorders>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Second Amendment to Second Amended and Restated Credit</w:t>
            </w:r>
          </w:p>
        </w:tc>
        <w:tc>
          <w:tcPr>
            <w:tcW w:w="360" w:type="dxa"/>
            <w:vAlign w:val="bottom"/>
            <w:tcBorders>
              <w:top w:val="single" w:sz="8" w:color="467886"/>
            </w:tcBorders>
          </w:tcPr>
          <w:p>
            <w:pPr>
              <w:spacing w:after="0"/>
              <w:rPr>
                <w:sz w:val="12"/>
                <w:szCs w:val="12"/>
                <w:color w:val="auto"/>
              </w:rPr>
            </w:pPr>
          </w:p>
        </w:tc>
        <w:tc>
          <w:tcPr>
            <w:tcW w:w="240" w:type="dxa"/>
            <w:vAlign w:val="bottom"/>
            <w:tcBorders>
              <w:top w:val="single" w:sz="8" w:color="467886"/>
            </w:tcBorders>
          </w:tcPr>
          <w:p>
            <w:pPr>
              <w:spacing w:after="0"/>
              <w:rPr>
                <w:sz w:val="12"/>
                <w:szCs w:val="12"/>
                <w:color w:val="auto"/>
              </w:rPr>
            </w:pPr>
          </w:p>
        </w:tc>
        <w:tc>
          <w:tcPr>
            <w:tcW w:w="1220" w:type="dxa"/>
            <w:vAlign w:val="bottom"/>
            <w:tcBorders>
              <w:top w:val="single" w:sz="8" w:color="467886"/>
            </w:tcBorders>
          </w:tcPr>
          <w:p>
            <w:pPr>
              <w:spacing w:after="0"/>
              <w:rPr>
                <w:sz w:val="12"/>
                <w:szCs w:val="12"/>
                <w:color w:val="auto"/>
              </w:rPr>
            </w:pPr>
          </w:p>
        </w:tc>
        <w:tc>
          <w:tcPr>
            <w:tcW w:w="30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240" w:type="dxa"/>
            <w:vAlign w:val="bottom"/>
            <w:tcBorders>
              <w:top w:val="single" w:sz="8" w:color="CEEEFA"/>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208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0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44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August 7, 2020 between Consolidated Amusement</w:t>
            </w:r>
          </w:p>
        </w:tc>
        <w:tc>
          <w:tcPr>
            <w:tcW w:w="5000" w:type="dxa"/>
            <w:vAlign w:val="bottom"/>
            <w:gridSpan w:val="12"/>
          </w:tcPr>
          <w:p>
            <w:pPr>
              <w:spacing w:after="0" w:line="176" w:lineRule="exact"/>
              <w:rPr>
                <w:rFonts w:ascii="Times New Roman" w:cs="Times New Roman" w:eastAsia="Times New Roman" w:hAnsi="Times New Roman"/>
                <w:sz w:val="16"/>
                <w:szCs w:val="16"/>
                <w:color w:val="auto"/>
              </w:rPr>
            </w:pPr>
            <w:hyperlink r:id="rId6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10.36</w:t>
            </w:r>
          </w:p>
        </w:tc>
        <w:tc>
          <w:tcPr>
            <w:tcW w:w="5440" w:type="dxa"/>
            <w:vAlign w:val="bottom"/>
            <w:vMerge w:val="restart"/>
          </w:tcPr>
          <w:p>
            <w:pPr>
              <w:ind w:left="320"/>
              <w:spacing w:after="0" w:line="17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360" w:type="dxa"/>
            <w:vAlign w:val="bottom"/>
          </w:tcPr>
          <w:p>
            <w:pPr>
              <w:spacing w:after="0" w:line="20" w:lineRule="exact"/>
              <w:rPr>
                <w:sz w:val="1"/>
                <w:szCs w:val="1"/>
                <w:color w:val="auto"/>
              </w:rPr>
            </w:pPr>
          </w:p>
        </w:tc>
        <w:tc>
          <w:tcPr>
            <w:tcW w:w="240" w:type="dxa"/>
            <w:vAlign w:val="bottom"/>
            <w:tcBorders>
              <w:right w:val="single" w:sz="8" w:color="467886"/>
            </w:tcBorders>
          </w:tcPr>
          <w:p>
            <w:pPr>
              <w:spacing w:after="0" w:line="20" w:lineRule="exact"/>
              <w:rPr>
                <w:sz w:val="1"/>
                <w:szCs w:val="1"/>
                <w:color w:val="auto"/>
              </w:rPr>
            </w:pPr>
          </w:p>
        </w:tc>
        <w:tc>
          <w:tcPr>
            <w:tcW w:w="1520" w:type="dxa"/>
            <w:vAlign w:val="bottom"/>
            <w:tcBorders>
              <w:right w:val="single" w:sz="8" w:color="467886"/>
            </w:tcBorders>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4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80" w:type="dxa"/>
            <w:vAlign w:val="bottom"/>
            <w:shd w:val="clear" w:color="auto" w:fill="467886"/>
          </w:tcPr>
          <w:p>
            <w:pPr>
              <w:spacing w:after="0" w:line="20" w:lineRule="exact"/>
              <w:rPr>
                <w:sz w:val="1"/>
                <w:szCs w:val="1"/>
                <w:color w:val="auto"/>
              </w:rPr>
            </w:pPr>
          </w:p>
        </w:tc>
        <w:tc>
          <w:tcPr>
            <w:tcW w:w="240" w:type="dxa"/>
            <w:vAlign w:val="bottom"/>
            <w:gridSpan w:val="2"/>
            <w:shd w:val="clear" w:color="auto" w:fill="467886"/>
          </w:tcPr>
          <w:p>
            <w:pPr>
              <w:spacing w:after="0" w:line="20" w:lineRule="exact"/>
              <w:rPr>
                <w:sz w:val="1"/>
                <w:szCs w:val="1"/>
                <w:color w:val="auto"/>
              </w:rPr>
            </w:pPr>
          </w:p>
        </w:tc>
        <w:tc>
          <w:tcPr>
            <w:tcW w:w="10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4920" w:type="dxa"/>
            <w:vAlign w:val="bottom"/>
            <w:gridSpan w:val="11"/>
          </w:tcPr>
          <w:p>
            <w:pPr>
              <w:spacing w:after="0" w:line="155" w:lineRule="exact"/>
              <w:rPr>
                <w:rFonts w:ascii="Times New Roman" w:cs="Times New Roman" w:eastAsia="Times New Roman" w:hAnsi="Times New Roman"/>
                <w:sz w:val="16"/>
                <w:szCs w:val="16"/>
                <w:color w:val="467886"/>
              </w:rPr>
            </w:pPr>
            <w:hyperlink r:id="rId60">
              <w:r>
                <w:rPr>
                  <w:rFonts w:ascii="Times New Roman" w:cs="Times New Roman" w:eastAsia="Times New Roman" w:hAnsi="Times New Roman"/>
                  <w:sz w:val="16"/>
                  <w:szCs w:val="16"/>
                  <w:color w:val="467886"/>
                </w:rPr>
                <w:t>the quarter ended June 30, 2020</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EEEFA"/>
          </w:tcPr>
          <w:p>
            <w:pPr>
              <w:spacing w:after="0"/>
              <w:rPr>
                <w:sz w:val="12"/>
                <w:szCs w:val="12"/>
                <w:color w:val="auto"/>
              </w:rPr>
            </w:pPr>
          </w:p>
        </w:tc>
        <w:tc>
          <w:tcPr>
            <w:tcW w:w="5440" w:type="dxa"/>
            <w:vAlign w:val="bottom"/>
            <w:shd w:val="clear" w:color="auto" w:fill="CEEEFA"/>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Third Amendment to Second Amended and Restated Credit</w:t>
            </w:r>
          </w:p>
        </w:tc>
        <w:tc>
          <w:tcPr>
            <w:tcW w:w="360" w:type="dxa"/>
            <w:vAlign w:val="bottom"/>
            <w:tcBorders>
              <w:top w:val="single" w:sz="8" w:color="467886"/>
            </w:tcBorders>
            <w:shd w:val="clear" w:color="auto" w:fill="CEEEFA"/>
          </w:tcPr>
          <w:p>
            <w:pPr>
              <w:spacing w:after="0"/>
              <w:rPr>
                <w:sz w:val="12"/>
                <w:szCs w:val="12"/>
                <w:color w:val="auto"/>
              </w:rPr>
            </w:pPr>
          </w:p>
        </w:tc>
        <w:tc>
          <w:tcPr>
            <w:tcW w:w="240" w:type="dxa"/>
            <w:vAlign w:val="bottom"/>
            <w:tcBorders>
              <w:top w:val="single" w:sz="8" w:color="467886"/>
              <w:right w:val="single" w:sz="8" w:color="CEEEFA"/>
            </w:tcBorders>
            <w:shd w:val="clear" w:color="auto" w:fill="CEEEFA"/>
          </w:tcPr>
          <w:p>
            <w:pPr>
              <w:spacing w:after="0"/>
              <w:rPr>
                <w:sz w:val="12"/>
                <w:szCs w:val="12"/>
                <w:color w:val="auto"/>
              </w:rPr>
            </w:pPr>
          </w:p>
        </w:tc>
        <w:tc>
          <w:tcPr>
            <w:tcW w:w="1220" w:type="dxa"/>
            <w:vAlign w:val="bottom"/>
            <w:tcBorders>
              <w:top w:val="single" w:sz="8" w:color="467886"/>
            </w:tcBorders>
            <w:shd w:val="clear" w:color="auto" w:fill="CEEEFA"/>
          </w:tcPr>
          <w:p>
            <w:pPr>
              <w:spacing w:after="0"/>
              <w:rPr>
                <w:sz w:val="12"/>
                <w:szCs w:val="12"/>
                <w:color w:val="auto"/>
              </w:rPr>
            </w:pPr>
          </w:p>
        </w:tc>
        <w:tc>
          <w:tcPr>
            <w:tcW w:w="300" w:type="dxa"/>
            <w:vAlign w:val="bottom"/>
            <w:tcBorders>
              <w:top w:val="single" w:sz="8" w:color="467886"/>
              <w:right w:val="single" w:sz="8" w:color="CEEEFA"/>
            </w:tcBorders>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240" w:type="dxa"/>
            <w:vAlign w:val="bottom"/>
            <w:tcBorders>
              <w:left w:val="single" w:sz="8" w:color="CEEEFA"/>
            </w:tcBorders>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208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00" w:type="dxa"/>
            <w:vAlign w:val="bottom"/>
            <w:tcBorders>
              <w:right w:val="single" w:sz="8" w:color="CEEEFA"/>
            </w:tcBorders>
            <w:shd w:val="clear" w:color="auto" w:fill="CEEEFA"/>
          </w:tcPr>
          <w:p>
            <w:pPr>
              <w:spacing w:after="0"/>
              <w:rPr>
                <w:sz w:val="12"/>
                <w:szCs w:val="12"/>
                <w:color w:val="auto"/>
              </w:rPr>
            </w:pPr>
          </w:p>
        </w:tc>
        <w:tc>
          <w:tcPr>
            <w:tcW w:w="8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EEEFA"/>
          </w:tcPr>
          <w:p>
            <w:pPr>
              <w:spacing w:after="0"/>
              <w:rPr>
                <w:sz w:val="15"/>
                <w:szCs w:val="15"/>
                <w:color w:val="auto"/>
              </w:rPr>
            </w:pPr>
          </w:p>
        </w:tc>
        <w:tc>
          <w:tcPr>
            <w:tcW w:w="5440" w:type="dxa"/>
            <w:vAlign w:val="bottom"/>
            <w:shd w:val="clear" w:color="auto" w:fill="CEEEFA"/>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November 8, 2021, between Consolidated Amusement</w:t>
            </w:r>
          </w:p>
        </w:tc>
        <w:tc>
          <w:tcPr>
            <w:tcW w:w="5000" w:type="dxa"/>
            <w:vAlign w:val="bottom"/>
            <w:gridSpan w:val="12"/>
            <w:shd w:val="clear" w:color="auto" w:fill="CEEEFA"/>
          </w:tcPr>
          <w:p>
            <w:pPr>
              <w:spacing w:after="0" w:line="176" w:lineRule="exact"/>
              <w:rPr>
                <w:rFonts w:ascii="Times New Roman" w:cs="Times New Roman" w:eastAsia="Times New Roman" w:hAnsi="Times New Roman"/>
                <w:sz w:val="16"/>
                <w:szCs w:val="16"/>
                <w:color w:val="auto"/>
              </w:rPr>
            </w:pPr>
            <w:hyperlink r:id="rId7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10.37†</w:t>
            </w:r>
          </w:p>
        </w:tc>
        <w:tc>
          <w:tcPr>
            <w:tcW w:w="5440" w:type="dxa"/>
            <w:vAlign w:val="bottom"/>
            <w:vMerge w:val="restart"/>
            <w:shd w:val="clear" w:color="auto" w:fill="CEEEFA"/>
          </w:tcPr>
          <w:p>
            <w:pPr>
              <w:ind w:left="320"/>
              <w:spacing w:after="0" w:line="17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360" w:type="dxa"/>
            <w:vAlign w:val="bottom"/>
            <w:shd w:val="clear" w:color="auto" w:fill="CEEEFA"/>
          </w:tcPr>
          <w:p>
            <w:pPr>
              <w:spacing w:after="0" w:line="20" w:lineRule="exact"/>
              <w:rPr>
                <w:sz w:val="1"/>
                <w:szCs w:val="1"/>
                <w:color w:val="auto"/>
              </w:rPr>
            </w:pPr>
          </w:p>
        </w:tc>
        <w:tc>
          <w:tcPr>
            <w:tcW w:w="240" w:type="dxa"/>
            <w:vAlign w:val="bottom"/>
            <w:tcBorders>
              <w:right w:val="single" w:sz="8" w:color="467886"/>
            </w:tcBorders>
            <w:shd w:val="clear" w:color="auto" w:fill="CEEEFA"/>
          </w:tcPr>
          <w:p>
            <w:pPr>
              <w:spacing w:after="0" w:line="20" w:lineRule="exact"/>
              <w:rPr>
                <w:sz w:val="1"/>
                <w:szCs w:val="1"/>
                <w:color w:val="auto"/>
              </w:rPr>
            </w:pPr>
          </w:p>
        </w:tc>
        <w:tc>
          <w:tcPr>
            <w:tcW w:w="1520" w:type="dxa"/>
            <w:vAlign w:val="bottom"/>
            <w:tcBorders>
              <w:right w:val="single" w:sz="8" w:color="467886"/>
            </w:tcBorders>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4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80" w:type="dxa"/>
            <w:vAlign w:val="bottom"/>
            <w:shd w:val="clear" w:color="auto" w:fill="467886"/>
          </w:tcPr>
          <w:p>
            <w:pPr>
              <w:spacing w:after="0" w:line="20" w:lineRule="exact"/>
              <w:rPr>
                <w:sz w:val="1"/>
                <w:szCs w:val="1"/>
                <w:color w:val="auto"/>
              </w:rPr>
            </w:pPr>
          </w:p>
        </w:tc>
        <w:tc>
          <w:tcPr>
            <w:tcW w:w="240" w:type="dxa"/>
            <w:vAlign w:val="bottom"/>
            <w:gridSpan w:val="2"/>
            <w:shd w:val="clear" w:color="auto" w:fill="467886"/>
          </w:tcPr>
          <w:p>
            <w:pPr>
              <w:spacing w:after="0" w:line="20" w:lineRule="exact"/>
              <w:rPr>
                <w:sz w:val="1"/>
                <w:szCs w:val="1"/>
                <w:color w:val="auto"/>
              </w:rPr>
            </w:pPr>
          </w:p>
        </w:tc>
        <w:tc>
          <w:tcPr>
            <w:tcW w:w="10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vMerge w:val="continue"/>
            <w:shd w:val="clear" w:color="auto" w:fill="CEEEFA"/>
          </w:tcPr>
          <w:p>
            <w:pPr>
              <w:spacing w:after="0"/>
              <w:rPr>
                <w:sz w:val="14"/>
                <w:szCs w:val="14"/>
                <w:color w:val="auto"/>
              </w:rPr>
            </w:pPr>
          </w:p>
        </w:tc>
        <w:tc>
          <w:tcPr>
            <w:tcW w:w="5440" w:type="dxa"/>
            <w:vAlign w:val="bottom"/>
            <w:vMerge w:val="continue"/>
            <w:shd w:val="clear" w:color="auto" w:fill="CEEEFA"/>
          </w:tcPr>
          <w:p>
            <w:pPr>
              <w:spacing w:after="0"/>
              <w:rPr>
                <w:sz w:val="14"/>
                <w:szCs w:val="14"/>
                <w:color w:val="auto"/>
              </w:rPr>
            </w:pPr>
          </w:p>
        </w:tc>
        <w:tc>
          <w:tcPr>
            <w:tcW w:w="4920" w:type="dxa"/>
            <w:vAlign w:val="bottom"/>
            <w:tcBorders>
              <w:right w:val="single" w:sz="8" w:color="CEEEFA"/>
            </w:tcBorders>
            <w:gridSpan w:val="11"/>
            <w:shd w:val="clear" w:color="auto" w:fill="CEEEFA"/>
          </w:tcPr>
          <w:p>
            <w:pPr>
              <w:spacing w:after="0" w:line="155" w:lineRule="exact"/>
              <w:rPr>
                <w:rFonts w:ascii="Times New Roman" w:cs="Times New Roman" w:eastAsia="Times New Roman" w:hAnsi="Times New Roman"/>
                <w:sz w:val="16"/>
                <w:szCs w:val="16"/>
                <w:color w:val="467886"/>
                <w:w w:val="99"/>
              </w:rPr>
            </w:pPr>
            <w:hyperlink r:id="rId75">
              <w:r>
                <w:rPr>
                  <w:rFonts w:ascii="Times New Roman" w:cs="Times New Roman" w:eastAsia="Times New Roman" w:hAnsi="Times New Roman"/>
                  <w:sz w:val="16"/>
                  <w:szCs w:val="16"/>
                  <w:color w:val="467886"/>
                  <w:w w:val="99"/>
                </w:rPr>
                <w:t>the quarter ended September 30, 2021</w:t>
              </w:r>
              <w:r>
                <w:rPr>
                  <w:rFonts w:ascii="Times New Roman" w:cs="Times New Roman" w:eastAsia="Times New Roman" w:hAnsi="Times New Roman"/>
                  <w:sz w:val="16"/>
                  <w:szCs w:val="16"/>
                  <w:color w:val="000000"/>
                  <w:w w:val="99"/>
                </w:rPr>
                <w:t>, and incorporated herein by reference.</w:t>
              </w:r>
            </w:hyperlink>
          </w:p>
        </w:tc>
        <w:tc>
          <w:tcPr>
            <w:tcW w:w="80" w:type="dxa"/>
            <w:vAlign w:val="bottom"/>
            <w:vMerge w:val="continue"/>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EEEFA"/>
            </w:tcBorders>
          </w:tcPr>
          <w:p>
            <w:pPr>
              <w:spacing w:after="0"/>
              <w:rPr>
                <w:sz w:val="12"/>
                <w:szCs w:val="12"/>
                <w:color w:val="auto"/>
              </w:rPr>
            </w:pPr>
          </w:p>
        </w:tc>
        <w:tc>
          <w:tcPr>
            <w:tcW w:w="5440" w:type="dxa"/>
            <w:vAlign w:val="bottom"/>
            <w:tcBorders>
              <w:top w:val="single" w:sz="8" w:color="CEEEFA"/>
            </w:tcBorders>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Fourth Amendment to Second Amended and Restated Credit</w:t>
            </w:r>
          </w:p>
        </w:tc>
        <w:tc>
          <w:tcPr>
            <w:tcW w:w="360" w:type="dxa"/>
            <w:vAlign w:val="bottom"/>
            <w:tcBorders>
              <w:top w:val="single" w:sz="8" w:color="467886"/>
            </w:tcBorders>
          </w:tcPr>
          <w:p>
            <w:pPr>
              <w:spacing w:after="0"/>
              <w:rPr>
                <w:sz w:val="12"/>
                <w:szCs w:val="12"/>
                <w:color w:val="auto"/>
              </w:rPr>
            </w:pPr>
          </w:p>
        </w:tc>
        <w:tc>
          <w:tcPr>
            <w:tcW w:w="240" w:type="dxa"/>
            <w:vAlign w:val="bottom"/>
            <w:tcBorders>
              <w:top w:val="single" w:sz="8" w:color="467886"/>
            </w:tcBorders>
          </w:tcPr>
          <w:p>
            <w:pPr>
              <w:spacing w:after="0"/>
              <w:rPr>
                <w:sz w:val="12"/>
                <w:szCs w:val="12"/>
                <w:color w:val="auto"/>
              </w:rPr>
            </w:pPr>
          </w:p>
        </w:tc>
        <w:tc>
          <w:tcPr>
            <w:tcW w:w="1220" w:type="dxa"/>
            <w:vAlign w:val="bottom"/>
            <w:tcBorders>
              <w:top w:val="single" w:sz="8" w:color="467886"/>
            </w:tcBorders>
          </w:tcPr>
          <w:p>
            <w:pPr>
              <w:spacing w:after="0"/>
              <w:rPr>
                <w:sz w:val="12"/>
                <w:szCs w:val="12"/>
                <w:color w:val="auto"/>
              </w:rPr>
            </w:pPr>
          </w:p>
        </w:tc>
        <w:tc>
          <w:tcPr>
            <w:tcW w:w="300" w:type="dxa"/>
            <w:vAlign w:val="bottom"/>
            <w:tcBorders>
              <w:top w:val="single" w:sz="8" w:color="467886"/>
            </w:tcBorders>
          </w:tcPr>
          <w:p>
            <w:pPr>
              <w:spacing w:after="0"/>
              <w:rPr>
                <w:sz w:val="12"/>
                <w:szCs w:val="12"/>
                <w:color w:val="auto"/>
              </w:rPr>
            </w:pPr>
          </w:p>
        </w:tc>
        <w:tc>
          <w:tcPr>
            <w:tcW w:w="120" w:type="dxa"/>
            <w:vAlign w:val="bottom"/>
            <w:tcBorders>
              <w:top w:val="single" w:sz="8" w:color="467886"/>
            </w:tcBorders>
          </w:tcPr>
          <w:p>
            <w:pPr>
              <w:spacing w:after="0"/>
              <w:rPr>
                <w:sz w:val="12"/>
                <w:szCs w:val="12"/>
                <w:color w:val="auto"/>
              </w:rPr>
            </w:pPr>
          </w:p>
        </w:tc>
        <w:tc>
          <w:tcPr>
            <w:tcW w:w="240" w:type="dxa"/>
            <w:vAlign w:val="bottom"/>
            <w:tcBorders>
              <w:top w:val="single" w:sz="8" w:color="467886"/>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208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0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44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November 29, 2022, between Consolidated Amusement</w:t>
            </w:r>
          </w:p>
        </w:tc>
        <w:tc>
          <w:tcPr>
            <w:tcW w:w="5000" w:type="dxa"/>
            <w:vAlign w:val="bottom"/>
            <w:gridSpan w:val="12"/>
          </w:tcPr>
          <w:p>
            <w:pPr>
              <w:spacing w:after="0" w:line="176" w:lineRule="exact"/>
              <w:rPr>
                <w:rFonts w:ascii="Times New Roman" w:cs="Times New Roman" w:eastAsia="Times New Roman" w:hAnsi="Times New Roman"/>
                <w:sz w:val="16"/>
                <w:szCs w:val="16"/>
                <w:color w:val="auto"/>
              </w:rPr>
            </w:pPr>
            <w:hyperlink r:id="rId7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report on Form 8-K (file no. 1-</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10.38†</w:t>
            </w:r>
          </w:p>
        </w:tc>
        <w:tc>
          <w:tcPr>
            <w:tcW w:w="5440" w:type="dxa"/>
            <w:vAlign w:val="bottom"/>
            <w:vMerge w:val="restart"/>
          </w:tcPr>
          <w:p>
            <w:pPr>
              <w:ind w:left="320"/>
              <w:spacing w:after="0" w:line="17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360" w:type="dxa"/>
            <w:vAlign w:val="bottom"/>
          </w:tcPr>
          <w:p>
            <w:pPr>
              <w:spacing w:after="0" w:line="20" w:lineRule="exact"/>
              <w:rPr>
                <w:sz w:val="1"/>
                <w:szCs w:val="1"/>
                <w:color w:val="auto"/>
              </w:rPr>
            </w:pPr>
          </w:p>
        </w:tc>
        <w:tc>
          <w:tcPr>
            <w:tcW w:w="240" w:type="dxa"/>
            <w:vAlign w:val="bottom"/>
            <w:tcBorders>
              <w:right w:val="single" w:sz="8" w:color="467886"/>
            </w:tcBorders>
          </w:tcPr>
          <w:p>
            <w:pPr>
              <w:spacing w:after="0" w:line="20" w:lineRule="exact"/>
              <w:rPr>
                <w:sz w:val="1"/>
                <w:szCs w:val="1"/>
                <w:color w:val="auto"/>
              </w:rPr>
            </w:pPr>
          </w:p>
        </w:tc>
        <w:tc>
          <w:tcPr>
            <w:tcW w:w="1520" w:type="dxa"/>
            <w:vAlign w:val="bottom"/>
            <w:tcBorders>
              <w:right w:val="single" w:sz="8" w:color="467886"/>
            </w:tcBorders>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60" w:type="dxa"/>
            <w:vAlign w:val="bottom"/>
            <w:tcBorders>
              <w:left w:val="single" w:sz="8" w:color="467886"/>
            </w:tcBorders>
            <w:gridSpan w:val="2"/>
            <w:shd w:val="clear" w:color="auto" w:fill="467886"/>
          </w:tcPr>
          <w:p>
            <w:pPr>
              <w:spacing w:after="0" w:line="20" w:lineRule="exact"/>
              <w:rPr>
                <w:sz w:val="1"/>
                <w:szCs w:val="1"/>
                <w:color w:val="auto"/>
              </w:rPr>
            </w:pPr>
          </w:p>
        </w:tc>
        <w:tc>
          <w:tcPr>
            <w:tcW w:w="2080" w:type="dxa"/>
            <w:vAlign w:val="bottom"/>
            <w:shd w:val="clear" w:color="auto" w:fill="46788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5000" w:type="dxa"/>
            <w:vAlign w:val="bottom"/>
            <w:gridSpan w:val="12"/>
          </w:tcPr>
          <w:p>
            <w:pPr>
              <w:spacing w:after="0" w:line="155" w:lineRule="exact"/>
              <w:rPr>
                <w:rFonts w:ascii="Times New Roman" w:cs="Times New Roman" w:eastAsia="Times New Roman" w:hAnsi="Times New Roman"/>
                <w:sz w:val="16"/>
                <w:szCs w:val="16"/>
                <w:color w:val="467886"/>
              </w:rPr>
            </w:pPr>
            <w:hyperlink r:id="rId76">
              <w:r>
                <w:rPr>
                  <w:rFonts w:ascii="Times New Roman" w:cs="Times New Roman" w:eastAsia="Times New Roman" w:hAnsi="Times New Roman"/>
                  <w:sz w:val="16"/>
                  <w:szCs w:val="16"/>
                  <w:color w:val="467886"/>
                </w:rPr>
                <w:t>8625)</w:t>
              </w:r>
              <w:r>
                <w:rPr>
                  <w:rFonts w:ascii="Times New Roman" w:cs="Times New Roman" w:eastAsia="Times New Roman" w:hAnsi="Times New Roman"/>
                  <w:sz w:val="16"/>
                  <w:szCs w:val="16"/>
                  <w:u w:val="single" w:color="auto"/>
                  <w:color w:val="467886"/>
                </w:rPr>
                <w:t>,</w:t>
              </w:r>
              <w:r>
                <w:rPr>
                  <w:rFonts w:ascii="Times New Roman" w:cs="Times New Roman" w:eastAsia="Times New Roman" w:hAnsi="Times New Roman"/>
                  <w:sz w:val="16"/>
                  <w:szCs w:val="16"/>
                  <w:color w:val="467886"/>
                </w:rPr>
                <w:t xml:space="preserve"> filed on December 16, 2022</w:t>
              </w:r>
              <w:r>
                <w:rPr>
                  <w:rFonts w:ascii="Times New Roman" w:cs="Times New Roman" w:eastAsia="Times New Roman" w:hAnsi="Times New Roman"/>
                  <w:sz w:val="16"/>
                  <w:szCs w:val="16"/>
                  <w:color w:val="000000"/>
                </w:rPr>
                <w:t>, and incorporated herein by reference.</w:t>
              </w:r>
            </w:hyperlink>
          </w:p>
        </w:tc>
        <w:tc>
          <w:tcPr>
            <w:tcW w:w="0" w:type="dxa"/>
            <w:vAlign w:val="bottom"/>
          </w:tcPr>
          <w:p>
            <w:pPr>
              <w:spacing w:after="0"/>
              <w:rPr>
                <w:sz w:val="1"/>
                <w:szCs w:val="1"/>
                <w:color w:val="auto"/>
              </w:rPr>
            </w:pPr>
          </w:p>
        </w:tc>
      </w:tr>
      <w:tr>
        <w:trPr>
          <w:trHeight w:val="148"/>
        </w:trPr>
        <w:tc>
          <w:tcPr>
            <w:tcW w:w="800" w:type="dxa"/>
            <w:vAlign w:val="bottom"/>
            <w:shd w:val="clear" w:color="auto" w:fill="CEEEFA"/>
          </w:tcPr>
          <w:p>
            <w:pPr>
              <w:spacing w:after="0"/>
              <w:rPr>
                <w:sz w:val="12"/>
                <w:szCs w:val="12"/>
                <w:color w:val="auto"/>
              </w:rPr>
            </w:pPr>
          </w:p>
        </w:tc>
        <w:tc>
          <w:tcPr>
            <w:tcW w:w="5440" w:type="dxa"/>
            <w:vAlign w:val="bottom"/>
            <w:shd w:val="clear" w:color="auto" w:fill="CEEEFA"/>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Fifth Amendment to Second Amended and Restated Credit</w:t>
            </w:r>
          </w:p>
        </w:tc>
        <w:tc>
          <w:tcPr>
            <w:tcW w:w="360" w:type="dxa"/>
            <w:vAlign w:val="bottom"/>
            <w:tcBorders>
              <w:top w:val="single" w:sz="8" w:color="467886"/>
            </w:tcBorders>
            <w:shd w:val="clear" w:color="auto" w:fill="CEEEFA"/>
          </w:tcPr>
          <w:p>
            <w:pPr>
              <w:spacing w:after="0"/>
              <w:rPr>
                <w:sz w:val="12"/>
                <w:szCs w:val="12"/>
                <w:color w:val="auto"/>
              </w:rPr>
            </w:pPr>
          </w:p>
        </w:tc>
        <w:tc>
          <w:tcPr>
            <w:tcW w:w="240" w:type="dxa"/>
            <w:vAlign w:val="bottom"/>
            <w:tcBorders>
              <w:top w:val="single" w:sz="8" w:color="467886"/>
              <w:right w:val="single" w:sz="8" w:color="CEEEFA"/>
            </w:tcBorders>
            <w:shd w:val="clear" w:color="auto" w:fill="CEEEFA"/>
          </w:tcPr>
          <w:p>
            <w:pPr>
              <w:spacing w:after="0"/>
              <w:rPr>
                <w:sz w:val="12"/>
                <w:szCs w:val="12"/>
                <w:color w:val="auto"/>
              </w:rPr>
            </w:pPr>
          </w:p>
        </w:tc>
        <w:tc>
          <w:tcPr>
            <w:tcW w:w="1220" w:type="dxa"/>
            <w:vAlign w:val="bottom"/>
            <w:tcBorders>
              <w:top w:val="single" w:sz="8" w:color="467886"/>
            </w:tcBorders>
            <w:shd w:val="clear" w:color="auto" w:fill="CEEEFA"/>
          </w:tcPr>
          <w:p>
            <w:pPr>
              <w:spacing w:after="0"/>
              <w:rPr>
                <w:sz w:val="12"/>
                <w:szCs w:val="12"/>
                <w:color w:val="auto"/>
              </w:rPr>
            </w:pPr>
          </w:p>
        </w:tc>
        <w:tc>
          <w:tcPr>
            <w:tcW w:w="300" w:type="dxa"/>
            <w:vAlign w:val="bottom"/>
            <w:tcBorders>
              <w:top w:val="single" w:sz="8" w:color="467886"/>
              <w:right w:val="single" w:sz="8" w:color="CEEEFA"/>
            </w:tcBorders>
            <w:shd w:val="clear" w:color="auto" w:fill="CEEEFA"/>
          </w:tcPr>
          <w:p>
            <w:pPr>
              <w:spacing w:after="0"/>
              <w:rPr>
                <w:sz w:val="12"/>
                <w:szCs w:val="12"/>
                <w:color w:val="auto"/>
              </w:rPr>
            </w:pPr>
          </w:p>
        </w:tc>
        <w:tc>
          <w:tcPr>
            <w:tcW w:w="120" w:type="dxa"/>
            <w:vAlign w:val="bottom"/>
            <w:tcBorders>
              <w:top w:val="single" w:sz="8" w:color="467886"/>
            </w:tcBorders>
            <w:shd w:val="clear" w:color="auto" w:fill="CEEEFA"/>
          </w:tcPr>
          <w:p>
            <w:pPr>
              <w:spacing w:after="0"/>
              <w:rPr>
                <w:sz w:val="12"/>
                <w:szCs w:val="12"/>
                <w:color w:val="auto"/>
              </w:rPr>
            </w:pPr>
          </w:p>
        </w:tc>
        <w:tc>
          <w:tcPr>
            <w:tcW w:w="240" w:type="dxa"/>
            <w:vAlign w:val="bottom"/>
            <w:tcBorders>
              <w:left w:val="single" w:sz="8" w:color="CEEEFA"/>
            </w:tcBorders>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208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00" w:type="dxa"/>
            <w:vAlign w:val="bottom"/>
            <w:tcBorders>
              <w:right w:val="single" w:sz="8" w:color="CEEEFA"/>
            </w:tcBorders>
            <w:shd w:val="clear" w:color="auto" w:fill="CEEEFA"/>
          </w:tcPr>
          <w:p>
            <w:pPr>
              <w:spacing w:after="0"/>
              <w:rPr>
                <w:sz w:val="12"/>
                <w:szCs w:val="12"/>
                <w:color w:val="auto"/>
              </w:rPr>
            </w:pPr>
          </w:p>
        </w:tc>
        <w:tc>
          <w:tcPr>
            <w:tcW w:w="8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EEEFA"/>
          </w:tcPr>
          <w:p>
            <w:pPr>
              <w:spacing w:after="0"/>
              <w:rPr>
                <w:sz w:val="15"/>
                <w:szCs w:val="15"/>
                <w:color w:val="auto"/>
              </w:rPr>
            </w:pPr>
          </w:p>
        </w:tc>
        <w:tc>
          <w:tcPr>
            <w:tcW w:w="5440" w:type="dxa"/>
            <w:vAlign w:val="bottom"/>
            <w:shd w:val="clear" w:color="auto" w:fill="CEEEFA"/>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March 30, 2023, between Consolidated Amusement</w:t>
            </w:r>
          </w:p>
        </w:tc>
        <w:tc>
          <w:tcPr>
            <w:tcW w:w="5000" w:type="dxa"/>
            <w:vAlign w:val="bottom"/>
            <w:gridSpan w:val="12"/>
            <w:shd w:val="clear" w:color="auto" w:fill="CEEEFA"/>
          </w:tcPr>
          <w:p>
            <w:pPr>
              <w:spacing w:after="0" w:line="176" w:lineRule="exact"/>
              <w:rPr>
                <w:rFonts w:ascii="Times New Roman" w:cs="Times New Roman" w:eastAsia="Times New Roman" w:hAnsi="Times New Roman"/>
                <w:sz w:val="16"/>
                <w:szCs w:val="16"/>
                <w:color w:val="auto"/>
              </w:rPr>
            </w:pPr>
            <w:hyperlink r:id="rId7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10.39†</w:t>
            </w:r>
          </w:p>
        </w:tc>
        <w:tc>
          <w:tcPr>
            <w:tcW w:w="5440" w:type="dxa"/>
            <w:vAlign w:val="bottom"/>
            <w:vMerge w:val="restart"/>
            <w:shd w:val="clear" w:color="auto" w:fill="CEEEFA"/>
          </w:tcPr>
          <w:p>
            <w:pPr>
              <w:ind w:left="320"/>
              <w:spacing w:after="0" w:line="17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360" w:type="dxa"/>
            <w:vAlign w:val="bottom"/>
            <w:shd w:val="clear" w:color="auto" w:fill="CEEEFA"/>
          </w:tcPr>
          <w:p>
            <w:pPr>
              <w:spacing w:after="0" w:line="20" w:lineRule="exact"/>
              <w:rPr>
                <w:sz w:val="1"/>
                <w:szCs w:val="1"/>
                <w:color w:val="auto"/>
              </w:rPr>
            </w:pPr>
          </w:p>
        </w:tc>
        <w:tc>
          <w:tcPr>
            <w:tcW w:w="240" w:type="dxa"/>
            <w:vAlign w:val="bottom"/>
            <w:tcBorders>
              <w:right w:val="single" w:sz="8" w:color="467886"/>
            </w:tcBorders>
            <w:shd w:val="clear" w:color="auto" w:fill="CEEEFA"/>
          </w:tcPr>
          <w:p>
            <w:pPr>
              <w:spacing w:after="0" w:line="20" w:lineRule="exact"/>
              <w:rPr>
                <w:sz w:val="1"/>
                <w:szCs w:val="1"/>
                <w:color w:val="auto"/>
              </w:rPr>
            </w:pPr>
          </w:p>
        </w:tc>
        <w:tc>
          <w:tcPr>
            <w:tcW w:w="1520" w:type="dxa"/>
            <w:vAlign w:val="bottom"/>
            <w:tcBorders>
              <w:right w:val="single" w:sz="8" w:color="467886"/>
            </w:tcBorders>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60" w:type="dxa"/>
            <w:vAlign w:val="bottom"/>
            <w:tcBorders>
              <w:left w:val="single" w:sz="8" w:color="467886"/>
            </w:tcBorders>
            <w:gridSpan w:val="2"/>
            <w:shd w:val="clear" w:color="auto" w:fill="467886"/>
          </w:tcPr>
          <w:p>
            <w:pPr>
              <w:spacing w:after="0" w:line="20" w:lineRule="exact"/>
              <w:rPr>
                <w:sz w:val="1"/>
                <w:szCs w:val="1"/>
                <w:color w:val="auto"/>
              </w:rPr>
            </w:pPr>
          </w:p>
        </w:tc>
        <w:tc>
          <w:tcPr>
            <w:tcW w:w="2320" w:type="dxa"/>
            <w:vAlign w:val="bottom"/>
            <w:gridSpan w:val="3"/>
            <w:shd w:val="clear" w:color="auto" w:fill="467886"/>
          </w:tcPr>
          <w:p>
            <w:pPr>
              <w:spacing w:after="0" w:line="20" w:lineRule="exact"/>
              <w:rPr>
                <w:sz w:val="1"/>
                <w:szCs w:val="1"/>
                <w:color w:val="auto"/>
              </w:rPr>
            </w:pPr>
          </w:p>
        </w:tc>
        <w:tc>
          <w:tcPr>
            <w:tcW w:w="10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vMerge w:val="continue"/>
            <w:shd w:val="clear" w:color="auto" w:fill="CEEEFA"/>
          </w:tcPr>
          <w:p>
            <w:pPr>
              <w:spacing w:after="0"/>
              <w:rPr>
                <w:sz w:val="14"/>
                <w:szCs w:val="14"/>
                <w:color w:val="auto"/>
              </w:rPr>
            </w:pPr>
          </w:p>
        </w:tc>
        <w:tc>
          <w:tcPr>
            <w:tcW w:w="5440" w:type="dxa"/>
            <w:vAlign w:val="bottom"/>
            <w:vMerge w:val="continue"/>
            <w:shd w:val="clear" w:color="auto" w:fill="CEEEFA"/>
          </w:tcPr>
          <w:p>
            <w:pPr>
              <w:spacing w:after="0"/>
              <w:rPr>
                <w:sz w:val="14"/>
                <w:szCs w:val="14"/>
                <w:color w:val="auto"/>
              </w:rPr>
            </w:pPr>
          </w:p>
        </w:tc>
        <w:tc>
          <w:tcPr>
            <w:tcW w:w="4920" w:type="dxa"/>
            <w:vAlign w:val="bottom"/>
            <w:tcBorders>
              <w:right w:val="single" w:sz="8" w:color="CEEEFA"/>
            </w:tcBorders>
            <w:gridSpan w:val="11"/>
            <w:shd w:val="clear" w:color="auto" w:fill="CEEEFA"/>
          </w:tcPr>
          <w:p>
            <w:pPr>
              <w:spacing w:after="0" w:line="155" w:lineRule="exact"/>
              <w:rPr>
                <w:rFonts w:ascii="Times New Roman" w:cs="Times New Roman" w:eastAsia="Times New Roman" w:hAnsi="Times New Roman"/>
                <w:sz w:val="16"/>
                <w:szCs w:val="16"/>
                <w:color w:val="467886"/>
              </w:rPr>
            </w:pPr>
            <w:hyperlink r:id="rId77">
              <w:r>
                <w:rPr>
                  <w:rFonts w:ascii="Times New Roman" w:cs="Times New Roman" w:eastAsia="Times New Roman" w:hAnsi="Times New Roman"/>
                  <w:sz w:val="16"/>
                  <w:szCs w:val="16"/>
                  <w:color w:val="467886"/>
                </w:rPr>
                <w:t>the Quarter ended March 31, 2023</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EEEFA"/>
            </w:tcBorders>
          </w:tcPr>
          <w:p>
            <w:pPr>
              <w:spacing w:after="0"/>
              <w:rPr>
                <w:sz w:val="12"/>
                <w:szCs w:val="12"/>
                <w:color w:val="auto"/>
              </w:rPr>
            </w:pPr>
          </w:p>
        </w:tc>
        <w:tc>
          <w:tcPr>
            <w:tcW w:w="5440" w:type="dxa"/>
            <w:vAlign w:val="bottom"/>
            <w:tcBorders>
              <w:top w:val="single" w:sz="8" w:color="CEEEFA"/>
            </w:tcBorders>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Sixth Amendment to Second Amended and Restated Credit</w:t>
            </w:r>
          </w:p>
        </w:tc>
        <w:tc>
          <w:tcPr>
            <w:tcW w:w="360" w:type="dxa"/>
            <w:vAlign w:val="bottom"/>
            <w:tcBorders>
              <w:top w:val="single" w:sz="8" w:color="467886"/>
            </w:tcBorders>
          </w:tcPr>
          <w:p>
            <w:pPr>
              <w:spacing w:after="0"/>
              <w:rPr>
                <w:sz w:val="12"/>
                <w:szCs w:val="12"/>
                <w:color w:val="auto"/>
              </w:rPr>
            </w:pPr>
          </w:p>
        </w:tc>
        <w:tc>
          <w:tcPr>
            <w:tcW w:w="240" w:type="dxa"/>
            <w:vAlign w:val="bottom"/>
            <w:tcBorders>
              <w:top w:val="single" w:sz="8" w:color="467886"/>
            </w:tcBorders>
          </w:tcPr>
          <w:p>
            <w:pPr>
              <w:spacing w:after="0"/>
              <w:rPr>
                <w:sz w:val="12"/>
                <w:szCs w:val="12"/>
                <w:color w:val="auto"/>
              </w:rPr>
            </w:pPr>
          </w:p>
        </w:tc>
        <w:tc>
          <w:tcPr>
            <w:tcW w:w="1220" w:type="dxa"/>
            <w:vAlign w:val="bottom"/>
            <w:tcBorders>
              <w:top w:val="single" w:sz="8" w:color="467886"/>
            </w:tcBorders>
          </w:tcPr>
          <w:p>
            <w:pPr>
              <w:spacing w:after="0"/>
              <w:rPr>
                <w:sz w:val="12"/>
                <w:szCs w:val="12"/>
                <w:color w:val="auto"/>
              </w:rPr>
            </w:pPr>
          </w:p>
        </w:tc>
        <w:tc>
          <w:tcPr>
            <w:tcW w:w="300" w:type="dxa"/>
            <w:vAlign w:val="bottom"/>
            <w:tcBorders>
              <w:top w:val="single" w:sz="8" w:color="467886"/>
            </w:tcBorders>
          </w:tcPr>
          <w:p>
            <w:pPr>
              <w:spacing w:after="0"/>
              <w:rPr>
                <w:sz w:val="12"/>
                <w:szCs w:val="12"/>
                <w:color w:val="auto"/>
              </w:rPr>
            </w:pPr>
          </w:p>
        </w:tc>
        <w:tc>
          <w:tcPr>
            <w:tcW w:w="120" w:type="dxa"/>
            <w:vAlign w:val="bottom"/>
            <w:tcBorders>
              <w:top w:val="single" w:sz="8" w:color="467886"/>
            </w:tcBorders>
          </w:tcPr>
          <w:p>
            <w:pPr>
              <w:spacing w:after="0"/>
              <w:rPr>
                <w:sz w:val="12"/>
                <w:szCs w:val="12"/>
                <w:color w:val="auto"/>
              </w:rPr>
            </w:pPr>
          </w:p>
        </w:tc>
        <w:tc>
          <w:tcPr>
            <w:tcW w:w="240" w:type="dxa"/>
            <w:vAlign w:val="bottom"/>
            <w:tcBorders>
              <w:top w:val="single" w:sz="8" w:color="CEEEFA"/>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208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0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44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March 27, 2024, between Consolidated Amusement</w:t>
            </w:r>
          </w:p>
        </w:tc>
        <w:tc>
          <w:tcPr>
            <w:tcW w:w="5000" w:type="dxa"/>
            <w:vAlign w:val="bottom"/>
            <w:gridSpan w:val="12"/>
          </w:tcPr>
          <w:p>
            <w:pPr>
              <w:spacing w:after="0" w:line="176" w:lineRule="exact"/>
              <w:rPr>
                <w:rFonts w:ascii="Times New Roman" w:cs="Times New Roman" w:eastAsia="Times New Roman" w:hAnsi="Times New Roman"/>
                <w:sz w:val="16"/>
                <w:szCs w:val="16"/>
                <w:color w:val="auto"/>
              </w:rPr>
            </w:pPr>
            <w:hyperlink r:id="rId7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10.40†</w:t>
            </w:r>
          </w:p>
        </w:tc>
        <w:tc>
          <w:tcPr>
            <w:tcW w:w="5440" w:type="dxa"/>
            <w:vAlign w:val="bottom"/>
            <w:vMerge w:val="restart"/>
          </w:tcPr>
          <w:p>
            <w:pPr>
              <w:ind w:left="320"/>
              <w:spacing w:after="0" w:line="17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360" w:type="dxa"/>
            <w:vAlign w:val="bottom"/>
          </w:tcPr>
          <w:p>
            <w:pPr>
              <w:spacing w:after="0" w:line="20" w:lineRule="exact"/>
              <w:rPr>
                <w:sz w:val="1"/>
                <w:szCs w:val="1"/>
                <w:color w:val="auto"/>
              </w:rPr>
            </w:pPr>
          </w:p>
        </w:tc>
        <w:tc>
          <w:tcPr>
            <w:tcW w:w="240" w:type="dxa"/>
            <w:vAlign w:val="bottom"/>
            <w:tcBorders>
              <w:right w:val="single" w:sz="8" w:color="467886"/>
            </w:tcBorders>
          </w:tcPr>
          <w:p>
            <w:pPr>
              <w:spacing w:after="0" w:line="20" w:lineRule="exact"/>
              <w:rPr>
                <w:sz w:val="1"/>
                <w:szCs w:val="1"/>
                <w:color w:val="auto"/>
              </w:rPr>
            </w:pPr>
          </w:p>
        </w:tc>
        <w:tc>
          <w:tcPr>
            <w:tcW w:w="1520" w:type="dxa"/>
            <w:vAlign w:val="bottom"/>
            <w:tcBorders>
              <w:right w:val="single" w:sz="8" w:color="467886"/>
            </w:tcBorders>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60" w:type="dxa"/>
            <w:vAlign w:val="bottom"/>
            <w:tcBorders>
              <w:left w:val="single" w:sz="8" w:color="467886"/>
            </w:tcBorders>
            <w:gridSpan w:val="2"/>
            <w:shd w:val="clear" w:color="auto" w:fill="467886"/>
          </w:tcPr>
          <w:p>
            <w:pPr>
              <w:spacing w:after="0" w:line="20" w:lineRule="exact"/>
              <w:rPr>
                <w:sz w:val="1"/>
                <w:szCs w:val="1"/>
                <w:color w:val="auto"/>
              </w:rPr>
            </w:pPr>
          </w:p>
        </w:tc>
        <w:tc>
          <w:tcPr>
            <w:tcW w:w="2320" w:type="dxa"/>
            <w:vAlign w:val="bottom"/>
            <w:gridSpan w:val="3"/>
            <w:shd w:val="clear" w:color="auto" w:fill="467886"/>
          </w:tcPr>
          <w:p>
            <w:pPr>
              <w:spacing w:after="0" w:line="20" w:lineRule="exact"/>
              <w:rPr>
                <w:sz w:val="1"/>
                <w:szCs w:val="1"/>
                <w:color w:val="auto"/>
              </w:rPr>
            </w:pPr>
          </w:p>
        </w:tc>
        <w:tc>
          <w:tcPr>
            <w:tcW w:w="10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4920" w:type="dxa"/>
            <w:vAlign w:val="bottom"/>
            <w:gridSpan w:val="11"/>
          </w:tcPr>
          <w:p>
            <w:pPr>
              <w:spacing w:after="0" w:line="155" w:lineRule="exact"/>
              <w:rPr>
                <w:rFonts w:ascii="Times New Roman" w:cs="Times New Roman" w:eastAsia="Times New Roman" w:hAnsi="Times New Roman"/>
                <w:sz w:val="16"/>
                <w:szCs w:val="16"/>
                <w:color w:val="467886"/>
              </w:rPr>
            </w:pPr>
            <w:hyperlink r:id="rId78">
              <w:r>
                <w:rPr>
                  <w:rFonts w:ascii="Times New Roman" w:cs="Times New Roman" w:eastAsia="Times New Roman" w:hAnsi="Times New Roman"/>
                  <w:sz w:val="16"/>
                  <w:szCs w:val="16"/>
                  <w:color w:val="467886"/>
                </w:rPr>
                <w:t>the Quarter ended March 31, 2024</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EEEFA"/>
          </w:tcPr>
          <w:p>
            <w:pPr>
              <w:spacing w:after="0"/>
              <w:rPr>
                <w:sz w:val="12"/>
                <w:szCs w:val="12"/>
                <w:color w:val="auto"/>
              </w:rPr>
            </w:pPr>
          </w:p>
        </w:tc>
        <w:tc>
          <w:tcPr>
            <w:tcW w:w="5440" w:type="dxa"/>
            <w:vAlign w:val="bottom"/>
            <w:shd w:val="clear" w:color="auto" w:fill="CEEEFA"/>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Seventh Amendment to Second Amended and Restated Credit</w:t>
            </w:r>
          </w:p>
        </w:tc>
        <w:tc>
          <w:tcPr>
            <w:tcW w:w="360" w:type="dxa"/>
            <w:vAlign w:val="bottom"/>
            <w:tcBorders>
              <w:top w:val="single" w:sz="8" w:color="467886"/>
            </w:tcBorders>
            <w:shd w:val="clear" w:color="auto" w:fill="CEEEFA"/>
          </w:tcPr>
          <w:p>
            <w:pPr>
              <w:spacing w:after="0"/>
              <w:rPr>
                <w:sz w:val="12"/>
                <w:szCs w:val="12"/>
                <w:color w:val="auto"/>
              </w:rPr>
            </w:pPr>
          </w:p>
        </w:tc>
        <w:tc>
          <w:tcPr>
            <w:tcW w:w="240" w:type="dxa"/>
            <w:vAlign w:val="bottom"/>
            <w:tcBorders>
              <w:top w:val="single" w:sz="8" w:color="467886"/>
              <w:right w:val="single" w:sz="8" w:color="CEEEFA"/>
            </w:tcBorders>
            <w:shd w:val="clear" w:color="auto" w:fill="CEEEFA"/>
          </w:tcPr>
          <w:p>
            <w:pPr>
              <w:spacing w:after="0"/>
              <w:rPr>
                <w:sz w:val="12"/>
                <w:szCs w:val="12"/>
                <w:color w:val="auto"/>
              </w:rPr>
            </w:pPr>
          </w:p>
        </w:tc>
        <w:tc>
          <w:tcPr>
            <w:tcW w:w="1220" w:type="dxa"/>
            <w:vAlign w:val="bottom"/>
            <w:tcBorders>
              <w:top w:val="single" w:sz="8" w:color="467886"/>
            </w:tcBorders>
            <w:shd w:val="clear" w:color="auto" w:fill="CEEEFA"/>
          </w:tcPr>
          <w:p>
            <w:pPr>
              <w:spacing w:after="0"/>
              <w:rPr>
                <w:sz w:val="12"/>
                <w:szCs w:val="12"/>
                <w:color w:val="auto"/>
              </w:rPr>
            </w:pPr>
          </w:p>
        </w:tc>
        <w:tc>
          <w:tcPr>
            <w:tcW w:w="300" w:type="dxa"/>
            <w:vAlign w:val="bottom"/>
            <w:tcBorders>
              <w:top w:val="single" w:sz="8" w:color="467886"/>
              <w:right w:val="single" w:sz="8" w:color="CEEEFA"/>
            </w:tcBorders>
            <w:shd w:val="clear" w:color="auto" w:fill="CEEEFA"/>
          </w:tcPr>
          <w:p>
            <w:pPr>
              <w:spacing w:after="0"/>
              <w:rPr>
                <w:sz w:val="12"/>
                <w:szCs w:val="12"/>
                <w:color w:val="auto"/>
              </w:rPr>
            </w:pPr>
          </w:p>
        </w:tc>
        <w:tc>
          <w:tcPr>
            <w:tcW w:w="120" w:type="dxa"/>
            <w:vAlign w:val="bottom"/>
            <w:tcBorders>
              <w:top w:val="single" w:sz="8" w:color="467886"/>
            </w:tcBorders>
            <w:shd w:val="clear" w:color="auto" w:fill="CEEEFA"/>
          </w:tcPr>
          <w:p>
            <w:pPr>
              <w:spacing w:after="0"/>
              <w:rPr>
                <w:sz w:val="12"/>
                <w:szCs w:val="12"/>
                <w:color w:val="auto"/>
              </w:rPr>
            </w:pPr>
          </w:p>
        </w:tc>
        <w:tc>
          <w:tcPr>
            <w:tcW w:w="240" w:type="dxa"/>
            <w:vAlign w:val="bottom"/>
            <w:tcBorders>
              <w:left w:val="single" w:sz="8" w:color="CEEEFA"/>
            </w:tcBorders>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208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00" w:type="dxa"/>
            <w:vAlign w:val="bottom"/>
            <w:tcBorders>
              <w:right w:val="single" w:sz="8" w:color="CEEEFA"/>
            </w:tcBorders>
            <w:shd w:val="clear" w:color="auto" w:fill="CEEEFA"/>
          </w:tcPr>
          <w:p>
            <w:pPr>
              <w:spacing w:after="0"/>
              <w:rPr>
                <w:sz w:val="12"/>
                <w:szCs w:val="12"/>
                <w:color w:val="auto"/>
              </w:rPr>
            </w:pPr>
          </w:p>
        </w:tc>
        <w:tc>
          <w:tcPr>
            <w:tcW w:w="8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EEEFA"/>
          </w:tcPr>
          <w:p>
            <w:pPr>
              <w:spacing w:after="0"/>
              <w:rPr>
                <w:sz w:val="15"/>
                <w:szCs w:val="15"/>
                <w:color w:val="auto"/>
              </w:rPr>
            </w:pPr>
          </w:p>
        </w:tc>
        <w:tc>
          <w:tcPr>
            <w:tcW w:w="5440" w:type="dxa"/>
            <w:vAlign w:val="bottom"/>
            <w:shd w:val="clear" w:color="auto" w:fill="CEEEFA"/>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October 3, 2024, between Consolidated Amusement</w:t>
            </w:r>
          </w:p>
        </w:tc>
        <w:tc>
          <w:tcPr>
            <w:tcW w:w="5000" w:type="dxa"/>
            <w:vAlign w:val="bottom"/>
            <w:gridSpan w:val="12"/>
            <w:shd w:val="clear" w:color="auto" w:fill="CEEEFA"/>
          </w:tcPr>
          <w:p>
            <w:pPr>
              <w:spacing w:after="0" w:line="176" w:lineRule="exact"/>
              <w:rPr>
                <w:rFonts w:ascii="Times New Roman" w:cs="Times New Roman" w:eastAsia="Times New Roman" w:hAnsi="Times New Roman"/>
                <w:sz w:val="16"/>
                <w:szCs w:val="16"/>
                <w:color w:val="auto"/>
              </w:rPr>
            </w:pPr>
            <w:hyperlink r:id="rId7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10.36 to the Company’s Annual Report on Form 10-K for</w:t>
              </w:r>
            </w:hyperlink>
          </w:p>
        </w:tc>
        <w:tc>
          <w:tcPr>
            <w:tcW w:w="0" w:type="dxa"/>
            <w:vAlign w:val="bottom"/>
          </w:tcPr>
          <w:p>
            <w:pPr>
              <w:spacing w:after="0"/>
              <w:rPr>
                <w:sz w:val="1"/>
                <w:szCs w:val="1"/>
                <w:color w:val="auto"/>
              </w:rPr>
            </w:pPr>
          </w:p>
        </w:tc>
      </w:tr>
      <w:tr>
        <w:trPr>
          <w:trHeight w:val="163"/>
        </w:trPr>
        <w:tc>
          <w:tcPr>
            <w:tcW w:w="80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10.41</w:t>
            </w:r>
          </w:p>
        </w:tc>
        <w:tc>
          <w:tcPr>
            <w:tcW w:w="5440" w:type="dxa"/>
            <w:vAlign w:val="bottom"/>
            <w:tcBorders>
              <w:top w:val="single" w:sz="8" w:color="CEEEFA"/>
            </w:tcBorders>
            <w:shd w:val="clear" w:color="auto" w:fill="CEEEFA"/>
          </w:tcPr>
          <w:p>
            <w:pPr>
              <w:ind w:left="320"/>
              <w:spacing w:after="0" w:line="15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60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rPr>
            </w:pPr>
            <w:hyperlink r:id="rId79">
              <w:r>
                <w:rPr>
                  <w:rFonts w:ascii="Times New Roman" w:cs="Times New Roman" w:eastAsia="Times New Roman" w:hAnsi="Times New Roman"/>
                  <w:sz w:val="16"/>
                  <w:szCs w:val="16"/>
                  <w:color w:val="467886"/>
                </w:rPr>
                <w:t>the year</w:t>
              </w:r>
            </w:hyperlink>
          </w:p>
        </w:tc>
        <w:tc>
          <w:tcPr>
            <w:tcW w:w="4320" w:type="dxa"/>
            <w:vAlign w:val="bottom"/>
            <w:tcBorders>
              <w:top w:val="single" w:sz="8" w:color="467886"/>
              <w:right w:val="single" w:sz="8" w:color="CEEEFA"/>
            </w:tcBorders>
            <w:gridSpan w:val="9"/>
            <w:shd w:val="clear" w:color="auto" w:fill="CEEEFA"/>
          </w:tcPr>
          <w:p>
            <w:pPr>
              <w:spacing w:after="0" w:line="155" w:lineRule="exact"/>
              <w:rPr>
                <w:rFonts w:ascii="Times New Roman" w:cs="Times New Roman" w:eastAsia="Times New Roman" w:hAnsi="Times New Roman"/>
                <w:sz w:val="16"/>
                <w:szCs w:val="16"/>
                <w:color w:val="467886"/>
              </w:rPr>
            </w:pPr>
            <w:hyperlink r:id="rId79">
              <w:r>
                <w:rPr>
                  <w:rFonts w:ascii="Times New Roman" w:cs="Times New Roman" w:eastAsia="Times New Roman" w:hAnsi="Times New Roman"/>
                  <w:sz w:val="16"/>
                  <w:szCs w:val="16"/>
                  <w:color w:val="467886"/>
                </w:rPr>
                <w:t>ended December 31, 2024</w:t>
              </w:r>
              <w:r>
                <w:rPr>
                  <w:rFonts w:ascii="Times New Roman" w:cs="Times New Roman" w:eastAsia="Times New Roman" w:hAnsi="Times New Roman"/>
                  <w:sz w:val="16"/>
                  <w:szCs w:val="16"/>
                  <w:color w:val="000000"/>
                </w:rPr>
                <w:t>, and incorporated herein by reference.</w:t>
              </w:r>
            </w:hyperlink>
          </w:p>
        </w:tc>
        <w:tc>
          <w:tcPr>
            <w:tcW w:w="80" w:type="dxa"/>
            <w:vAlign w:val="bottom"/>
            <w:tcBorders>
              <w:top w:val="single" w:sz="8" w:color="CEEEFA"/>
            </w:tcBorders>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EEEFA"/>
            </w:tcBorders>
          </w:tcPr>
          <w:p>
            <w:pPr>
              <w:spacing w:after="0"/>
              <w:rPr>
                <w:sz w:val="12"/>
                <w:szCs w:val="12"/>
                <w:color w:val="auto"/>
              </w:rPr>
            </w:pPr>
          </w:p>
        </w:tc>
        <w:tc>
          <w:tcPr>
            <w:tcW w:w="5440" w:type="dxa"/>
            <w:vAlign w:val="bottom"/>
            <w:tcBorders>
              <w:top w:val="single" w:sz="8" w:color="CEEEFA"/>
            </w:tcBorders>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Eighth Amendment to Second Amended and Restated Credit</w:t>
            </w:r>
          </w:p>
        </w:tc>
        <w:tc>
          <w:tcPr>
            <w:tcW w:w="360" w:type="dxa"/>
            <w:vAlign w:val="bottom"/>
            <w:tcBorders>
              <w:top w:val="single" w:sz="8" w:color="467886"/>
            </w:tcBorders>
          </w:tcPr>
          <w:p>
            <w:pPr>
              <w:spacing w:after="0"/>
              <w:rPr>
                <w:sz w:val="12"/>
                <w:szCs w:val="12"/>
                <w:color w:val="auto"/>
              </w:rPr>
            </w:pPr>
          </w:p>
        </w:tc>
        <w:tc>
          <w:tcPr>
            <w:tcW w:w="240" w:type="dxa"/>
            <w:vAlign w:val="bottom"/>
            <w:tcBorders>
              <w:top w:val="single" w:sz="8" w:color="467886"/>
            </w:tcBorders>
          </w:tcPr>
          <w:p>
            <w:pPr>
              <w:spacing w:after="0"/>
              <w:rPr>
                <w:sz w:val="12"/>
                <w:szCs w:val="12"/>
                <w:color w:val="auto"/>
              </w:rPr>
            </w:pPr>
          </w:p>
        </w:tc>
        <w:tc>
          <w:tcPr>
            <w:tcW w:w="1220" w:type="dxa"/>
            <w:vAlign w:val="bottom"/>
            <w:tcBorders>
              <w:top w:val="single" w:sz="8" w:color="467886"/>
            </w:tcBorders>
          </w:tcPr>
          <w:p>
            <w:pPr>
              <w:spacing w:after="0"/>
              <w:rPr>
                <w:sz w:val="12"/>
                <w:szCs w:val="12"/>
                <w:color w:val="auto"/>
              </w:rPr>
            </w:pPr>
          </w:p>
        </w:tc>
        <w:tc>
          <w:tcPr>
            <w:tcW w:w="300" w:type="dxa"/>
            <w:vAlign w:val="bottom"/>
            <w:tcBorders>
              <w:top w:val="single" w:sz="8" w:color="467886"/>
            </w:tcBorders>
          </w:tcPr>
          <w:p>
            <w:pPr>
              <w:spacing w:after="0"/>
              <w:rPr>
                <w:sz w:val="12"/>
                <w:szCs w:val="12"/>
                <w:color w:val="auto"/>
              </w:rPr>
            </w:pPr>
          </w:p>
        </w:tc>
        <w:tc>
          <w:tcPr>
            <w:tcW w:w="120" w:type="dxa"/>
            <w:vAlign w:val="bottom"/>
            <w:tcBorders>
              <w:top w:val="single" w:sz="8" w:color="467886"/>
            </w:tcBorders>
          </w:tcPr>
          <w:p>
            <w:pPr>
              <w:spacing w:after="0"/>
              <w:rPr>
                <w:sz w:val="12"/>
                <w:szCs w:val="12"/>
                <w:color w:val="auto"/>
              </w:rPr>
            </w:pPr>
          </w:p>
        </w:tc>
        <w:tc>
          <w:tcPr>
            <w:tcW w:w="240" w:type="dxa"/>
            <w:vAlign w:val="bottom"/>
            <w:tcBorders>
              <w:top w:val="single" w:sz="8" w:color="CEEEFA"/>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208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0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44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January 3, 2025, between Consolidated Amusement</w:t>
            </w:r>
          </w:p>
        </w:tc>
        <w:tc>
          <w:tcPr>
            <w:tcW w:w="5000" w:type="dxa"/>
            <w:vAlign w:val="bottom"/>
            <w:gridSpan w:val="12"/>
          </w:tcPr>
          <w:p>
            <w:pPr>
              <w:spacing w:after="0" w:line="176" w:lineRule="exact"/>
              <w:rPr>
                <w:rFonts w:ascii="Times New Roman" w:cs="Times New Roman" w:eastAsia="Times New Roman" w:hAnsi="Times New Roman"/>
                <w:sz w:val="16"/>
                <w:szCs w:val="16"/>
                <w:color w:val="auto"/>
              </w:rPr>
            </w:pPr>
            <w:hyperlink r:id="rId8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10.37 to the Company’s Annual Report on Form 10-K for</w:t>
              </w:r>
            </w:hyperlink>
          </w:p>
        </w:tc>
        <w:tc>
          <w:tcPr>
            <w:tcW w:w="0" w:type="dxa"/>
            <w:vAlign w:val="bottom"/>
          </w:tcPr>
          <w:p>
            <w:pPr>
              <w:spacing w:after="0"/>
              <w:rPr>
                <w:sz w:val="1"/>
                <w:szCs w:val="1"/>
                <w:color w:val="auto"/>
              </w:rPr>
            </w:pPr>
          </w:p>
        </w:tc>
      </w:tr>
      <w:tr>
        <w:trPr>
          <w:trHeight w:val="163"/>
        </w:trPr>
        <w:tc>
          <w:tcPr>
            <w:tcW w:w="8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10.42</w:t>
            </w:r>
          </w:p>
        </w:tc>
        <w:tc>
          <w:tcPr>
            <w:tcW w:w="544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600" w:type="dxa"/>
            <w:vAlign w:val="bottom"/>
            <w:gridSpan w:val="2"/>
          </w:tcPr>
          <w:p>
            <w:pPr>
              <w:spacing w:after="0" w:line="155" w:lineRule="exact"/>
              <w:rPr>
                <w:rFonts w:ascii="Times New Roman" w:cs="Times New Roman" w:eastAsia="Times New Roman" w:hAnsi="Times New Roman"/>
                <w:sz w:val="16"/>
                <w:szCs w:val="16"/>
                <w:color w:val="467886"/>
              </w:rPr>
            </w:pPr>
            <w:hyperlink r:id="rId80">
              <w:r>
                <w:rPr>
                  <w:rFonts w:ascii="Times New Roman" w:cs="Times New Roman" w:eastAsia="Times New Roman" w:hAnsi="Times New Roman"/>
                  <w:sz w:val="16"/>
                  <w:szCs w:val="16"/>
                  <w:color w:val="467886"/>
                </w:rPr>
                <w:t>the year</w:t>
              </w:r>
            </w:hyperlink>
          </w:p>
        </w:tc>
        <w:tc>
          <w:tcPr>
            <w:tcW w:w="4320" w:type="dxa"/>
            <w:vAlign w:val="bottom"/>
            <w:tcBorders>
              <w:top w:val="single" w:sz="8" w:color="467886"/>
            </w:tcBorders>
            <w:gridSpan w:val="9"/>
          </w:tcPr>
          <w:p>
            <w:pPr>
              <w:spacing w:after="0" w:line="155" w:lineRule="exact"/>
              <w:rPr>
                <w:rFonts w:ascii="Times New Roman" w:cs="Times New Roman" w:eastAsia="Times New Roman" w:hAnsi="Times New Roman"/>
                <w:sz w:val="16"/>
                <w:szCs w:val="16"/>
                <w:color w:val="467886"/>
              </w:rPr>
            </w:pPr>
            <w:hyperlink r:id="rId80">
              <w:r>
                <w:rPr>
                  <w:rFonts w:ascii="Times New Roman" w:cs="Times New Roman" w:eastAsia="Times New Roman" w:hAnsi="Times New Roman"/>
                  <w:sz w:val="16"/>
                  <w:szCs w:val="16"/>
                  <w:color w:val="467886"/>
                </w:rPr>
                <w:t>ended December 31, 2024</w:t>
              </w:r>
              <w:r>
                <w:rPr>
                  <w:rFonts w:ascii="Times New Roman" w:cs="Times New Roman" w:eastAsia="Times New Roman" w:hAnsi="Times New Roman"/>
                  <w:sz w:val="16"/>
                  <w:szCs w:val="16"/>
                  <w:color w:val="000000"/>
                </w:rPr>
                <w:t>, and incorporated herein by reference.</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EEEFA"/>
          </w:tcPr>
          <w:p>
            <w:pPr>
              <w:spacing w:after="0"/>
              <w:rPr>
                <w:sz w:val="12"/>
                <w:szCs w:val="12"/>
                <w:color w:val="auto"/>
              </w:rPr>
            </w:pPr>
          </w:p>
        </w:tc>
        <w:tc>
          <w:tcPr>
            <w:tcW w:w="5440" w:type="dxa"/>
            <w:vAlign w:val="bottom"/>
            <w:shd w:val="clear" w:color="auto" w:fill="CEEEFA"/>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Ninth Amendment to Second Amended and Restated Credit</w:t>
            </w:r>
          </w:p>
        </w:tc>
        <w:tc>
          <w:tcPr>
            <w:tcW w:w="360" w:type="dxa"/>
            <w:vAlign w:val="bottom"/>
            <w:tcBorders>
              <w:top w:val="single" w:sz="8" w:color="467886"/>
            </w:tcBorders>
            <w:shd w:val="clear" w:color="auto" w:fill="CEEEFA"/>
          </w:tcPr>
          <w:p>
            <w:pPr>
              <w:spacing w:after="0"/>
              <w:rPr>
                <w:sz w:val="12"/>
                <w:szCs w:val="12"/>
                <w:color w:val="auto"/>
              </w:rPr>
            </w:pPr>
          </w:p>
        </w:tc>
        <w:tc>
          <w:tcPr>
            <w:tcW w:w="240" w:type="dxa"/>
            <w:vAlign w:val="bottom"/>
            <w:tcBorders>
              <w:top w:val="single" w:sz="8" w:color="467886"/>
              <w:right w:val="single" w:sz="8" w:color="CEEEFA"/>
            </w:tcBorders>
            <w:shd w:val="clear" w:color="auto" w:fill="CEEEFA"/>
          </w:tcPr>
          <w:p>
            <w:pPr>
              <w:spacing w:after="0"/>
              <w:rPr>
                <w:sz w:val="12"/>
                <w:szCs w:val="12"/>
                <w:color w:val="auto"/>
              </w:rPr>
            </w:pPr>
          </w:p>
        </w:tc>
        <w:tc>
          <w:tcPr>
            <w:tcW w:w="1220" w:type="dxa"/>
            <w:vAlign w:val="bottom"/>
            <w:tcBorders>
              <w:top w:val="single" w:sz="8" w:color="467886"/>
            </w:tcBorders>
            <w:shd w:val="clear" w:color="auto" w:fill="CEEEFA"/>
          </w:tcPr>
          <w:p>
            <w:pPr>
              <w:spacing w:after="0"/>
              <w:rPr>
                <w:sz w:val="12"/>
                <w:szCs w:val="12"/>
                <w:color w:val="auto"/>
              </w:rPr>
            </w:pPr>
          </w:p>
        </w:tc>
        <w:tc>
          <w:tcPr>
            <w:tcW w:w="300" w:type="dxa"/>
            <w:vAlign w:val="bottom"/>
            <w:tcBorders>
              <w:top w:val="single" w:sz="8" w:color="467886"/>
              <w:right w:val="single" w:sz="8" w:color="CEEEFA"/>
            </w:tcBorders>
            <w:shd w:val="clear" w:color="auto" w:fill="CEEEFA"/>
          </w:tcPr>
          <w:p>
            <w:pPr>
              <w:spacing w:after="0"/>
              <w:rPr>
                <w:sz w:val="12"/>
                <w:szCs w:val="12"/>
                <w:color w:val="auto"/>
              </w:rPr>
            </w:pPr>
          </w:p>
        </w:tc>
        <w:tc>
          <w:tcPr>
            <w:tcW w:w="120" w:type="dxa"/>
            <w:vAlign w:val="bottom"/>
            <w:tcBorders>
              <w:top w:val="single" w:sz="8" w:color="467886"/>
            </w:tcBorders>
            <w:shd w:val="clear" w:color="auto" w:fill="CEEEFA"/>
          </w:tcPr>
          <w:p>
            <w:pPr>
              <w:spacing w:after="0"/>
              <w:rPr>
                <w:sz w:val="12"/>
                <w:szCs w:val="12"/>
                <w:color w:val="auto"/>
              </w:rPr>
            </w:pPr>
          </w:p>
        </w:tc>
        <w:tc>
          <w:tcPr>
            <w:tcW w:w="240" w:type="dxa"/>
            <w:vAlign w:val="bottom"/>
            <w:tcBorders>
              <w:left w:val="single" w:sz="8" w:color="CEEEFA"/>
            </w:tcBorders>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208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00" w:type="dxa"/>
            <w:vAlign w:val="bottom"/>
            <w:tcBorders>
              <w:right w:val="single" w:sz="8" w:color="CEEEFA"/>
            </w:tcBorders>
            <w:shd w:val="clear" w:color="auto" w:fill="CEEEFA"/>
          </w:tcPr>
          <w:p>
            <w:pPr>
              <w:spacing w:after="0"/>
              <w:rPr>
                <w:sz w:val="12"/>
                <w:szCs w:val="12"/>
                <w:color w:val="auto"/>
              </w:rPr>
            </w:pPr>
          </w:p>
        </w:tc>
        <w:tc>
          <w:tcPr>
            <w:tcW w:w="8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EEEFA"/>
          </w:tcPr>
          <w:p>
            <w:pPr>
              <w:spacing w:after="0"/>
              <w:rPr>
                <w:sz w:val="15"/>
                <w:szCs w:val="15"/>
                <w:color w:val="auto"/>
              </w:rPr>
            </w:pPr>
          </w:p>
        </w:tc>
        <w:tc>
          <w:tcPr>
            <w:tcW w:w="10440" w:type="dxa"/>
            <w:vAlign w:val="bottom"/>
            <w:gridSpan w:val="13"/>
            <w:shd w:val="clear" w:color="auto" w:fill="CEEEFA"/>
          </w:tcPr>
          <w:p>
            <w:pPr>
              <w:ind w:left="320"/>
              <w:spacing w:after="0" w:line="176"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Agreement, dated April 3, 2025, between Consolidated Amusement Holdings, </w:t>
            </w:r>
            <w:hyperlink r:id="rId8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10.43</w:t>
            </w:r>
          </w:p>
        </w:tc>
        <w:tc>
          <w:tcPr>
            <w:tcW w:w="5440" w:type="dxa"/>
            <w:vAlign w:val="bottom"/>
            <w:vMerge w:val="restart"/>
            <w:shd w:val="clear" w:color="auto" w:fill="CEEEFA"/>
          </w:tcPr>
          <w:p>
            <w:pPr>
              <w:ind w:left="320"/>
              <w:spacing w:after="0" w:line="175" w:lineRule="exact"/>
              <w:rPr>
                <w:sz w:val="20"/>
                <w:szCs w:val="20"/>
                <w:color w:val="auto"/>
              </w:rPr>
            </w:pPr>
            <w:r>
              <w:rPr>
                <w:rFonts w:ascii="Times New Roman" w:cs="Times New Roman" w:eastAsia="Times New Roman" w:hAnsi="Times New Roman"/>
                <w:sz w:val="16"/>
                <w:szCs w:val="16"/>
                <w:color w:val="auto"/>
              </w:rPr>
              <w:t>LLC, and Bank of America, N.A.</w:t>
            </w:r>
          </w:p>
        </w:tc>
        <w:tc>
          <w:tcPr>
            <w:tcW w:w="360" w:type="dxa"/>
            <w:vAlign w:val="bottom"/>
            <w:shd w:val="clear" w:color="auto" w:fill="CEEEFA"/>
          </w:tcPr>
          <w:p>
            <w:pPr>
              <w:spacing w:after="0" w:line="20" w:lineRule="exact"/>
              <w:rPr>
                <w:sz w:val="1"/>
                <w:szCs w:val="1"/>
                <w:color w:val="auto"/>
              </w:rPr>
            </w:pPr>
          </w:p>
        </w:tc>
        <w:tc>
          <w:tcPr>
            <w:tcW w:w="240" w:type="dxa"/>
            <w:vAlign w:val="bottom"/>
            <w:tcBorders>
              <w:right w:val="single" w:sz="8" w:color="467886"/>
            </w:tcBorders>
            <w:shd w:val="clear" w:color="auto" w:fill="CEEEFA"/>
          </w:tcPr>
          <w:p>
            <w:pPr>
              <w:spacing w:after="0" w:line="20" w:lineRule="exact"/>
              <w:rPr>
                <w:sz w:val="1"/>
                <w:szCs w:val="1"/>
                <w:color w:val="auto"/>
              </w:rPr>
            </w:pPr>
          </w:p>
        </w:tc>
        <w:tc>
          <w:tcPr>
            <w:tcW w:w="1520" w:type="dxa"/>
            <w:vAlign w:val="bottom"/>
            <w:tcBorders>
              <w:right w:val="single" w:sz="8" w:color="467886"/>
            </w:tcBorders>
            <w:gridSpan w:val="2"/>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60" w:type="dxa"/>
            <w:vAlign w:val="bottom"/>
            <w:tcBorders>
              <w:left w:val="single" w:sz="8" w:color="467886"/>
            </w:tcBorders>
            <w:gridSpan w:val="2"/>
            <w:shd w:val="clear" w:color="auto" w:fill="467886"/>
          </w:tcPr>
          <w:p>
            <w:pPr>
              <w:spacing w:after="0" w:line="20" w:lineRule="exact"/>
              <w:rPr>
                <w:sz w:val="1"/>
                <w:szCs w:val="1"/>
                <w:color w:val="auto"/>
              </w:rPr>
            </w:pPr>
          </w:p>
        </w:tc>
        <w:tc>
          <w:tcPr>
            <w:tcW w:w="2320" w:type="dxa"/>
            <w:vAlign w:val="bottom"/>
            <w:gridSpan w:val="3"/>
            <w:shd w:val="clear" w:color="auto" w:fill="467886"/>
          </w:tcPr>
          <w:p>
            <w:pPr>
              <w:spacing w:after="0" w:line="20" w:lineRule="exact"/>
              <w:rPr>
                <w:sz w:val="1"/>
                <w:szCs w:val="1"/>
                <w:color w:val="auto"/>
              </w:rPr>
            </w:pPr>
          </w:p>
        </w:tc>
        <w:tc>
          <w:tcPr>
            <w:tcW w:w="10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shd w:val="clear" w:color="auto" w:fill="CEEEFA"/>
          </w:tcPr>
          <w:p>
            <w:pPr>
              <w:spacing w:after="0"/>
              <w:rPr>
                <w:sz w:val="13"/>
                <w:szCs w:val="13"/>
                <w:color w:val="auto"/>
              </w:rPr>
            </w:pPr>
          </w:p>
        </w:tc>
        <w:tc>
          <w:tcPr>
            <w:tcW w:w="5440" w:type="dxa"/>
            <w:vAlign w:val="bottom"/>
            <w:vMerge w:val="continue"/>
            <w:shd w:val="clear" w:color="auto" w:fill="CEEEFA"/>
          </w:tcPr>
          <w:p>
            <w:pPr>
              <w:spacing w:after="0"/>
              <w:rPr>
                <w:sz w:val="13"/>
                <w:szCs w:val="13"/>
                <w:color w:val="auto"/>
              </w:rPr>
            </w:pPr>
          </w:p>
        </w:tc>
        <w:tc>
          <w:tcPr>
            <w:tcW w:w="4920" w:type="dxa"/>
            <w:vAlign w:val="bottom"/>
            <w:tcBorders>
              <w:right w:val="single" w:sz="8" w:color="CEEEFA"/>
            </w:tcBorders>
            <w:gridSpan w:val="11"/>
            <w:shd w:val="clear" w:color="auto" w:fill="CEEEFA"/>
          </w:tcPr>
          <w:p>
            <w:pPr>
              <w:spacing w:after="0" w:line="155" w:lineRule="exact"/>
              <w:rPr>
                <w:rFonts w:ascii="Times New Roman" w:cs="Times New Roman" w:eastAsia="Times New Roman" w:hAnsi="Times New Roman"/>
                <w:sz w:val="16"/>
                <w:szCs w:val="16"/>
                <w:color w:val="467886"/>
              </w:rPr>
            </w:pPr>
            <w:hyperlink r:id="rId81">
              <w:r>
                <w:rPr>
                  <w:rFonts w:ascii="Times New Roman" w:cs="Times New Roman" w:eastAsia="Times New Roman" w:hAnsi="Times New Roman"/>
                  <w:sz w:val="16"/>
                  <w:szCs w:val="16"/>
                  <w:color w:val="467886"/>
                </w:rPr>
                <w:t>the Quarter ended June 30, 2025</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EEEFA"/>
          </w:tcPr>
          <w:p>
            <w:pPr>
              <w:spacing w:after="0"/>
              <w:rPr>
                <w:sz w:val="2"/>
                <w:szCs w:val="2"/>
                <w:color w:val="auto"/>
              </w:rPr>
            </w:pPr>
          </w:p>
        </w:tc>
        <w:tc>
          <w:tcPr>
            <w:tcW w:w="5440" w:type="dxa"/>
            <w:vAlign w:val="bottom"/>
            <w:shd w:val="clear" w:color="auto" w:fill="CEEEFA"/>
          </w:tcPr>
          <w:p>
            <w:pPr>
              <w:spacing w:after="0"/>
              <w:rPr>
                <w:sz w:val="2"/>
                <w:szCs w:val="2"/>
                <w:color w:val="auto"/>
              </w:rPr>
            </w:pPr>
          </w:p>
        </w:tc>
        <w:tc>
          <w:tcPr>
            <w:tcW w:w="360" w:type="dxa"/>
            <w:vAlign w:val="bottom"/>
            <w:shd w:val="clear" w:color="auto" w:fill="467886"/>
          </w:tcPr>
          <w:p>
            <w:pPr>
              <w:spacing w:after="0"/>
              <w:rPr>
                <w:sz w:val="2"/>
                <w:szCs w:val="2"/>
                <w:color w:val="auto"/>
              </w:rPr>
            </w:pPr>
          </w:p>
        </w:tc>
        <w:tc>
          <w:tcPr>
            <w:tcW w:w="240" w:type="dxa"/>
            <w:vAlign w:val="bottom"/>
            <w:tcBorders>
              <w:right w:val="single" w:sz="8" w:color="467886"/>
            </w:tcBorders>
            <w:shd w:val="clear" w:color="auto" w:fill="467886"/>
          </w:tcPr>
          <w:p>
            <w:pPr>
              <w:spacing w:after="0"/>
              <w:rPr>
                <w:sz w:val="2"/>
                <w:szCs w:val="2"/>
                <w:color w:val="auto"/>
              </w:rPr>
            </w:pPr>
          </w:p>
        </w:tc>
        <w:tc>
          <w:tcPr>
            <w:tcW w:w="1220" w:type="dxa"/>
            <w:vAlign w:val="bottom"/>
            <w:shd w:val="clear" w:color="auto" w:fill="467886"/>
          </w:tcPr>
          <w:p>
            <w:pPr>
              <w:spacing w:after="0"/>
              <w:rPr>
                <w:sz w:val="2"/>
                <w:szCs w:val="2"/>
                <w:color w:val="auto"/>
              </w:rPr>
            </w:pPr>
          </w:p>
        </w:tc>
        <w:tc>
          <w:tcPr>
            <w:tcW w:w="300" w:type="dxa"/>
            <w:vAlign w:val="bottom"/>
            <w:tcBorders>
              <w:right w:val="single" w:sz="8" w:color="467886"/>
            </w:tcBorders>
            <w:shd w:val="clear" w:color="auto" w:fill="467886"/>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24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208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100" w:type="dxa"/>
            <w:vAlign w:val="bottom"/>
            <w:tcBorders>
              <w:right w:val="single" w:sz="8" w:color="CEEEFA"/>
            </w:tcBorders>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5440" w:type="dxa"/>
            <w:vAlign w:val="bottom"/>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Tenth Amendment to Second Amended and Restated Credit</w:t>
            </w:r>
          </w:p>
        </w:tc>
        <w:tc>
          <w:tcPr>
            <w:tcW w:w="5000" w:type="dxa"/>
            <w:vAlign w:val="bottom"/>
            <w:gridSpan w:val="12"/>
          </w:tcPr>
          <w:p>
            <w:pPr>
              <w:spacing w:after="0" w:line="148" w:lineRule="exact"/>
              <w:rPr>
                <w:rFonts w:ascii="Times New Roman" w:cs="Times New Roman" w:eastAsia="Times New Roman" w:hAnsi="Times New Roman"/>
                <w:sz w:val="16"/>
                <w:szCs w:val="16"/>
                <w:color w:val="auto"/>
              </w:rPr>
            </w:pPr>
            <w:hyperlink r:id="rId8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40" w:type="dxa"/>
            <w:vAlign w:val="bottom"/>
            <w:vMerge w:val="restart"/>
          </w:tcPr>
          <w:p>
            <w:pPr>
              <w:ind w:left="320"/>
              <w:spacing w:after="0" w:line="175" w:lineRule="exact"/>
              <w:rPr>
                <w:sz w:val="20"/>
                <w:szCs w:val="20"/>
                <w:color w:val="auto"/>
              </w:rPr>
            </w:pPr>
            <w:r>
              <w:rPr>
                <w:rFonts w:ascii="Times New Roman" w:cs="Times New Roman" w:eastAsia="Times New Roman" w:hAnsi="Times New Roman"/>
                <w:sz w:val="16"/>
                <w:szCs w:val="16"/>
                <w:color w:val="auto"/>
              </w:rPr>
              <w:t>Agreement, dated July 3, 2025, between Consolidated Amusement Holdings,</w:t>
            </w:r>
          </w:p>
        </w:tc>
        <w:tc>
          <w:tcPr>
            <w:tcW w:w="360" w:type="dxa"/>
            <w:vAlign w:val="bottom"/>
          </w:tcPr>
          <w:p>
            <w:pPr>
              <w:spacing w:after="0" w:line="20" w:lineRule="exact"/>
              <w:rPr>
                <w:sz w:val="1"/>
                <w:szCs w:val="1"/>
                <w:color w:val="auto"/>
              </w:rPr>
            </w:pPr>
          </w:p>
        </w:tc>
        <w:tc>
          <w:tcPr>
            <w:tcW w:w="240" w:type="dxa"/>
            <w:vAlign w:val="bottom"/>
            <w:tcBorders>
              <w:right w:val="single" w:sz="8" w:color="467886"/>
            </w:tcBorders>
          </w:tcPr>
          <w:p>
            <w:pPr>
              <w:spacing w:after="0" w:line="20" w:lineRule="exact"/>
              <w:rPr>
                <w:sz w:val="1"/>
                <w:szCs w:val="1"/>
                <w:color w:val="auto"/>
              </w:rPr>
            </w:pPr>
          </w:p>
        </w:tc>
        <w:tc>
          <w:tcPr>
            <w:tcW w:w="1640" w:type="dxa"/>
            <w:vAlign w:val="bottom"/>
            <w:gridSpan w:val="3"/>
            <w:shd w:val="clear" w:color="auto" w:fill="467886"/>
          </w:tcPr>
          <w:p>
            <w:pPr>
              <w:spacing w:after="0" w:line="20" w:lineRule="exact"/>
              <w:rPr>
                <w:sz w:val="1"/>
                <w:szCs w:val="1"/>
                <w:color w:val="auto"/>
              </w:rPr>
            </w:pPr>
          </w:p>
        </w:tc>
        <w:tc>
          <w:tcPr>
            <w:tcW w:w="260" w:type="dxa"/>
            <w:vAlign w:val="bottom"/>
            <w:tcBorders>
              <w:left w:val="single" w:sz="8" w:color="467886"/>
            </w:tcBorders>
            <w:gridSpan w:val="2"/>
            <w:shd w:val="clear" w:color="auto" w:fill="467886"/>
          </w:tcPr>
          <w:p>
            <w:pPr>
              <w:spacing w:after="0" w:line="20" w:lineRule="exact"/>
              <w:rPr>
                <w:sz w:val="1"/>
                <w:szCs w:val="1"/>
                <w:color w:val="auto"/>
              </w:rPr>
            </w:pPr>
          </w:p>
        </w:tc>
        <w:tc>
          <w:tcPr>
            <w:tcW w:w="2320" w:type="dxa"/>
            <w:vAlign w:val="bottom"/>
            <w:gridSpan w:val="3"/>
            <w:shd w:val="clear" w:color="auto" w:fill="467886"/>
          </w:tcPr>
          <w:p>
            <w:pPr>
              <w:spacing w:after="0" w:line="20" w:lineRule="exact"/>
              <w:rPr>
                <w:sz w:val="1"/>
                <w:szCs w:val="1"/>
                <w:color w:val="auto"/>
              </w:rPr>
            </w:pPr>
          </w:p>
        </w:tc>
        <w:tc>
          <w:tcPr>
            <w:tcW w:w="10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5440" w:type="dxa"/>
            <w:vAlign w:val="bottom"/>
            <w:vMerge w:val="continue"/>
          </w:tcPr>
          <w:p>
            <w:pPr>
              <w:spacing w:after="0"/>
              <w:rPr>
                <w:sz w:val="13"/>
                <w:szCs w:val="13"/>
                <w:color w:val="auto"/>
              </w:rPr>
            </w:pPr>
          </w:p>
        </w:tc>
        <w:tc>
          <w:tcPr>
            <w:tcW w:w="4920" w:type="dxa"/>
            <w:vAlign w:val="bottom"/>
            <w:gridSpan w:val="11"/>
          </w:tcPr>
          <w:p>
            <w:pPr>
              <w:spacing w:after="0" w:line="155" w:lineRule="exact"/>
              <w:rPr>
                <w:rFonts w:ascii="Times New Roman" w:cs="Times New Roman" w:eastAsia="Times New Roman" w:hAnsi="Times New Roman"/>
                <w:sz w:val="16"/>
                <w:szCs w:val="16"/>
                <w:color w:val="467886"/>
              </w:rPr>
            </w:pPr>
            <w:hyperlink r:id="rId82">
              <w:r>
                <w:rPr>
                  <w:rFonts w:ascii="Times New Roman" w:cs="Times New Roman" w:eastAsia="Times New Roman" w:hAnsi="Times New Roman"/>
                  <w:sz w:val="16"/>
                  <w:szCs w:val="16"/>
                  <w:color w:val="467886"/>
                </w:rPr>
                <w:t>the Quarter ended September 30, 2025</w:t>
              </w:r>
              <w:r>
                <w:rPr>
                  <w:rFonts w:ascii="Times New Roman" w:cs="Times New Roman" w:eastAsia="Times New Roman" w:hAnsi="Times New Roman"/>
                  <w:sz w:val="16"/>
                  <w:szCs w:val="16"/>
                  <w:color w:val="000000"/>
                </w:rPr>
                <w:t>, and incorporated herein by</w:t>
              </w:r>
            </w:hyperlink>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10.44†</w:t>
            </w:r>
          </w:p>
        </w:tc>
        <w:tc>
          <w:tcPr>
            <w:tcW w:w="5440" w:type="dxa"/>
            <w:vAlign w:val="bottom"/>
          </w:tcPr>
          <w:p>
            <w:pPr>
              <w:ind w:left="320"/>
              <w:spacing w:after="0" w:line="183" w:lineRule="exact"/>
              <w:rPr>
                <w:sz w:val="20"/>
                <w:szCs w:val="20"/>
                <w:color w:val="auto"/>
              </w:rPr>
            </w:pPr>
            <w:r>
              <w:rPr>
                <w:rFonts w:ascii="Times New Roman" w:cs="Times New Roman" w:eastAsia="Times New Roman" w:hAnsi="Times New Roman"/>
                <w:sz w:val="16"/>
                <w:szCs w:val="16"/>
                <w:color w:val="auto"/>
              </w:rPr>
              <w:t>LLC, and Bank of America, N.A.</w:t>
            </w:r>
          </w:p>
        </w:tc>
        <w:tc>
          <w:tcPr>
            <w:tcW w:w="2500" w:type="dxa"/>
            <w:vAlign w:val="bottom"/>
            <w:tcBorders>
              <w:top w:val="single" w:sz="8" w:color="467886"/>
            </w:tcBorders>
            <w:gridSpan w:val="7"/>
          </w:tcPr>
          <w:p>
            <w:pPr>
              <w:spacing w:after="0" w:line="183" w:lineRule="exact"/>
              <w:rPr>
                <w:sz w:val="20"/>
                <w:szCs w:val="20"/>
                <w:color w:val="auto"/>
              </w:rPr>
            </w:pPr>
            <w:r>
              <w:rPr>
                <w:rFonts w:ascii="Times New Roman" w:cs="Times New Roman" w:eastAsia="Times New Roman" w:hAnsi="Times New Roman"/>
                <w:sz w:val="16"/>
                <w:szCs w:val="16"/>
                <w:color w:val="auto"/>
              </w:rPr>
              <w:t>reference.</w:t>
            </w:r>
          </w:p>
        </w:tc>
        <w:tc>
          <w:tcPr>
            <w:tcW w:w="232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EEEFA"/>
          </w:tcPr>
          <w:p>
            <w:pPr>
              <w:spacing w:after="0"/>
              <w:rPr>
                <w:sz w:val="12"/>
                <w:szCs w:val="12"/>
                <w:color w:val="auto"/>
              </w:rPr>
            </w:pPr>
          </w:p>
        </w:tc>
        <w:tc>
          <w:tcPr>
            <w:tcW w:w="5440" w:type="dxa"/>
            <w:vAlign w:val="bottom"/>
            <w:shd w:val="clear" w:color="auto" w:fill="CEEEFA"/>
          </w:tcPr>
          <w:p>
            <w:pPr>
              <w:ind w:left="320"/>
              <w:spacing w:after="0" w:line="148" w:lineRule="exact"/>
              <w:rPr>
                <w:sz w:val="20"/>
                <w:szCs w:val="20"/>
                <w:color w:val="auto"/>
              </w:rPr>
            </w:pPr>
            <w:r>
              <w:rPr>
                <w:rFonts w:ascii="Times New Roman" w:cs="Times New Roman" w:eastAsia="Times New Roman" w:hAnsi="Times New Roman"/>
                <w:sz w:val="16"/>
                <w:szCs w:val="16"/>
                <w:color w:val="auto"/>
              </w:rPr>
              <w:t>Waiver and Eleventh Amendment to Second Amended and Restated Credit</w:t>
            </w:r>
          </w:p>
        </w:tc>
        <w:tc>
          <w:tcPr>
            <w:tcW w:w="360" w:type="dxa"/>
            <w:vAlign w:val="bottom"/>
            <w:shd w:val="clear" w:color="auto" w:fill="CEEEFA"/>
          </w:tcPr>
          <w:p>
            <w:pPr>
              <w:spacing w:after="0"/>
              <w:rPr>
                <w:sz w:val="12"/>
                <w:szCs w:val="12"/>
                <w:color w:val="auto"/>
              </w:rPr>
            </w:pPr>
          </w:p>
        </w:tc>
        <w:tc>
          <w:tcPr>
            <w:tcW w:w="240" w:type="dxa"/>
            <w:vAlign w:val="bottom"/>
            <w:tcBorders>
              <w:right w:val="single" w:sz="8" w:color="CEEEFA"/>
            </w:tcBorders>
            <w:shd w:val="clear" w:color="auto" w:fill="CEEEFA"/>
          </w:tcPr>
          <w:p>
            <w:pPr>
              <w:spacing w:after="0"/>
              <w:rPr>
                <w:sz w:val="12"/>
                <w:szCs w:val="12"/>
                <w:color w:val="auto"/>
              </w:rPr>
            </w:pPr>
          </w:p>
        </w:tc>
        <w:tc>
          <w:tcPr>
            <w:tcW w:w="1220" w:type="dxa"/>
            <w:vAlign w:val="bottom"/>
            <w:shd w:val="clear" w:color="auto" w:fill="CEEEFA"/>
          </w:tcPr>
          <w:p>
            <w:pPr>
              <w:spacing w:after="0"/>
              <w:rPr>
                <w:sz w:val="12"/>
                <w:szCs w:val="12"/>
                <w:color w:val="auto"/>
              </w:rPr>
            </w:pPr>
          </w:p>
        </w:tc>
        <w:tc>
          <w:tcPr>
            <w:tcW w:w="300" w:type="dxa"/>
            <w:vAlign w:val="bottom"/>
            <w:tcBorders>
              <w:right w:val="single" w:sz="8" w:color="CEEEFA"/>
            </w:tcBorders>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240" w:type="dxa"/>
            <w:vAlign w:val="bottom"/>
            <w:tcBorders>
              <w:left w:val="single" w:sz="8" w:color="CEEEFA"/>
            </w:tcBorders>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208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20" w:type="dxa"/>
            <w:vAlign w:val="bottom"/>
            <w:shd w:val="clear" w:color="auto" w:fill="CEEEFA"/>
          </w:tcPr>
          <w:p>
            <w:pPr>
              <w:spacing w:after="0"/>
              <w:rPr>
                <w:sz w:val="12"/>
                <w:szCs w:val="12"/>
                <w:color w:val="auto"/>
              </w:rPr>
            </w:pPr>
          </w:p>
        </w:tc>
        <w:tc>
          <w:tcPr>
            <w:tcW w:w="100" w:type="dxa"/>
            <w:vAlign w:val="bottom"/>
            <w:tcBorders>
              <w:right w:val="single" w:sz="8" w:color="CEEEFA"/>
            </w:tcBorders>
            <w:shd w:val="clear" w:color="auto" w:fill="CEEEFA"/>
          </w:tcPr>
          <w:p>
            <w:pPr>
              <w:spacing w:after="0"/>
              <w:rPr>
                <w:sz w:val="12"/>
                <w:szCs w:val="12"/>
                <w:color w:val="auto"/>
              </w:rPr>
            </w:pPr>
          </w:p>
        </w:tc>
        <w:tc>
          <w:tcPr>
            <w:tcW w:w="8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EEEFA"/>
          </w:tcPr>
          <w:p>
            <w:pPr>
              <w:spacing w:after="0"/>
              <w:rPr>
                <w:sz w:val="15"/>
                <w:szCs w:val="15"/>
                <w:color w:val="auto"/>
              </w:rPr>
            </w:pPr>
          </w:p>
        </w:tc>
        <w:tc>
          <w:tcPr>
            <w:tcW w:w="5440" w:type="dxa"/>
            <w:vAlign w:val="bottom"/>
            <w:shd w:val="clear" w:color="auto" w:fill="CEEEFA"/>
          </w:tcPr>
          <w:p>
            <w:pPr>
              <w:ind w:left="320"/>
              <w:spacing w:after="0" w:line="176" w:lineRule="exact"/>
              <w:rPr>
                <w:sz w:val="20"/>
                <w:szCs w:val="20"/>
                <w:color w:val="auto"/>
              </w:rPr>
            </w:pPr>
            <w:r>
              <w:rPr>
                <w:rFonts w:ascii="Times New Roman" w:cs="Times New Roman" w:eastAsia="Times New Roman" w:hAnsi="Times New Roman"/>
                <w:sz w:val="16"/>
                <w:szCs w:val="16"/>
                <w:color w:val="auto"/>
              </w:rPr>
              <w:t>Agreement, dated December 29, 2025, between Consolidated Amusement</w:t>
            </w:r>
          </w:p>
        </w:tc>
        <w:tc>
          <w:tcPr>
            <w:tcW w:w="5000" w:type="dxa"/>
            <w:vAlign w:val="bottom"/>
            <w:gridSpan w:val="12"/>
            <w:shd w:val="clear" w:color="auto" w:fill="CEEEFA"/>
          </w:tcPr>
          <w:p>
            <w:pPr>
              <w:spacing w:after="0" w:line="176" w:lineRule="exact"/>
              <w:rPr>
                <w:rFonts w:ascii="Times New Roman" w:cs="Times New Roman" w:eastAsia="Times New Roman" w:hAnsi="Times New Roman"/>
                <w:sz w:val="16"/>
                <w:szCs w:val="16"/>
                <w:color w:val="auto"/>
              </w:rPr>
            </w:pPr>
            <w:hyperlink r:id="rId8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10.45 to the Company’s Annual Report on Form 10-K for</w:t>
              </w:r>
            </w:hyperlink>
          </w:p>
        </w:tc>
        <w:tc>
          <w:tcPr>
            <w:tcW w:w="0" w:type="dxa"/>
            <w:vAlign w:val="bottom"/>
          </w:tcPr>
          <w:p>
            <w:pPr>
              <w:spacing w:after="0"/>
              <w:rPr>
                <w:sz w:val="1"/>
                <w:szCs w:val="1"/>
                <w:color w:val="auto"/>
              </w:rPr>
            </w:pPr>
          </w:p>
        </w:tc>
      </w:tr>
      <w:tr>
        <w:trPr>
          <w:trHeight w:val="155"/>
        </w:trPr>
        <w:tc>
          <w:tcPr>
            <w:tcW w:w="800" w:type="dxa"/>
            <w:vAlign w:val="bottom"/>
            <w:tcBorders>
              <w:top w:val="single" w:sz="8" w:color="CEEEFA"/>
            </w:tcBorders>
            <w:shd w:val="clear" w:color="auto" w:fill="CEEEFA"/>
          </w:tcPr>
          <w:p>
            <w:pPr>
              <w:ind w:left="20"/>
              <w:spacing w:after="0" w:line="155" w:lineRule="exact"/>
              <w:rPr>
                <w:sz w:val="20"/>
                <w:szCs w:val="20"/>
                <w:color w:val="auto"/>
              </w:rPr>
            </w:pPr>
            <w:r>
              <w:rPr>
                <w:rFonts w:ascii="Times New Roman" w:cs="Times New Roman" w:eastAsia="Times New Roman" w:hAnsi="Times New Roman"/>
                <w:sz w:val="16"/>
                <w:szCs w:val="16"/>
                <w:color w:val="auto"/>
              </w:rPr>
              <w:t>10.45†</w:t>
            </w:r>
          </w:p>
        </w:tc>
        <w:tc>
          <w:tcPr>
            <w:tcW w:w="5440" w:type="dxa"/>
            <w:vAlign w:val="bottom"/>
            <w:tcBorders>
              <w:top w:val="single" w:sz="8" w:color="CEEEFA"/>
            </w:tcBorders>
            <w:shd w:val="clear" w:color="auto" w:fill="CEEEFA"/>
          </w:tcPr>
          <w:p>
            <w:pPr>
              <w:ind w:left="320"/>
              <w:spacing w:after="0" w:line="155" w:lineRule="exact"/>
              <w:rPr>
                <w:sz w:val="20"/>
                <w:szCs w:val="20"/>
                <w:color w:val="auto"/>
              </w:rPr>
            </w:pPr>
            <w:r>
              <w:rPr>
                <w:rFonts w:ascii="Times New Roman" w:cs="Times New Roman" w:eastAsia="Times New Roman" w:hAnsi="Times New Roman"/>
                <w:sz w:val="16"/>
                <w:szCs w:val="16"/>
                <w:color w:val="auto"/>
              </w:rPr>
              <w:t>Holdings, LLC, and Bank of America, N.A.</w:t>
            </w:r>
          </w:p>
        </w:tc>
        <w:tc>
          <w:tcPr>
            <w:tcW w:w="600" w:type="dxa"/>
            <w:vAlign w:val="bottom"/>
            <w:tcBorders>
              <w:top w:val="single" w:sz="8" w:color="CEEEFA"/>
              <w:right w:val="single" w:sz="8" w:color="CEEEFA"/>
            </w:tcBorders>
            <w:gridSpan w:val="2"/>
            <w:shd w:val="clear" w:color="auto" w:fill="CEEEFA"/>
          </w:tcPr>
          <w:p>
            <w:pPr>
              <w:spacing w:after="0" w:line="155" w:lineRule="exact"/>
              <w:rPr>
                <w:rFonts w:ascii="Times New Roman" w:cs="Times New Roman" w:eastAsia="Times New Roman" w:hAnsi="Times New Roman"/>
                <w:sz w:val="16"/>
                <w:szCs w:val="16"/>
                <w:color w:val="467886"/>
              </w:rPr>
            </w:pPr>
            <w:hyperlink r:id="rId83">
              <w:r>
                <w:rPr>
                  <w:rFonts w:ascii="Times New Roman" w:cs="Times New Roman" w:eastAsia="Times New Roman" w:hAnsi="Times New Roman"/>
                  <w:sz w:val="16"/>
                  <w:szCs w:val="16"/>
                  <w:color w:val="467886"/>
                </w:rPr>
                <w:t>the year</w:t>
              </w:r>
            </w:hyperlink>
          </w:p>
        </w:tc>
        <w:tc>
          <w:tcPr>
            <w:tcW w:w="4320" w:type="dxa"/>
            <w:vAlign w:val="bottom"/>
            <w:tcBorders>
              <w:top w:val="single" w:sz="8" w:color="467886"/>
              <w:right w:val="single" w:sz="8" w:color="CEEEFA"/>
            </w:tcBorders>
            <w:gridSpan w:val="9"/>
            <w:shd w:val="clear" w:color="auto" w:fill="CEEEFA"/>
          </w:tcPr>
          <w:p>
            <w:pPr>
              <w:spacing w:after="0" w:line="155" w:lineRule="exact"/>
              <w:rPr>
                <w:rFonts w:ascii="Times New Roman" w:cs="Times New Roman" w:eastAsia="Times New Roman" w:hAnsi="Times New Roman"/>
                <w:sz w:val="16"/>
                <w:szCs w:val="16"/>
                <w:color w:val="467886"/>
              </w:rPr>
            </w:pPr>
            <w:hyperlink r:id="rId83">
              <w:r>
                <w:rPr>
                  <w:rFonts w:ascii="Times New Roman" w:cs="Times New Roman" w:eastAsia="Times New Roman" w:hAnsi="Times New Roman"/>
                  <w:sz w:val="16"/>
                  <w:szCs w:val="16"/>
                  <w:color w:val="467886"/>
                </w:rPr>
                <w:t>ended December 31, 2025</w:t>
              </w:r>
              <w:r>
                <w:rPr>
                  <w:rFonts w:ascii="Times New Roman" w:cs="Times New Roman" w:eastAsia="Times New Roman" w:hAnsi="Times New Roman"/>
                  <w:sz w:val="16"/>
                  <w:szCs w:val="16"/>
                  <w:color w:val="000000"/>
                </w:rPr>
                <w:t>, and incorporated herein by reference.</w:t>
              </w:r>
            </w:hyperlink>
          </w:p>
        </w:tc>
        <w:tc>
          <w:tcPr>
            <w:tcW w:w="80" w:type="dxa"/>
            <w:vAlign w:val="bottom"/>
            <w:tcBorders>
              <w:top w:val="single" w:sz="8" w:color="CEEEFA"/>
            </w:tcBorders>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EEEFA"/>
          </w:tcPr>
          <w:p>
            <w:pPr>
              <w:spacing w:after="0"/>
              <w:rPr>
                <w:sz w:val="2"/>
                <w:szCs w:val="2"/>
                <w:color w:val="auto"/>
              </w:rPr>
            </w:pPr>
          </w:p>
        </w:tc>
        <w:tc>
          <w:tcPr>
            <w:tcW w:w="5440" w:type="dxa"/>
            <w:vAlign w:val="bottom"/>
            <w:shd w:val="clear" w:color="auto" w:fill="CEEEFA"/>
          </w:tcPr>
          <w:p>
            <w:pPr>
              <w:spacing w:after="0"/>
              <w:rPr>
                <w:sz w:val="2"/>
                <w:szCs w:val="2"/>
                <w:color w:val="auto"/>
              </w:rPr>
            </w:pPr>
          </w:p>
        </w:tc>
        <w:tc>
          <w:tcPr>
            <w:tcW w:w="360" w:type="dxa"/>
            <w:vAlign w:val="bottom"/>
            <w:shd w:val="clear" w:color="auto" w:fill="467886"/>
          </w:tcPr>
          <w:p>
            <w:pPr>
              <w:spacing w:after="0"/>
              <w:rPr>
                <w:sz w:val="2"/>
                <w:szCs w:val="2"/>
                <w:color w:val="auto"/>
              </w:rPr>
            </w:pPr>
          </w:p>
        </w:tc>
        <w:tc>
          <w:tcPr>
            <w:tcW w:w="240" w:type="dxa"/>
            <w:vAlign w:val="bottom"/>
            <w:tcBorders>
              <w:right w:val="single" w:sz="8" w:color="467886"/>
            </w:tcBorders>
            <w:shd w:val="clear" w:color="auto" w:fill="467886"/>
          </w:tcPr>
          <w:p>
            <w:pPr>
              <w:spacing w:after="0"/>
              <w:rPr>
                <w:sz w:val="2"/>
                <w:szCs w:val="2"/>
                <w:color w:val="auto"/>
              </w:rPr>
            </w:pPr>
          </w:p>
        </w:tc>
        <w:tc>
          <w:tcPr>
            <w:tcW w:w="1220" w:type="dxa"/>
            <w:vAlign w:val="bottom"/>
            <w:shd w:val="clear" w:color="auto" w:fill="467886"/>
          </w:tcPr>
          <w:p>
            <w:pPr>
              <w:spacing w:after="0"/>
              <w:rPr>
                <w:sz w:val="2"/>
                <w:szCs w:val="2"/>
                <w:color w:val="auto"/>
              </w:rPr>
            </w:pPr>
          </w:p>
        </w:tc>
        <w:tc>
          <w:tcPr>
            <w:tcW w:w="300" w:type="dxa"/>
            <w:vAlign w:val="bottom"/>
            <w:tcBorders>
              <w:right w:val="single" w:sz="8" w:color="467886"/>
            </w:tcBorders>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4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208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100" w:type="dxa"/>
            <w:vAlign w:val="bottom"/>
            <w:tcBorders>
              <w:right w:val="single" w:sz="8" w:color="CEEEFA"/>
            </w:tcBorders>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10440" w:type="dxa"/>
            <w:vAlign w:val="bottom"/>
            <w:gridSpan w:val="13"/>
          </w:tcPr>
          <w:p>
            <w:pPr>
              <w:ind w:left="320"/>
              <w:spacing w:after="0" w:line="148"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Consolidated, Amended and Restated Mortgage Promissory Note dated March </w:t>
            </w: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10.4.1 to the Company’s report on Form 8-K (file no. 1-</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10.46</w:t>
            </w:r>
          </w:p>
        </w:tc>
        <w:tc>
          <w:tcPr>
            <w:tcW w:w="5440" w:type="dxa"/>
            <w:vAlign w:val="bottom"/>
            <w:vMerge w:val="restart"/>
          </w:tcPr>
          <w:p>
            <w:pPr>
              <w:ind w:left="320"/>
              <w:spacing w:after="0" w:line="175" w:lineRule="exact"/>
              <w:rPr>
                <w:sz w:val="20"/>
                <w:szCs w:val="20"/>
                <w:color w:val="auto"/>
              </w:rPr>
            </w:pPr>
            <w:r>
              <w:rPr>
                <w:rFonts w:ascii="Times New Roman" w:cs="Times New Roman" w:eastAsia="Times New Roman" w:hAnsi="Times New Roman"/>
                <w:sz w:val="16"/>
                <w:szCs w:val="16"/>
                <w:color w:val="auto"/>
              </w:rPr>
              <w:t>13, 2020, between Sutton Hill Properties, LLC and Valley National Bank</w:t>
            </w:r>
          </w:p>
        </w:tc>
        <w:tc>
          <w:tcPr>
            <w:tcW w:w="360" w:type="dxa"/>
            <w:vAlign w:val="bottom"/>
          </w:tcPr>
          <w:p>
            <w:pPr>
              <w:spacing w:after="0" w:line="20" w:lineRule="exact"/>
              <w:rPr>
                <w:sz w:val="1"/>
                <w:szCs w:val="1"/>
                <w:color w:val="auto"/>
              </w:rPr>
            </w:pPr>
          </w:p>
        </w:tc>
        <w:tc>
          <w:tcPr>
            <w:tcW w:w="240" w:type="dxa"/>
            <w:vAlign w:val="bottom"/>
            <w:tcBorders>
              <w:right w:val="single" w:sz="8" w:color="467886"/>
            </w:tcBorders>
          </w:tcPr>
          <w:p>
            <w:pPr>
              <w:spacing w:after="0" w:line="20" w:lineRule="exact"/>
              <w:rPr>
                <w:sz w:val="1"/>
                <w:szCs w:val="1"/>
                <w:color w:val="auto"/>
              </w:rPr>
            </w:pPr>
          </w:p>
        </w:tc>
        <w:tc>
          <w:tcPr>
            <w:tcW w:w="1640" w:type="dxa"/>
            <w:vAlign w:val="bottom"/>
            <w:gridSpan w:val="3"/>
            <w:shd w:val="clear" w:color="auto" w:fill="467886"/>
          </w:tcPr>
          <w:p>
            <w:pPr>
              <w:spacing w:after="0" w:line="20" w:lineRule="exact"/>
              <w:rPr>
                <w:sz w:val="1"/>
                <w:szCs w:val="1"/>
                <w:color w:val="auto"/>
              </w:rPr>
            </w:pPr>
          </w:p>
        </w:tc>
        <w:tc>
          <w:tcPr>
            <w:tcW w:w="2460" w:type="dxa"/>
            <w:vAlign w:val="bottom"/>
            <w:tcBorders>
              <w:left w:val="single" w:sz="8" w:color="467886"/>
            </w:tcBorders>
            <w:gridSpan w:val="4"/>
            <w:shd w:val="clear" w:color="auto" w:fill="46788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4700" w:type="dxa"/>
            <w:vAlign w:val="bottom"/>
            <w:gridSpan w:val="9"/>
          </w:tcPr>
          <w:p>
            <w:pPr>
              <w:spacing w:after="0" w:line="155" w:lineRule="exact"/>
              <w:rPr>
                <w:rFonts w:ascii="Times New Roman" w:cs="Times New Roman" w:eastAsia="Times New Roman" w:hAnsi="Times New Roman"/>
                <w:sz w:val="16"/>
                <w:szCs w:val="16"/>
                <w:color w:val="467886"/>
              </w:rPr>
            </w:pPr>
            <w:hyperlink r:id="rId59">
              <w:r>
                <w:rPr>
                  <w:rFonts w:ascii="Times New Roman" w:cs="Times New Roman" w:eastAsia="Times New Roman" w:hAnsi="Times New Roman"/>
                  <w:sz w:val="16"/>
                  <w:szCs w:val="16"/>
                  <w:color w:val="467886"/>
                </w:rPr>
                <w:t>8625), filed on June 2, 2020</w:t>
              </w:r>
              <w:r>
                <w:rPr>
                  <w:rFonts w:ascii="Times New Roman" w:cs="Times New Roman" w:eastAsia="Times New Roman" w:hAnsi="Times New Roman"/>
                  <w:sz w:val="16"/>
                  <w:szCs w:val="16"/>
                  <w:color w:val="000000"/>
                </w:rPr>
                <w:t>, and incorporated herein by reference.</w:t>
              </w:r>
            </w:hyperlink>
          </w:p>
        </w:tc>
        <w:tc>
          <w:tcPr>
            <w:tcW w:w="1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shd w:val="clear" w:color="auto" w:fill="467886"/>
          </w:tcPr>
          <w:p>
            <w:pPr>
              <w:spacing w:after="0"/>
              <w:rPr>
                <w:sz w:val="2"/>
                <w:szCs w:val="2"/>
                <w:color w:val="auto"/>
              </w:rPr>
            </w:pPr>
          </w:p>
        </w:tc>
        <w:tc>
          <w:tcPr>
            <w:tcW w:w="240" w:type="dxa"/>
            <w:vAlign w:val="bottom"/>
            <w:tcBorders>
              <w:right w:val="single" w:sz="8" w:color="467886"/>
            </w:tcBorders>
            <w:shd w:val="clear" w:color="auto" w:fill="467886"/>
          </w:tcPr>
          <w:p>
            <w:pPr>
              <w:spacing w:after="0"/>
              <w:rPr>
                <w:sz w:val="2"/>
                <w:szCs w:val="2"/>
                <w:color w:val="auto"/>
              </w:rPr>
            </w:pPr>
          </w:p>
        </w:tc>
        <w:tc>
          <w:tcPr>
            <w:tcW w:w="1220" w:type="dxa"/>
            <w:vAlign w:val="bottom"/>
            <w:shd w:val="clear" w:color="auto" w:fill="467886"/>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shd w:val="clear" w:color="auto" w:fill="CEEEFA"/>
          </w:tcPr>
          <w:p>
            <w:pPr>
              <w:spacing w:after="0"/>
              <w:rPr>
                <w:sz w:val="12"/>
                <w:szCs w:val="12"/>
                <w:color w:val="auto"/>
              </w:rPr>
            </w:pPr>
          </w:p>
        </w:tc>
        <w:tc>
          <w:tcPr>
            <w:tcW w:w="5440" w:type="dxa"/>
            <w:vAlign w:val="bottom"/>
            <w:shd w:val="clear" w:color="auto" w:fill="CEEEFA"/>
          </w:tcPr>
          <w:p>
            <w:pPr>
              <w:ind w:left="320"/>
              <w:spacing w:after="0" w:line="148" w:lineRule="exact"/>
              <w:rPr>
                <w:sz w:val="20"/>
                <w:szCs w:val="20"/>
                <w:color w:val="auto"/>
              </w:rPr>
            </w:pPr>
            <w:r>
              <w:rPr>
                <w:rFonts w:ascii="Times New Roman" w:cs="Times New Roman" w:eastAsia="Times New Roman" w:hAnsi="Times New Roman"/>
                <w:sz w:val="16"/>
                <w:szCs w:val="16"/>
                <w:color w:val="auto"/>
              </w:rPr>
              <w:t>Amended and Restated Mortgage Promissory Note dated September 29, 2023,</w:t>
            </w:r>
          </w:p>
        </w:tc>
        <w:tc>
          <w:tcPr>
            <w:tcW w:w="5000" w:type="dxa"/>
            <w:vAlign w:val="bottom"/>
            <w:gridSpan w:val="12"/>
            <w:shd w:val="clear" w:color="auto" w:fill="CEEEFA"/>
          </w:tcPr>
          <w:p>
            <w:pPr>
              <w:spacing w:after="0" w:line="148" w:lineRule="exact"/>
              <w:rPr>
                <w:rFonts w:ascii="Times New Roman" w:cs="Times New Roman" w:eastAsia="Times New Roman" w:hAnsi="Times New Roman"/>
                <w:sz w:val="16"/>
                <w:szCs w:val="16"/>
                <w:color w:val="auto"/>
              </w:rPr>
            </w:pPr>
            <w:hyperlink r:id="rId8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10.47†</w:t>
            </w:r>
          </w:p>
        </w:tc>
        <w:tc>
          <w:tcPr>
            <w:tcW w:w="5440" w:type="dxa"/>
            <w:vAlign w:val="bottom"/>
            <w:vMerge w:val="restart"/>
            <w:shd w:val="clear" w:color="auto" w:fill="CEEEFA"/>
          </w:tcPr>
          <w:p>
            <w:pPr>
              <w:ind w:left="320"/>
              <w:spacing w:after="0" w:line="175" w:lineRule="exact"/>
              <w:rPr>
                <w:sz w:val="20"/>
                <w:szCs w:val="20"/>
                <w:color w:val="auto"/>
              </w:rPr>
            </w:pPr>
            <w:r>
              <w:rPr>
                <w:rFonts w:ascii="Times New Roman" w:cs="Times New Roman" w:eastAsia="Times New Roman" w:hAnsi="Times New Roman"/>
                <w:sz w:val="16"/>
                <w:szCs w:val="16"/>
                <w:color w:val="auto"/>
              </w:rPr>
              <w:t>executed by Sutton Hill Properties, LLC in favor of Valley National Bank</w:t>
            </w:r>
          </w:p>
        </w:tc>
        <w:tc>
          <w:tcPr>
            <w:tcW w:w="360" w:type="dxa"/>
            <w:vAlign w:val="bottom"/>
            <w:shd w:val="clear" w:color="auto" w:fill="CEEEFA"/>
          </w:tcPr>
          <w:p>
            <w:pPr>
              <w:spacing w:after="0" w:line="20" w:lineRule="exact"/>
              <w:rPr>
                <w:sz w:val="1"/>
                <w:szCs w:val="1"/>
                <w:color w:val="auto"/>
              </w:rPr>
            </w:pPr>
          </w:p>
        </w:tc>
        <w:tc>
          <w:tcPr>
            <w:tcW w:w="240" w:type="dxa"/>
            <w:vAlign w:val="bottom"/>
            <w:tcBorders>
              <w:right w:val="single" w:sz="8" w:color="467886"/>
            </w:tcBorders>
            <w:shd w:val="clear" w:color="auto" w:fill="CEEEFA"/>
          </w:tcPr>
          <w:p>
            <w:pPr>
              <w:spacing w:after="0" w:line="20" w:lineRule="exact"/>
              <w:rPr>
                <w:sz w:val="1"/>
                <w:szCs w:val="1"/>
                <w:color w:val="auto"/>
              </w:rPr>
            </w:pPr>
          </w:p>
        </w:tc>
        <w:tc>
          <w:tcPr>
            <w:tcW w:w="1640" w:type="dxa"/>
            <w:vAlign w:val="bottom"/>
            <w:gridSpan w:val="3"/>
            <w:shd w:val="clear" w:color="auto" w:fill="467886"/>
          </w:tcPr>
          <w:p>
            <w:pPr>
              <w:spacing w:after="0" w:line="20" w:lineRule="exact"/>
              <w:rPr>
                <w:sz w:val="1"/>
                <w:szCs w:val="1"/>
                <w:color w:val="auto"/>
              </w:rPr>
            </w:pPr>
          </w:p>
        </w:tc>
        <w:tc>
          <w:tcPr>
            <w:tcW w:w="2580" w:type="dxa"/>
            <w:vAlign w:val="bottom"/>
            <w:tcBorders>
              <w:left w:val="single" w:sz="8" w:color="467886"/>
            </w:tcBorders>
            <w:gridSpan w:val="5"/>
            <w:shd w:val="clear" w:color="auto" w:fill="467886"/>
          </w:tcPr>
          <w:p>
            <w:pPr>
              <w:spacing w:after="0" w:line="20" w:lineRule="exact"/>
              <w:rPr>
                <w:sz w:val="1"/>
                <w:szCs w:val="1"/>
                <w:color w:val="auto"/>
              </w:rPr>
            </w:pPr>
          </w:p>
        </w:tc>
        <w:tc>
          <w:tcPr>
            <w:tcW w:w="10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vMerge w:val="continue"/>
            <w:shd w:val="clear" w:color="auto" w:fill="CEEEFA"/>
          </w:tcPr>
          <w:p>
            <w:pPr>
              <w:spacing w:after="0"/>
              <w:rPr>
                <w:sz w:val="14"/>
                <w:szCs w:val="14"/>
                <w:color w:val="auto"/>
              </w:rPr>
            </w:pPr>
          </w:p>
        </w:tc>
        <w:tc>
          <w:tcPr>
            <w:tcW w:w="5440" w:type="dxa"/>
            <w:vAlign w:val="bottom"/>
            <w:vMerge w:val="continue"/>
            <w:shd w:val="clear" w:color="auto" w:fill="CEEEFA"/>
          </w:tcPr>
          <w:p>
            <w:pPr>
              <w:spacing w:after="0"/>
              <w:rPr>
                <w:sz w:val="14"/>
                <w:szCs w:val="14"/>
                <w:color w:val="auto"/>
              </w:rPr>
            </w:pPr>
          </w:p>
        </w:tc>
        <w:tc>
          <w:tcPr>
            <w:tcW w:w="4920" w:type="dxa"/>
            <w:vAlign w:val="bottom"/>
            <w:tcBorders>
              <w:right w:val="single" w:sz="8" w:color="CEEEFA"/>
            </w:tcBorders>
            <w:gridSpan w:val="11"/>
            <w:shd w:val="clear" w:color="auto" w:fill="CEEEFA"/>
          </w:tcPr>
          <w:p>
            <w:pPr>
              <w:spacing w:after="0" w:line="155" w:lineRule="exact"/>
              <w:rPr>
                <w:rFonts w:ascii="Times New Roman" w:cs="Times New Roman" w:eastAsia="Times New Roman" w:hAnsi="Times New Roman"/>
                <w:sz w:val="16"/>
                <w:szCs w:val="16"/>
                <w:color w:val="467886"/>
              </w:rPr>
            </w:pPr>
            <w:hyperlink r:id="rId84">
              <w:r>
                <w:rPr>
                  <w:rFonts w:ascii="Times New Roman" w:cs="Times New Roman" w:eastAsia="Times New Roman" w:hAnsi="Times New Roman"/>
                  <w:sz w:val="16"/>
                  <w:szCs w:val="16"/>
                  <w:color w:val="467886"/>
                </w:rPr>
                <w:t>the Quarter ended March 31, 2025</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shd w:val="clear" w:color="auto" w:fill="CEEEF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EEEFA"/>
            </w:tcBorders>
          </w:tcPr>
          <w:p>
            <w:pPr>
              <w:spacing w:after="0"/>
              <w:rPr>
                <w:sz w:val="12"/>
                <w:szCs w:val="12"/>
                <w:color w:val="auto"/>
              </w:rPr>
            </w:pPr>
          </w:p>
        </w:tc>
        <w:tc>
          <w:tcPr>
            <w:tcW w:w="5440" w:type="dxa"/>
            <w:vAlign w:val="bottom"/>
            <w:tcBorders>
              <w:top w:val="single" w:sz="8" w:color="CEEEFA"/>
            </w:tcBorders>
          </w:tcPr>
          <w:p>
            <w:pPr>
              <w:ind w:left="320"/>
              <w:spacing w:after="0" w:line="148" w:lineRule="exact"/>
              <w:rPr>
                <w:sz w:val="20"/>
                <w:szCs w:val="20"/>
                <w:color w:val="auto"/>
              </w:rPr>
            </w:pPr>
            <w:r>
              <w:rPr>
                <w:rFonts w:ascii="Times New Roman" w:cs="Times New Roman" w:eastAsia="Times New Roman" w:hAnsi="Times New Roman"/>
                <w:sz w:val="16"/>
                <w:szCs w:val="16"/>
                <w:color w:val="auto"/>
              </w:rPr>
              <w:t>Amended and Restated Mortgage and Security Agreement dated September</w:t>
            </w:r>
          </w:p>
        </w:tc>
        <w:tc>
          <w:tcPr>
            <w:tcW w:w="360" w:type="dxa"/>
            <w:vAlign w:val="bottom"/>
            <w:tcBorders>
              <w:top w:val="single" w:sz="8" w:color="467886"/>
            </w:tcBorders>
          </w:tcPr>
          <w:p>
            <w:pPr>
              <w:spacing w:after="0"/>
              <w:rPr>
                <w:sz w:val="12"/>
                <w:szCs w:val="12"/>
                <w:color w:val="auto"/>
              </w:rPr>
            </w:pPr>
          </w:p>
        </w:tc>
        <w:tc>
          <w:tcPr>
            <w:tcW w:w="240" w:type="dxa"/>
            <w:vAlign w:val="bottom"/>
            <w:tcBorders>
              <w:top w:val="single" w:sz="8" w:color="467886"/>
            </w:tcBorders>
          </w:tcPr>
          <w:p>
            <w:pPr>
              <w:spacing w:after="0"/>
              <w:rPr>
                <w:sz w:val="12"/>
                <w:szCs w:val="12"/>
                <w:color w:val="auto"/>
              </w:rPr>
            </w:pPr>
          </w:p>
        </w:tc>
        <w:tc>
          <w:tcPr>
            <w:tcW w:w="1220" w:type="dxa"/>
            <w:vAlign w:val="bottom"/>
            <w:tcBorders>
              <w:top w:val="single" w:sz="8" w:color="467886"/>
            </w:tcBorders>
          </w:tcPr>
          <w:p>
            <w:pPr>
              <w:spacing w:after="0"/>
              <w:rPr>
                <w:sz w:val="12"/>
                <w:szCs w:val="12"/>
                <w:color w:val="auto"/>
              </w:rPr>
            </w:pPr>
          </w:p>
        </w:tc>
        <w:tc>
          <w:tcPr>
            <w:tcW w:w="300" w:type="dxa"/>
            <w:vAlign w:val="bottom"/>
            <w:tcBorders>
              <w:top w:val="single" w:sz="8" w:color="467886"/>
            </w:tcBorders>
          </w:tcPr>
          <w:p>
            <w:pPr>
              <w:spacing w:after="0"/>
              <w:rPr>
                <w:sz w:val="12"/>
                <w:szCs w:val="12"/>
                <w:color w:val="auto"/>
              </w:rPr>
            </w:pPr>
          </w:p>
        </w:tc>
        <w:tc>
          <w:tcPr>
            <w:tcW w:w="120" w:type="dxa"/>
            <w:vAlign w:val="bottom"/>
            <w:tcBorders>
              <w:top w:val="single" w:sz="8" w:color="467886"/>
            </w:tcBorders>
          </w:tcPr>
          <w:p>
            <w:pPr>
              <w:spacing w:after="0"/>
              <w:rPr>
                <w:sz w:val="12"/>
                <w:szCs w:val="12"/>
                <w:color w:val="auto"/>
              </w:rPr>
            </w:pPr>
          </w:p>
        </w:tc>
        <w:tc>
          <w:tcPr>
            <w:tcW w:w="240" w:type="dxa"/>
            <w:vAlign w:val="bottom"/>
            <w:tcBorders>
              <w:top w:val="single" w:sz="8" w:color="CEEEFA"/>
            </w:tcBorders>
          </w:tcPr>
          <w:p>
            <w:pPr>
              <w:spacing w:after="0"/>
              <w:rPr>
                <w:sz w:val="12"/>
                <w:szCs w:val="12"/>
                <w:color w:val="auto"/>
              </w:rPr>
            </w:pPr>
          </w:p>
        </w:tc>
        <w:tc>
          <w:tcPr>
            <w:tcW w:w="20" w:type="dxa"/>
            <w:vAlign w:val="bottom"/>
            <w:tcBorders>
              <w:top w:val="single" w:sz="8" w:color="CEEEFA"/>
            </w:tcBorders>
          </w:tcPr>
          <w:p>
            <w:pPr>
              <w:spacing w:after="0"/>
              <w:rPr>
                <w:sz w:val="12"/>
                <w:szCs w:val="12"/>
                <w:color w:val="auto"/>
              </w:rPr>
            </w:pPr>
          </w:p>
        </w:tc>
        <w:tc>
          <w:tcPr>
            <w:tcW w:w="208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20" w:type="dxa"/>
            <w:vAlign w:val="bottom"/>
            <w:tcBorders>
              <w:top w:val="single" w:sz="8" w:color="CEEEFA"/>
            </w:tcBorders>
          </w:tcPr>
          <w:p>
            <w:pPr>
              <w:spacing w:after="0"/>
              <w:rPr>
                <w:sz w:val="12"/>
                <w:szCs w:val="12"/>
                <w:color w:val="auto"/>
              </w:rPr>
            </w:pPr>
          </w:p>
        </w:tc>
        <w:tc>
          <w:tcPr>
            <w:tcW w:w="100" w:type="dxa"/>
            <w:vAlign w:val="bottom"/>
            <w:tcBorders>
              <w:top w:val="single" w:sz="8" w:color="CEEEFA"/>
            </w:tcBorders>
          </w:tcPr>
          <w:p>
            <w:pPr>
              <w:spacing w:after="0"/>
              <w:rPr>
                <w:sz w:val="12"/>
                <w:szCs w:val="12"/>
                <w:color w:val="auto"/>
              </w:rPr>
            </w:pPr>
          </w:p>
        </w:tc>
        <w:tc>
          <w:tcPr>
            <w:tcW w:w="80" w:type="dxa"/>
            <w:vAlign w:val="bottom"/>
            <w:tcBorders>
              <w:top w:val="single" w:sz="8" w:color="CEEEF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5440" w:type="dxa"/>
            <w:vAlign w:val="bottom"/>
          </w:tcPr>
          <w:p>
            <w:pPr>
              <w:ind w:left="320"/>
              <w:spacing w:after="0" w:line="176" w:lineRule="exact"/>
              <w:rPr>
                <w:sz w:val="20"/>
                <w:szCs w:val="20"/>
                <w:color w:val="auto"/>
              </w:rPr>
            </w:pPr>
            <w:r>
              <w:rPr>
                <w:rFonts w:ascii="Times New Roman" w:cs="Times New Roman" w:eastAsia="Times New Roman" w:hAnsi="Times New Roman"/>
                <w:sz w:val="16"/>
                <w:szCs w:val="16"/>
                <w:color w:val="auto"/>
              </w:rPr>
              <w:t>29, 2023, executed by Sutton Hill Properties, LLC in favor of Valley National</w:t>
            </w:r>
          </w:p>
        </w:tc>
        <w:tc>
          <w:tcPr>
            <w:tcW w:w="5000" w:type="dxa"/>
            <w:vAlign w:val="bottom"/>
            <w:gridSpan w:val="12"/>
          </w:tcPr>
          <w:p>
            <w:pPr>
              <w:spacing w:after="0" w:line="176" w:lineRule="exact"/>
              <w:rPr>
                <w:rFonts w:ascii="Times New Roman" w:cs="Times New Roman" w:eastAsia="Times New Roman" w:hAnsi="Times New Roman"/>
                <w:sz w:val="16"/>
                <w:szCs w:val="16"/>
                <w:color w:val="auto"/>
              </w:rPr>
            </w:pPr>
            <w:hyperlink r:id="rId8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10.44 to the Company’s Annual Report on Form 10-K/A</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10.48</w:t>
            </w:r>
          </w:p>
        </w:tc>
        <w:tc>
          <w:tcPr>
            <w:tcW w:w="5440" w:type="dxa"/>
            <w:vAlign w:val="bottom"/>
            <w:vMerge w:val="restart"/>
          </w:tcPr>
          <w:p>
            <w:pPr>
              <w:ind w:left="320"/>
              <w:spacing w:after="0" w:line="175" w:lineRule="exact"/>
              <w:rPr>
                <w:sz w:val="20"/>
                <w:szCs w:val="20"/>
                <w:color w:val="auto"/>
              </w:rPr>
            </w:pPr>
            <w:r>
              <w:rPr>
                <w:rFonts w:ascii="Times New Roman" w:cs="Times New Roman" w:eastAsia="Times New Roman" w:hAnsi="Times New Roman"/>
                <w:sz w:val="16"/>
                <w:szCs w:val="16"/>
                <w:color w:val="auto"/>
              </w:rPr>
              <w:t>Bank</w:t>
            </w: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3"/>
            <w:shd w:val="clear" w:color="auto" w:fill="467886"/>
          </w:tcPr>
          <w:p>
            <w:pPr>
              <w:spacing w:after="0" w:line="20" w:lineRule="exact"/>
              <w:rPr>
                <w:sz w:val="1"/>
                <w:szCs w:val="1"/>
                <w:color w:val="auto"/>
              </w:rPr>
            </w:pPr>
          </w:p>
        </w:tc>
        <w:tc>
          <w:tcPr>
            <w:tcW w:w="2580" w:type="dxa"/>
            <w:vAlign w:val="bottom"/>
            <w:tcBorders>
              <w:left w:val="single" w:sz="8" w:color="467886"/>
            </w:tcBorders>
            <w:gridSpan w:val="5"/>
            <w:shd w:val="clear" w:color="auto" w:fill="467886"/>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4820" w:type="dxa"/>
            <w:vAlign w:val="bottom"/>
            <w:gridSpan w:val="10"/>
          </w:tcPr>
          <w:p>
            <w:pPr>
              <w:spacing w:after="0" w:line="155" w:lineRule="exact"/>
              <w:rPr>
                <w:rFonts w:ascii="Times New Roman" w:cs="Times New Roman" w:eastAsia="Times New Roman" w:hAnsi="Times New Roman"/>
                <w:sz w:val="16"/>
                <w:szCs w:val="16"/>
                <w:color w:val="467886"/>
              </w:rPr>
            </w:pPr>
            <w:hyperlink r:id="rId85">
              <w:r>
                <w:rPr>
                  <w:rFonts w:ascii="Times New Roman" w:cs="Times New Roman" w:eastAsia="Times New Roman" w:hAnsi="Times New Roman"/>
                  <w:sz w:val="16"/>
                  <w:szCs w:val="16"/>
                  <w:color w:val="467886"/>
                </w:rPr>
                <w:t>No. 2</w:t>
              </w:r>
              <w:r>
                <w:rPr>
                  <w:rFonts w:ascii="Times New Roman" w:cs="Times New Roman" w:eastAsia="Times New Roman" w:hAnsi="Times New Roman"/>
                  <w:sz w:val="16"/>
                  <w:szCs w:val="16"/>
                  <w:color w:val="000000"/>
                </w:rPr>
                <w:t>, and incorporated herein by reference.</w:t>
              </w:r>
            </w:hyperlink>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shd w:val="clear" w:color="auto" w:fill="467886"/>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shd w:val="clear" w:color="auto" w:fill="CEEEFA"/>
          </w:tcPr>
          <w:p>
            <w:pPr>
              <w:spacing w:after="0"/>
              <w:rPr>
                <w:sz w:val="12"/>
                <w:szCs w:val="12"/>
                <w:color w:val="auto"/>
              </w:rPr>
            </w:pPr>
          </w:p>
        </w:tc>
        <w:tc>
          <w:tcPr>
            <w:tcW w:w="5440" w:type="dxa"/>
            <w:vAlign w:val="bottom"/>
            <w:shd w:val="clear" w:color="auto" w:fill="CEEEFA"/>
          </w:tcPr>
          <w:p>
            <w:pPr>
              <w:ind w:left="320"/>
              <w:spacing w:after="0" w:line="148" w:lineRule="exact"/>
              <w:rPr>
                <w:sz w:val="20"/>
                <w:szCs w:val="20"/>
                <w:color w:val="auto"/>
              </w:rPr>
            </w:pPr>
            <w:r>
              <w:rPr>
                <w:rFonts w:ascii="Times New Roman" w:cs="Times New Roman" w:eastAsia="Times New Roman" w:hAnsi="Times New Roman"/>
                <w:sz w:val="16"/>
                <w:szCs w:val="16"/>
                <w:color w:val="auto"/>
              </w:rPr>
              <w:t>Mortgage Modification and Extension Agreement dated September 29, 2023,</w:t>
            </w:r>
          </w:p>
        </w:tc>
        <w:tc>
          <w:tcPr>
            <w:tcW w:w="5000" w:type="dxa"/>
            <w:vAlign w:val="bottom"/>
            <w:gridSpan w:val="12"/>
            <w:shd w:val="clear" w:color="auto" w:fill="CEEEFA"/>
          </w:tcPr>
          <w:p>
            <w:pPr>
              <w:spacing w:after="0" w:line="148" w:lineRule="exact"/>
              <w:rPr>
                <w:rFonts w:ascii="Times New Roman" w:cs="Times New Roman" w:eastAsia="Times New Roman" w:hAnsi="Times New Roman"/>
                <w:sz w:val="16"/>
                <w:szCs w:val="16"/>
                <w:color w:val="auto"/>
              </w:rPr>
            </w:pPr>
            <w:hyperlink r:id="rId8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shd w:val="clear" w:color="auto" w:fill="CEEEFA"/>
          </w:tcPr>
          <w:p>
            <w:pPr>
              <w:ind w:left="20"/>
              <w:spacing w:after="0" w:line="175" w:lineRule="exact"/>
              <w:rPr>
                <w:sz w:val="20"/>
                <w:szCs w:val="20"/>
                <w:color w:val="auto"/>
              </w:rPr>
            </w:pPr>
            <w:r>
              <w:rPr>
                <w:rFonts w:ascii="Times New Roman" w:cs="Times New Roman" w:eastAsia="Times New Roman" w:hAnsi="Times New Roman"/>
                <w:sz w:val="16"/>
                <w:szCs w:val="16"/>
                <w:color w:val="auto"/>
              </w:rPr>
              <w:t>10.49†</w:t>
            </w:r>
          </w:p>
        </w:tc>
        <w:tc>
          <w:tcPr>
            <w:tcW w:w="5440" w:type="dxa"/>
            <w:vAlign w:val="bottom"/>
            <w:vMerge w:val="restart"/>
            <w:shd w:val="clear" w:color="auto" w:fill="CEEEFA"/>
          </w:tcPr>
          <w:p>
            <w:pPr>
              <w:ind w:left="320"/>
              <w:spacing w:after="0" w:line="175" w:lineRule="exact"/>
              <w:rPr>
                <w:sz w:val="20"/>
                <w:szCs w:val="20"/>
                <w:color w:val="auto"/>
              </w:rPr>
            </w:pPr>
            <w:r>
              <w:rPr>
                <w:rFonts w:ascii="Times New Roman" w:cs="Times New Roman" w:eastAsia="Times New Roman" w:hAnsi="Times New Roman"/>
                <w:sz w:val="16"/>
                <w:szCs w:val="16"/>
                <w:color w:val="auto"/>
              </w:rPr>
              <w:t>executed by Sutton Hill Properties, LLC and Valley National Bank</w:t>
            </w:r>
          </w:p>
        </w:tc>
        <w:tc>
          <w:tcPr>
            <w:tcW w:w="600" w:type="dxa"/>
            <w:vAlign w:val="bottom"/>
            <w:tcBorders>
              <w:right w:val="single" w:sz="8" w:color="467886"/>
            </w:tcBorders>
            <w:gridSpan w:val="2"/>
            <w:shd w:val="clear" w:color="auto" w:fill="CEEEFA"/>
          </w:tcPr>
          <w:p>
            <w:pPr>
              <w:spacing w:after="0" w:line="20" w:lineRule="exact"/>
              <w:rPr>
                <w:sz w:val="1"/>
                <w:szCs w:val="1"/>
                <w:color w:val="auto"/>
              </w:rPr>
            </w:pPr>
          </w:p>
        </w:tc>
        <w:tc>
          <w:tcPr>
            <w:tcW w:w="1640" w:type="dxa"/>
            <w:vAlign w:val="bottom"/>
            <w:gridSpan w:val="3"/>
            <w:shd w:val="clear" w:color="auto" w:fill="467886"/>
          </w:tcPr>
          <w:p>
            <w:pPr>
              <w:spacing w:after="0" w:line="20" w:lineRule="exact"/>
              <w:rPr>
                <w:sz w:val="1"/>
                <w:szCs w:val="1"/>
                <w:color w:val="auto"/>
              </w:rPr>
            </w:pPr>
          </w:p>
        </w:tc>
        <w:tc>
          <w:tcPr>
            <w:tcW w:w="2680" w:type="dxa"/>
            <w:vAlign w:val="bottom"/>
            <w:tcBorders>
              <w:left w:val="single" w:sz="8" w:color="467886"/>
              <w:right w:val="single" w:sz="8" w:color="467886"/>
            </w:tcBorders>
            <w:gridSpan w:val="6"/>
            <w:shd w:val="clear" w:color="auto" w:fill="467886"/>
          </w:tcPr>
          <w:p>
            <w:pPr>
              <w:spacing w:after="0" w:line="20" w:lineRule="exact"/>
              <w:rPr>
                <w:sz w:val="1"/>
                <w:szCs w:val="1"/>
                <w:color w:val="auto"/>
              </w:rPr>
            </w:pPr>
          </w:p>
        </w:tc>
        <w:tc>
          <w:tcPr>
            <w:tcW w:w="80" w:type="dxa"/>
            <w:vAlign w:val="bottom"/>
            <w:vMerge w:val="restart"/>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continue"/>
            <w:shd w:val="clear" w:color="auto" w:fill="CEEEFA"/>
          </w:tcPr>
          <w:p>
            <w:pPr>
              <w:spacing w:after="0"/>
              <w:rPr>
                <w:sz w:val="13"/>
                <w:szCs w:val="13"/>
                <w:color w:val="auto"/>
              </w:rPr>
            </w:pPr>
          </w:p>
        </w:tc>
        <w:tc>
          <w:tcPr>
            <w:tcW w:w="5440" w:type="dxa"/>
            <w:vAlign w:val="bottom"/>
            <w:vMerge w:val="continue"/>
            <w:shd w:val="clear" w:color="auto" w:fill="CEEEFA"/>
          </w:tcPr>
          <w:p>
            <w:pPr>
              <w:spacing w:after="0"/>
              <w:rPr>
                <w:sz w:val="13"/>
                <w:szCs w:val="13"/>
                <w:color w:val="auto"/>
              </w:rPr>
            </w:pPr>
          </w:p>
        </w:tc>
        <w:tc>
          <w:tcPr>
            <w:tcW w:w="4920" w:type="dxa"/>
            <w:vAlign w:val="bottom"/>
            <w:tcBorders>
              <w:right w:val="single" w:sz="8" w:color="CEEEFA"/>
            </w:tcBorders>
            <w:gridSpan w:val="11"/>
            <w:shd w:val="clear" w:color="auto" w:fill="CEEEFA"/>
          </w:tcPr>
          <w:p>
            <w:pPr>
              <w:spacing w:after="0" w:line="155" w:lineRule="exact"/>
              <w:rPr>
                <w:rFonts w:ascii="Times New Roman" w:cs="Times New Roman" w:eastAsia="Times New Roman" w:hAnsi="Times New Roman"/>
                <w:sz w:val="16"/>
                <w:szCs w:val="16"/>
                <w:color w:val="467886"/>
              </w:rPr>
            </w:pPr>
            <w:hyperlink r:id="rId86">
              <w:r>
                <w:rPr>
                  <w:rFonts w:ascii="Times New Roman" w:cs="Times New Roman" w:eastAsia="Times New Roman" w:hAnsi="Times New Roman"/>
                  <w:sz w:val="16"/>
                  <w:szCs w:val="16"/>
                  <w:color w:val="467886"/>
                </w:rPr>
                <w:t>the Quarter ended March 31, 2025</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EEEFA"/>
          </w:tcPr>
          <w:p>
            <w:pPr>
              <w:spacing w:after="0"/>
              <w:rPr>
                <w:sz w:val="2"/>
                <w:szCs w:val="2"/>
                <w:color w:val="auto"/>
              </w:rPr>
            </w:pPr>
          </w:p>
        </w:tc>
        <w:tc>
          <w:tcPr>
            <w:tcW w:w="5440" w:type="dxa"/>
            <w:vAlign w:val="bottom"/>
            <w:shd w:val="clear" w:color="auto" w:fill="CEEEFA"/>
          </w:tcPr>
          <w:p>
            <w:pPr>
              <w:spacing w:after="0"/>
              <w:rPr>
                <w:sz w:val="2"/>
                <w:szCs w:val="2"/>
                <w:color w:val="auto"/>
              </w:rPr>
            </w:pPr>
          </w:p>
        </w:tc>
        <w:tc>
          <w:tcPr>
            <w:tcW w:w="360" w:type="dxa"/>
            <w:vAlign w:val="bottom"/>
            <w:shd w:val="clear" w:color="auto" w:fill="467886"/>
          </w:tcPr>
          <w:p>
            <w:pPr>
              <w:spacing w:after="0"/>
              <w:rPr>
                <w:sz w:val="2"/>
                <w:szCs w:val="2"/>
                <w:color w:val="auto"/>
              </w:rPr>
            </w:pPr>
          </w:p>
        </w:tc>
        <w:tc>
          <w:tcPr>
            <w:tcW w:w="240" w:type="dxa"/>
            <w:vAlign w:val="bottom"/>
            <w:tcBorders>
              <w:right w:val="single" w:sz="8" w:color="467886"/>
            </w:tcBorders>
            <w:shd w:val="clear" w:color="auto" w:fill="467886"/>
          </w:tcPr>
          <w:p>
            <w:pPr>
              <w:spacing w:after="0"/>
              <w:rPr>
                <w:sz w:val="2"/>
                <w:szCs w:val="2"/>
                <w:color w:val="auto"/>
              </w:rPr>
            </w:pPr>
          </w:p>
        </w:tc>
        <w:tc>
          <w:tcPr>
            <w:tcW w:w="1220" w:type="dxa"/>
            <w:vAlign w:val="bottom"/>
            <w:shd w:val="clear" w:color="auto" w:fill="467886"/>
          </w:tcPr>
          <w:p>
            <w:pPr>
              <w:spacing w:after="0"/>
              <w:rPr>
                <w:sz w:val="2"/>
                <w:szCs w:val="2"/>
                <w:color w:val="auto"/>
              </w:rPr>
            </w:pPr>
          </w:p>
        </w:tc>
        <w:tc>
          <w:tcPr>
            <w:tcW w:w="300" w:type="dxa"/>
            <w:vAlign w:val="bottom"/>
            <w:tcBorders>
              <w:right w:val="single" w:sz="8" w:color="467886"/>
            </w:tcBorders>
            <w:shd w:val="clear" w:color="auto" w:fill="467886"/>
          </w:tcPr>
          <w:p>
            <w:pPr>
              <w:spacing w:after="0"/>
              <w:rPr>
                <w:sz w:val="2"/>
                <w:szCs w:val="2"/>
                <w:color w:val="auto"/>
              </w:rPr>
            </w:pPr>
          </w:p>
        </w:tc>
        <w:tc>
          <w:tcPr>
            <w:tcW w:w="120" w:type="dxa"/>
            <w:vAlign w:val="bottom"/>
            <w:shd w:val="clear" w:color="auto" w:fill="467886"/>
          </w:tcPr>
          <w:p>
            <w:pPr>
              <w:spacing w:after="0"/>
              <w:rPr>
                <w:sz w:val="2"/>
                <w:szCs w:val="2"/>
                <w:color w:val="auto"/>
              </w:rPr>
            </w:pPr>
          </w:p>
        </w:tc>
        <w:tc>
          <w:tcPr>
            <w:tcW w:w="240" w:type="dxa"/>
            <w:vAlign w:val="bottom"/>
            <w:tcBorders>
              <w:left w:val="single" w:sz="8" w:color="CEEEFA"/>
            </w:tcBorders>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208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120" w:type="dxa"/>
            <w:vAlign w:val="bottom"/>
            <w:shd w:val="clear" w:color="auto" w:fill="CEEEFA"/>
          </w:tcPr>
          <w:p>
            <w:pPr>
              <w:spacing w:after="0"/>
              <w:rPr>
                <w:sz w:val="2"/>
                <w:szCs w:val="2"/>
                <w:color w:val="auto"/>
              </w:rPr>
            </w:pPr>
          </w:p>
        </w:tc>
        <w:tc>
          <w:tcPr>
            <w:tcW w:w="100" w:type="dxa"/>
            <w:vAlign w:val="bottom"/>
            <w:tcBorders>
              <w:right w:val="single" w:sz="8" w:color="CEEEFA"/>
            </w:tcBorders>
            <w:shd w:val="clear" w:color="auto" w:fill="CEEEFA"/>
          </w:tcPr>
          <w:p>
            <w:pPr>
              <w:spacing w:after="0"/>
              <w:rPr>
                <w:sz w:val="2"/>
                <w:szCs w:val="2"/>
                <w:color w:val="auto"/>
              </w:rPr>
            </w:pPr>
          </w:p>
        </w:tc>
        <w:tc>
          <w:tcPr>
            <w:tcW w:w="8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5440" w:type="dxa"/>
            <w:vAlign w:val="bottom"/>
          </w:tcPr>
          <w:p>
            <w:pPr>
              <w:ind w:left="320"/>
              <w:spacing w:after="0" w:line="148" w:lineRule="exact"/>
              <w:rPr>
                <w:sz w:val="20"/>
                <w:szCs w:val="20"/>
                <w:color w:val="auto"/>
              </w:rPr>
            </w:pPr>
            <w:r>
              <w:rPr>
                <w:rFonts w:ascii="Times New Roman" w:cs="Times New Roman" w:eastAsia="Times New Roman" w:hAnsi="Times New Roman"/>
                <w:sz w:val="16"/>
                <w:szCs w:val="16"/>
                <w:color w:val="auto"/>
              </w:rPr>
              <w:t>Note Modification Agreement dated October 1, 2024, executed by Sutton Hill</w:t>
            </w:r>
          </w:p>
        </w:tc>
        <w:tc>
          <w:tcPr>
            <w:tcW w:w="5000" w:type="dxa"/>
            <w:vAlign w:val="bottom"/>
            <w:gridSpan w:val="12"/>
          </w:tcPr>
          <w:p>
            <w:pPr>
              <w:spacing w:after="0" w:line="148" w:lineRule="exact"/>
              <w:rPr>
                <w:rFonts w:ascii="Times New Roman" w:cs="Times New Roman" w:eastAsia="Times New Roman" w:hAnsi="Times New Roman"/>
                <w:sz w:val="16"/>
                <w:szCs w:val="16"/>
                <w:color w:val="auto"/>
              </w:rPr>
            </w:pPr>
            <w:hyperlink r:id="rId8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auto"/>
              </w:rPr>
              <w:t>10.50†</w:t>
            </w:r>
          </w:p>
        </w:tc>
        <w:tc>
          <w:tcPr>
            <w:tcW w:w="5440" w:type="dxa"/>
            <w:vAlign w:val="bottom"/>
            <w:vMerge w:val="restart"/>
          </w:tcPr>
          <w:p>
            <w:pPr>
              <w:ind w:left="320"/>
              <w:spacing w:after="0" w:line="175" w:lineRule="exact"/>
              <w:rPr>
                <w:sz w:val="20"/>
                <w:szCs w:val="20"/>
                <w:color w:val="auto"/>
              </w:rPr>
            </w:pPr>
            <w:r>
              <w:rPr>
                <w:rFonts w:ascii="Times New Roman" w:cs="Times New Roman" w:eastAsia="Times New Roman" w:hAnsi="Times New Roman"/>
                <w:sz w:val="16"/>
                <w:szCs w:val="16"/>
                <w:color w:val="auto"/>
              </w:rPr>
              <w:t>Properties, LLC and Valley National Bank</w:t>
            </w:r>
          </w:p>
        </w:tc>
        <w:tc>
          <w:tcPr>
            <w:tcW w:w="600" w:type="dxa"/>
            <w:vAlign w:val="bottom"/>
            <w:tcBorders>
              <w:right w:val="single" w:sz="8" w:color="467886"/>
            </w:tcBorders>
            <w:gridSpan w:val="2"/>
          </w:tcPr>
          <w:p>
            <w:pPr>
              <w:spacing w:after="0" w:line="20" w:lineRule="exact"/>
              <w:rPr>
                <w:sz w:val="1"/>
                <w:szCs w:val="1"/>
                <w:color w:val="auto"/>
              </w:rPr>
            </w:pPr>
          </w:p>
        </w:tc>
        <w:tc>
          <w:tcPr>
            <w:tcW w:w="1640" w:type="dxa"/>
            <w:vAlign w:val="bottom"/>
            <w:gridSpan w:val="3"/>
            <w:shd w:val="clear" w:color="auto" w:fill="467886"/>
          </w:tcPr>
          <w:p>
            <w:pPr>
              <w:spacing w:after="0" w:line="20" w:lineRule="exact"/>
              <w:rPr>
                <w:sz w:val="1"/>
                <w:szCs w:val="1"/>
                <w:color w:val="auto"/>
              </w:rPr>
            </w:pPr>
          </w:p>
        </w:tc>
        <w:tc>
          <w:tcPr>
            <w:tcW w:w="2680" w:type="dxa"/>
            <w:vAlign w:val="bottom"/>
            <w:tcBorders>
              <w:left w:val="single" w:sz="8" w:color="467886"/>
              <w:right w:val="single" w:sz="8" w:color="467886"/>
            </w:tcBorders>
            <w:gridSpan w:val="6"/>
            <w:shd w:val="clear" w:color="auto" w:fill="467886"/>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4920" w:type="dxa"/>
            <w:vAlign w:val="bottom"/>
            <w:gridSpan w:val="11"/>
          </w:tcPr>
          <w:p>
            <w:pPr>
              <w:spacing w:after="0" w:line="155" w:lineRule="exact"/>
              <w:rPr>
                <w:rFonts w:ascii="Times New Roman" w:cs="Times New Roman" w:eastAsia="Times New Roman" w:hAnsi="Times New Roman"/>
                <w:sz w:val="16"/>
                <w:szCs w:val="16"/>
                <w:color w:val="467886"/>
              </w:rPr>
            </w:pPr>
            <w:hyperlink r:id="rId87">
              <w:r>
                <w:rPr>
                  <w:rFonts w:ascii="Times New Roman" w:cs="Times New Roman" w:eastAsia="Times New Roman" w:hAnsi="Times New Roman"/>
                  <w:sz w:val="16"/>
                  <w:szCs w:val="16"/>
                  <w:color w:val="467886"/>
                </w:rPr>
                <w:t>the Quarter ended March 31, 2025</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shd w:val="clear" w:color="auto" w:fill="467886"/>
          </w:tcPr>
          <w:p>
            <w:pPr>
              <w:spacing w:after="0" w:line="20" w:lineRule="exact"/>
              <w:rPr>
                <w:sz w:val="1"/>
                <w:szCs w:val="1"/>
                <w:color w:val="auto"/>
              </w:rPr>
            </w:pPr>
          </w:p>
        </w:tc>
        <w:tc>
          <w:tcPr>
            <w:tcW w:w="240" w:type="dxa"/>
            <w:vAlign w:val="bottom"/>
            <w:tcBorders>
              <w:right w:val="single" w:sz="8" w:color="467886"/>
            </w:tcBorders>
            <w:shd w:val="clear" w:color="auto" w:fill="467886"/>
          </w:tcPr>
          <w:p>
            <w:pPr>
              <w:spacing w:after="0" w:line="20" w:lineRule="exact"/>
              <w:rPr>
                <w:sz w:val="1"/>
                <w:szCs w:val="1"/>
                <w:color w:val="auto"/>
              </w:rPr>
            </w:pPr>
          </w:p>
        </w:tc>
        <w:tc>
          <w:tcPr>
            <w:tcW w:w="1220" w:type="dxa"/>
            <w:vAlign w:val="bottom"/>
            <w:shd w:val="clear" w:color="auto" w:fill="467886"/>
          </w:tcPr>
          <w:p>
            <w:pPr>
              <w:spacing w:after="0" w:line="20" w:lineRule="exact"/>
              <w:rPr>
                <w:sz w:val="1"/>
                <w:szCs w:val="1"/>
                <w:color w:val="auto"/>
              </w:rPr>
            </w:pPr>
          </w:p>
        </w:tc>
        <w:tc>
          <w:tcPr>
            <w:tcW w:w="300" w:type="dxa"/>
            <w:vAlign w:val="bottom"/>
            <w:tcBorders>
              <w:right w:val="single" w:sz="8" w:color="467886"/>
            </w:tcBorders>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4" w:right="339" w:bottom="1440" w:gutter="0" w:footer="0" w:header="0"/>
        </w:sectPr>
      </w:pPr>
    </w:p>
    <w:tbl>
      <w:tblPr>
        <w:tblLayout w:type="fixed"/>
        <w:tblInd w:w="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5380" w:type="dxa"/>
            <w:vAlign w:val="bottom"/>
          </w:tcPr>
          <w:p>
            <w:pPr>
              <w:ind w:left="320"/>
              <w:spacing w:after="0" w:line="161" w:lineRule="exact"/>
              <w:rPr>
                <w:sz w:val="20"/>
                <w:szCs w:val="20"/>
                <w:color w:val="auto"/>
              </w:rPr>
            </w:pPr>
            <w:r>
              <w:rPr>
                <w:rFonts w:ascii="Times New Roman" w:cs="Times New Roman" w:eastAsia="Times New Roman" w:hAnsi="Times New Roman"/>
                <w:sz w:val="16"/>
                <w:szCs w:val="16"/>
                <w:color w:val="auto"/>
              </w:rPr>
              <w:t>Note Modification Agreement dated October 1, 2025, executed by Sutton Hill</w:t>
            </w:r>
          </w:p>
        </w:tc>
      </w:tr>
      <w:tr>
        <w:trPr>
          <w:trHeight w:val="175"/>
        </w:trPr>
        <w:tc>
          <w:tcPr>
            <w:tcW w:w="7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10.51†</w:t>
            </w: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Properties, LLC and Valley National Bank</w:t>
            </w:r>
          </w:p>
        </w:tc>
      </w:tr>
      <w:tr>
        <w:trPr>
          <w:trHeight w:val="175"/>
        </w:trPr>
        <w:tc>
          <w:tcPr>
            <w:tcW w:w="780" w:type="dxa"/>
            <w:vAlign w:val="bottom"/>
          </w:tcPr>
          <w:p>
            <w:pPr>
              <w:spacing w:after="0"/>
              <w:rPr>
                <w:sz w:val="15"/>
                <w:szCs w:val="15"/>
                <w:color w:val="auto"/>
              </w:rPr>
            </w:pP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Loan Agreement dated as of May 7, 2021, by and between Reading Tammany</w:t>
            </w:r>
          </w:p>
        </w:tc>
      </w:tr>
      <w:tr>
        <w:trPr>
          <w:trHeight w:val="175"/>
        </w:trPr>
        <w:tc>
          <w:tcPr>
            <w:tcW w:w="780" w:type="dxa"/>
            <w:vAlign w:val="bottom"/>
          </w:tcPr>
          <w:p>
            <w:pPr>
              <w:spacing w:after="0"/>
              <w:rPr>
                <w:sz w:val="15"/>
                <w:szCs w:val="15"/>
                <w:color w:val="auto"/>
              </w:rPr>
            </w:pP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Owner LLC and US Development, LLC, collectively as borrower, and</w:t>
            </w:r>
          </w:p>
        </w:tc>
      </w:tr>
      <w:tr>
        <w:trPr>
          <w:trHeight w:val="175"/>
        </w:trPr>
        <w:tc>
          <w:tcPr>
            <w:tcW w:w="780" w:type="dxa"/>
            <w:vAlign w:val="bottom"/>
          </w:tcPr>
          <w:p>
            <w:pPr>
              <w:spacing w:after="0"/>
              <w:rPr>
                <w:sz w:val="15"/>
                <w:szCs w:val="15"/>
                <w:color w:val="auto"/>
              </w:rPr>
            </w:pP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Emerald Creek Capital 3, LLC, as administrative agent and collateral agent</w:t>
            </w:r>
          </w:p>
        </w:tc>
      </w:tr>
      <w:tr>
        <w:trPr>
          <w:trHeight w:val="175"/>
        </w:trPr>
        <w:tc>
          <w:tcPr>
            <w:tcW w:w="7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10.52†</w:t>
            </w: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for the lender</w:t>
            </w:r>
          </w:p>
        </w:tc>
      </w:tr>
      <w:tr>
        <w:trPr>
          <w:trHeight w:val="176"/>
        </w:trPr>
        <w:tc>
          <w:tcPr>
            <w:tcW w:w="780" w:type="dxa"/>
            <w:vAlign w:val="bottom"/>
          </w:tcPr>
          <w:p>
            <w:pPr>
              <w:spacing w:after="0"/>
              <w:rPr>
                <w:sz w:val="15"/>
                <w:szCs w:val="15"/>
                <w:color w:val="auto"/>
              </w:rPr>
            </w:pP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First Omnibus Loan Modification and Extension Agreement dated April 23,</w:t>
            </w:r>
          </w:p>
        </w:tc>
      </w:tr>
      <w:tr>
        <w:trPr>
          <w:trHeight w:val="175"/>
        </w:trPr>
        <w:tc>
          <w:tcPr>
            <w:tcW w:w="780" w:type="dxa"/>
            <w:vAlign w:val="bottom"/>
          </w:tcPr>
          <w:p>
            <w:pPr>
              <w:spacing w:after="0"/>
              <w:rPr>
                <w:sz w:val="15"/>
                <w:szCs w:val="15"/>
                <w:color w:val="auto"/>
              </w:rPr>
            </w:pP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2024, by and between Reading Tammany Owner LLC and US Development,</w:t>
            </w:r>
          </w:p>
        </w:tc>
      </w:tr>
      <w:tr>
        <w:trPr>
          <w:trHeight w:val="175"/>
        </w:trPr>
        <w:tc>
          <w:tcPr>
            <w:tcW w:w="780" w:type="dxa"/>
            <w:vAlign w:val="bottom"/>
          </w:tcPr>
          <w:p>
            <w:pPr>
              <w:spacing w:after="0"/>
              <w:rPr>
                <w:sz w:val="15"/>
                <w:szCs w:val="15"/>
                <w:color w:val="auto"/>
              </w:rPr>
            </w:pPr>
          </w:p>
        </w:tc>
        <w:tc>
          <w:tcPr>
            <w:tcW w:w="538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LLC, collectively as borrower, and Emerald Creek Capital 3, LLC, as</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10.53</w:t>
            </w:r>
          </w:p>
        </w:tc>
        <w:tc>
          <w:tcPr>
            <w:tcW w:w="5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administrative agent and collateral agent for the lender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-1118870</wp:posOffset>
            </wp:positionV>
            <wp:extent cx="71323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80"/>
        <w:spacing w:after="0" w:line="245" w:lineRule="auto"/>
        <w:rPr>
          <w:rFonts w:ascii="Times New Roman" w:cs="Times New Roman" w:eastAsia="Times New Roman" w:hAnsi="Times New Roman"/>
          <w:sz w:val="16"/>
          <w:szCs w:val="16"/>
          <w:color w:val="467886"/>
        </w:rPr>
      </w:pPr>
      <w:hyperlink r:id="rId9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10.51 to the Company’s Annual Report on Form 10-K for</w:t>
        </w:r>
      </w:hyperlink>
      <w:r>
        <w:rPr>
          <w:rFonts w:ascii="Times New Roman" w:cs="Times New Roman" w:eastAsia="Times New Roman" w:hAnsi="Times New Roman"/>
          <w:sz w:val="16"/>
          <w:szCs w:val="16"/>
          <w:color w:val="auto"/>
        </w:rPr>
        <w:t xml:space="preserve"> </w:t>
      </w:r>
      <w:hyperlink r:id="rId91">
        <w:r>
          <w:rPr>
            <w:rFonts w:ascii="Times New Roman" w:cs="Times New Roman" w:eastAsia="Times New Roman" w:hAnsi="Times New Roman"/>
            <w:sz w:val="16"/>
            <w:szCs w:val="16"/>
            <w:u w:val="single" w:color="auto"/>
            <w:color w:val="467886"/>
          </w:rPr>
          <w:t>the year ended December 31, 2025</w:t>
        </w:r>
        <w:r>
          <w:rPr>
            <w:rFonts w:ascii="Times New Roman" w:cs="Times New Roman" w:eastAsia="Times New Roman" w:hAnsi="Times New Roman"/>
            <w:sz w:val="16"/>
            <w:szCs w:val="16"/>
            <w:color w:val="000000"/>
          </w:rPr>
          <w:t>, and incorporated herein by reference.</w:t>
        </w:r>
      </w:hyperlink>
    </w:p>
    <w:p>
      <w:pPr>
        <w:spacing w:after="0" w:line="137" w:lineRule="exact"/>
        <w:rPr>
          <w:sz w:val="20"/>
          <w:szCs w:val="20"/>
          <w:color w:val="auto"/>
        </w:rPr>
      </w:pPr>
    </w:p>
    <w:p>
      <w:pPr>
        <w:jc w:val="both"/>
        <w:ind w:right="100"/>
        <w:spacing w:after="0" w:line="246" w:lineRule="auto"/>
        <w:rPr>
          <w:rFonts w:ascii="Times New Roman" w:cs="Times New Roman" w:eastAsia="Times New Roman" w:hAnsi="Times New Roman"/>
          <w:sz w:val="16"/>
          <w:szCs w:val="16"/>
          <w:color w:val="467886"/>
        </w:rPr>
      </w:pPr>
      <w:hyperlink r:id="rId9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10.1 to the Company’s Quarterly Report on Form 10-Q for</w:t>
        </w:r>
      </w:hyperlink>
      <w:r>
        <w:rPr>
          <w:rFonts w:ascii="Times New Roman" w:cs="Times New Roman" w:eastAsia="Times New Roman" w:hAnsi="Times New Roman"/>
          <w:sz w:val="16"/>
          <w:szCs w:val="16"/>
          <w:color w:val="auto"/>
        </w:rPr>
        <w:t xml:space="preserve"> </w:t>
      </w:r>
      <w:hyperlink r:id="rId92">
        <w:r>
          <w:rPr>
            <w:rFonts w:ascii="Times New Roman" w:cs="Times New Roman" w:eastAsia="Times New Roman" w:hAnsi="Times New Roman"/>
            <w:sz w:val="16"/>
            <w:szCs w:val="16"/>
            <w:u w:val="single" w:color="auto"/>
            <w:color w:val="467886"/>
          </w:rPr>
          <w:t>the quarter ended June 30, 2021</w:t>
        </w:r>
        <w:r>
          <w:rPr>
            <w:rFonts w:ascii="Times New Roman" w:cs="Times New Roman" w:eastAsia="Times New Roman" w:hAnsi="Times New Roman"/>
            <w:sz w:val="16"/>
            <w:szCs w:val="16"/>
            <w:color w:val="000000"/>
          </w:rPr>
          <w:t>, and incorporated herein by reference.in by</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-247015</wp:posOffset>
            </wp:positionV>
            <wp:extent cx="2771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3">
                      <a:extLst>
                        <a:ext uri="{28A0092B-C50C-407E-A947-70E740481C1C}"/>
                      </a:extLst>
                    </a:blip>
                    <a:srcRect/>
                    <a:stretch>
                      <a:fillRect/>
                    </a:stretch>
                  </pic:blipFill>
                  <pic:spPr bwMode="auto">
                    <a:xfrm>
                      <a:off x="0" y="0"/>
                      <a:ext cx="27711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1313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4">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292" w:lineRule="exact"/>
        <w:rPr>
          <w:sz w:val="20"/>
          <w:szCs w:val="20"/>
          <w:color w:val="auto"/>
        </w:rPr>
      </w:pPr>
    </w:p>
    <w:p>
      <w:pPr>
        <w:ind w:right="120"/>
        <w:spacing w:after="0" w:line="263" w:lineRule="auto"/>
        <w:rPr>
          <w:rFonts w:ascii="Times New Roman" w:cs="Times New Roman" w:eastAsia="Times New Roman" w:hAnsi="Times New Roman"/>
          <w:sz w:val="16"/>
          <w:szCs w:val="16"/>
          <w:color w:val="467886"/>
        </w:rPr>
      </w:pPr>
      <w:hyperlink r:id="rId9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10.2 to the Company’s Quarterly Report on Form 10-Q for</w:t>
        </w:r>
      </w:hyperlink>
      <w:r>
        <w:rPr>
          <w:rFonts w:ascii="Times New Roman" w:cs="Times New Roman" w:eastAsia="Times New Roman" w:hAnsi="Times New Roman"/>
          <w:sz w:val="16"/>
          <w:szCs w:val="16"/>
          <w:color w:val="auto"/>
        </w:rPr>
        <w:t xml:space="preserve"> </w:t>
      </w:r>
      <w:hyperlink r:id="rId95">
        <w:r>
          <w:rPr>
            <w:rFonts w:ascii="Times New Roman" w:cs="Times New Roman" w:eastAsia="Times New Roman" w:hAnsi="Times New Roman"/>
            <w:sz w:val="16"/>
            <w:szCs w:val="16"/>
            <w:u w:val="single" w:color="auto"/>
            <w:color w:val="467886"/>
          </w:rPr>
          <w:t>the period ended June 30, 2024</w:t>
        </w:r>
        <w:r>
          <w:rPr>
            <w:rFonts w:ascii="Times New Roman" w:cs="Times New Roman" w:eastAsia="Times New Roman" w:hAnsi="Times New Roman"/>
            <w:sz w:val="16"/>
            <w:szCs w:val="16"/>
            <w:color w:val="000000"/>
          </w:rPr>
          <w:t>, and incorporated herein by reference.</w:t>
        </w:r>
      </w:hyperlink>
    </w:p>
    <w:p>
      <w:pPr>
        <w:sectPr>
          <w:pgSz w:w="11900" w:h="16838" w:orient="portrait"/>
          <w:cols w:equalWidth="0" w:num="2">
            <w:col w:w="6180" w:space="60"/>
            <w:col w:w="5000"/>
          </w:cols>
          <w:pgMar w:left="320" w:top="104" w:right="339" w:bottom="1440" w:gutter="0" w:footer="0" w:header="0"/>
          <w:type w:val="continuous"/>
        </w:sectPr>
      </w:pPr>
    </w:p>
    <w:bookmarkStart w:id="26" w:name="page27"/>
    <w:bookmarkEnd w:id="26"/>
    <w:tbl>
      <w:tblPr>
        <w:tblLayout w:type="fixed"/>
        <w:tblInd w:w="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Second Omnibus Loan Modification and Extension Agreement dated May 2,</w:t>
            </w:r>
          </w:p>
        </w:tc>
      </w:tr>
      <w:tr>
        <w:trPr>
          <w:trHeight w:val="175"/>
        </w:trPr>
        <w:tc>
          <w:tcPr>
            <w:tcW w:w="780" w:type="dxa"/>
            <w:vAlign w:val="bottom"/>
          </w:tcPr>
          <w:p>
            <w:pPr>
              <w:spacing w:after="0"/>
              <w:rPr>
                <w:sz w:val="15"/>
                <w:szCs w:val="15"/>
                <w:color w:val="auto"/>
              </w:rPr>
            </w:pPr>
          </w:p>
        </w:tc>
        <w:tc>
          <w:tcPr>
            <w:tcW w:w="530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2025, by and between Reading Tammany Owner LLC and US Development,</w:t>
            </w:r>
          </w:p>
        </w:tc>
      </w:tr>
      <w:tr>
        <w:trPr>
          <w:trHeight w:val="176"/>
        </w:trPr>
        <w:tc>
          <w:tcPr>
            <w:tcW w:w="780" w:type="dxa"/>
            <w:vAlign w:val="bottom"/>
          </w:tcPr>
          <w:p>
            <w:pPr>
              <w:spacing w:after="0"/>
              <w:rPr>
                <w:sz w:val="15"/>
                <w:szCs w:val="15"/>
                <w:color w:val="auto"/>
              </w:rPr>
            </w:pPr>
          </w:p>
        </w:tc>
        <w:tc>
          <w:tcPr>
            <w:tcW w:w="530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LLC, collectively as borrower, and Emerald Creek Capital 3, LLC, as</w:t>
            </w:r>
          </w:p>
        </w:tc>
      </w:tr>
      <w:tr>
        <w:trPr>
          <w:trHeight w:val="175"/>
        </w:trPr>
        <w:tc>
          <w:tcPr>
            <w:tcW w:w="7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10.54†</w:t>
            </w:r>
          </w:p>
        </w:tc>
        <w:tc>
          <w:tcPr>
            <w:tcW w:w="530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administrative agent and collateral agent for the lender</w:t>
            </w:r>
          </w:p>
        </w:tc>
      </w:tr>
      <w:tr>
        <w:trPr>
          <w:trHeight w:val="176"/>
        </w:trPr>
        <w:tc>
          <w:tcPr>
            <w:tcW w:w="780" w:type="dxa"/>
            <w:vAlign w:val="bottom"/>
          </w:tcPr>
          <w:p>
            <w:pPr>
              <w:spacing w:after="0"/>
              <w:rPr>
                <w:sz w:val="15"/>
                <w:szCs w:val="15"/>
                <w:color w:val="auto"/>
              </w:rPr>
            </w:pPr>
          </w:p>
        </w:tc>
        <w:tc>
          <w:tcPr>
            <w:tcW w:w="530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Form of Indemnification Agreement, as routinely granted to the Company’s</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10.55*</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Officers and Directors</w:t>
            </w:r>
          </w:p>
        </w:tc>
      </w:tr>
      <w:tr>
        <w:trPr>
          <w:trHeight w:val="316"/>
        </w:trPr>
        <w:tc>
          <w:tcPr>
            <w:tcW w:w="78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Preferability Letter from Independent Registered Public Accounting Firm,</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18</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Grant Thornton LLP</w:t>
            </w:r>
          </w:p>
        </w:tc>
      </w:tr>
      <w:tr>
        <w:trPr>
          <w:trHeight w:val="52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Reading International, Inc. and Subsidiaries Insider Trading Policy</w:t>
            </w:r>
          </w:p>
        </w:tc>
      </w:tr>
      <w:tr>
        <w:trPr>
          <w:trHeight w:val="316"/>
        </w:trPr>
        <w:tc>
          <w:tcPr>
            <w:tcW w:w="78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Reading International, Inc. Amended and Restated Supplemental Policy</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19.2</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Concerning Trading in Company Securities by Designated Persons</w:t>
            </w:r>
          </w:p>
        </w:tc>
      </w:tr>
      <w:tr>
        <w:trPr>
          <w:trHeight w:val="31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List of Subsidiaries</w:t>
            </w:r>
          </w:p>
        </w:tc>
      </w:tr>
      <w:tr>
        <w:trPr>
          <w:trHeight w:val="175"/>
        </w:trPr>
        <w:tc>
          <w:tcPr>
            <w:tcW w:w="780" w:type="dxa"/>
            <w:vAlign w:val="bottom"/>
          </w:tcPr>
          <w:p>
            <w:pPr>
              <w:spacing w:after="0"/>
              <w:rPr>
                <w:sz w:val="15"/>
                <w:szCs w:val="15"/>
                <w:color w:val="auto"/>
              </w:rPr>
            </w:pPr>
          </w:p>
        </w:tc>
        <w:tc>
          <w:tcPr>
            <w:tcW w:w="530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Consent of Independent Registered Public Accounting Firm, Grant Thornton</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LLP</w:t>
            </w:r>
          </w:p>
        </w:tc>
      </w:tr>
      <w:tr>
        <w:trPr>
          <w:trHeight w:val="316"/>
        </w:trPr>
        <w:tc>
          <w:tcPr>
            <w:tcW w:w="78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316"/>
        </w:trPr>
        <w:tc>
          <w:tcPr>
            <w:tcW w:w="78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316"/>
        </w:trPr>
        <w:tc>
          <w:tcPr>
            <w:tcW w:w="78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316"/>
        </w:trPr>
        <w:tc>
          <w:tcPr>
            <w:tcW w:w="78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w:t>
            </w:r>
          </w:p>
        </w:tc>
      </w:tr>
      <w:tr>
        <w:trPr>
          <w:trHeight w:val="19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31.4</w:t>
            </w:r>
          </w:p>
        </w:tc>
        <w:tc>
          <w:tcPr>
            <w:tcW w:w="5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-3002280</wp:posOffset>
            </wp:positionV>
            <wp:extent cx="71323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-2445385</wp:posOffset>
            </wp:positionV>
            <wp:extent cx="713232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-1776730</wp:posOffset>
            </wp:positionV>
            <wp:extent cx="71323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-1330960</wp:posOffset>
            </wp:positionV>
            <wp:extent cx="7132320" cy="334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334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120"/>
        <w:spacing w:after="0" w:line="232" w:lineRule="auto"/>
        <w:rPr>
          <w:rFonts w:ascii="Times New Roman" w:cs="Times New Roman" w:eastAsia="Times New Roman" w:hAnsi="Times New Roman"/>
          <w:sz w:val="16"/>
          <w:szCs w:val="16"/>
          <w:color w:val="467886"/>
        </w:rPr>
      </w:pPr>
      <w:hyperlink r:id="rId10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10.2 to the Company’s Quarterly Report on Form 10-Q for</w:t>
        </w:r>
      </w:hyperlink>
      <w:r>
        <w:rPr>
          <w:rFonts w:ascii="Times New Roman" w:cs="Times New Roman" w:eastAsia="Times New Roman" w:hAnsi="Times New Roman"/>
          <w:sz w:val="16"/>
          <w:szCs w:val="16"/>
          <w:color w:val="auto"/>
        </w:rPr>
        <w:t xml:space="preserve"> </w:t>
      </w:r>
      <w:hyperlink r:id="rId101">
        <w:r>
          <w:rPr>
            <w:rFonts w:ascii="Times New Roman" w:cs="Times New Roman" w:eastAsia="Times New Roman" w:hAnsi="Times New Roman"/>
            <w:sz w:val="16"/>
            <w:szCs w:val="16"/>
            <w:u w:val="single" w:color="auto"/>
            <w:color w:val="467886"/>
          </w:rPr>
          <w:t>the period ended June 30, 2025</w:t>
        </w:r>
        <w:r>
          <w:rPr>
            <w:rFonts w:ascii="Times New Roman" w:cs="Times New Roman" w:eastAsia="Times New Roman" w:hAnsi="Times New Roman"/>
            <w:sz w:val="16"/>
            <w:szCs w:val="16"/>
            <w:color w:val="000000"/>
          </w:rPr>
          <w:t>, and incorporated herein by reference.</w:t>
        </w:r>
      </w:hyperlink>
      <w:r>
        <w:rPr>
          <w:rFonts w:ascii="Times New Roman" w:cs="Times New Roman" w:eastAsia="Times New Roman" w:hAnsi="Times New Roman"/>
          <w:sz w:val="16"/>
          <w:szCs w:val="16"/>
          <w:color w:val="467886"/>
        </w:rPr>
        <w:t xml:space="preserve"> </w:t>
      </w:r>
      <w:hyperlink r:id="rId102">
        <w:r>
          <w:rPr>
            <w:rFonts w:ascii="Times New Roman" w:cs="Times New Roman" w:eastAsia="Times New Roman" w:hAnsi="Times New Roman"/>
            <w:sz w:val="16"/>
            <w:szCs w:val="16"/>
            <w:color w:val="000000"/>
          </w:rPr>
          <w:t xml:space="preserve">Filed as </w:t>
        </w:r>
        <w:r>
          <w:rPr>
            <w:rFonts w:ascii="Times New Roman" w:cs="Times New Roman" w:eastAsia="Times New Roman" w:hAnsi="Times New Roman"/>
            <w:sz w:val="16"/>
            <w:szCs w:val="16"/>
            <w:u w:val="single" w:color="auto"/>
            <w:color w:val="467886"/>
          </w:rPr>
          <w:t>Exhibit 10.4 to the Company’s Quarterly Report on Form 10-Q for</w:t>
        </w:r>
      </w:hyperlink>
      <w:r>
        <w:rPr>
          <w:rFonts w:ascii="Times New Roman" w:cs="Times New Roman" w:eastAsia="Times New Roman" w:hAnsi="Times New Roman"/>
          <w:sz w:val="16"/>
          <w:szCs w:val="16"/>
          <w:color w:val="000000"/>
        </w:rPr>
        <w:t xml:space="preserve"> </w:t>
      </w:r>
      <w:hyperlink r:id="rId102">
        <w:r>
          <w:rPr>
            <w:rFonts w:ascii="Times New Roman" w:cs="Times New Roman" w:eastAsia="Times New Roman" w:hAnsi="Times New Roman"/>
            <w:sz w:val="16"/>
            <w:szCs w:val="16"/>
            <w:u w:val="single" w:color="auto"/>
            <w:color w:val="467886"/>
          </w:rPr>
          <w:t>the quarter ended March 31, 2020</w:t>
        </w:r>
        <w:r>
          <w:rPr>
            <w:rFonts w:ascii="Times New Roman" w:cs="Times New Roman" w:eastAsia="Times New Roman" w:hAnsi="Times New Roman"/>
            <w:sz w:val="16"/>
            <w:szCs w:val="16"/>
            <w:color w:val="000000"/>
          </w:rPr>
          <w:t>, and incorporated herein by reference.</w:t>
        </w:r>
      </w:hyperlink>
      <w:r>
        <w:rPr>
          <w:rFonts w:ascii="Times New Roman" w:cs="Times New Roman" w:eastAsia="Times New Roman" w:hAnsi="Times New Roman"/>
          <w:sz w:val="16"/>
          <w:szCs w:val="16"/>
          <w:color w:val="467886"/>
        </w:rPr>
        <w:t xml:space="preserve"> </w:t>
      </w:r>
      <w:hyperlink r:id="rId103">
        <w:r>
          <w:rPr>
            <w:rFonts w:ascii="Times New Roman" w:cs="Times New Roman" w:eastAsia="Times New Roman" w:hAnsi="Times New Roman"/>
            <w:sz w:val="16"/>
            <w:szCs w:val="16"/>
            <w:color w:val="000000"/>
          </w:rPr>
          <w:t xml:space="preserve">Filed as </w:t>
        </w:r>
        <w:r>
          <w:rPr>
            <w:rFonts w:ascii="Times New Roman" w:cs="Times New Roman" w:eastAsia="Times New Roman" w:hAnsi="Times New Roman"/>
            <w:sz w:val="16"/>
            <w:szCs w:val="16"/>
            <w:u w:val="single" w:color="auto"/>
            <w:color w:val="467886"/>
          </w:rPr>
          <w:t>Exhibit 18 to the Company’s Annual Report on Form 10-K for the</w:t>
        </w:r>
      </w:hyperlink>
      <w:r>
        <w:rPr>
          <w:rFonts w:ascii="Times New Roman" w:cs="Times New Roman" w:eastAsia="Times New Roman" w:hAnsi="Times New Roman"/>
          <w:sz w:val="16"/>
          <w:szCs w:val="16"/>
          <w:color w:val="000000"/>
        </w:rPr>
        <w:t xml:space="preserve"> </w:t>
      </w:r>
      <w:hyperlink r:id="rId103">
        <w:r>
          <w:rPr>
            <w:rFonts w:ascii="Times New Roman" w:cs="Times New Roman" w:eastAsia="Times New Roman" w:hAnsi="Times New Roman"/>
            <w:sz w:val="16"/>
            <w:szCs w:val="16"/>
            <w:u w:val="single" w:color="auto"/>
            <w:color w:val="467886"/>
          </w:rPr>
          <w:t>year ended December 31, 2016</w:t>
        </w:r>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filed on March 13, 2017 and incorporated</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herein by reference</w:t>
      </w:r>
    </w:p>
    <w:p>
      <w:pPr>
        <w:spacing w:after="0" w:line="20" w:lineRule="exact"/>
        <w:rPr>
          <w:rFonts w:ascii="Times New Roman" w:cs="Times New Roman" w:eastAsia="Times New Roman" w:hAnsi="Times New Roman"/>
          <w:sz w:val="16"/>
          <w:szCs w:val="16"/>
          <w:color w:val="467886"/>
        </w:rPr>
      </w:pPr>
      <w:r>
        <w:rPr>
          <w:rFonts w:ascii="Times New Roman" w:cs="Times New Roman" w:eastAsia="Times New Roman" w:hAnsi="Times New Roman"/>
          <w:sz w:val="16"/>
          <w:szCs w:val="16"/>
          <w:color w:val="467886"/>
        </w:rPr>
        <w:drawing>
          <wp:anchor simplePos="0" relativeHeight="251657728" behindDoc="1" locked="0" layoutInCell="0" allowOverlap="1">
            <wp:simplePos x="0" y="0"/>
            <wp:positionH relativeFrom="column">
              <wp:posOffset>351790</wp:posOffset>
            </wp:positionH>
            <wp:positionV relativeFrom="paragraph">
              <wp:posOffset>-678180</wp:posOffset>
            </wp:positionV>
            <wp:extent cx="2771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4">
                      <a:extLst>
                        <a:ext uri="{28A0092B-C50C-407E-A947-70E740481C1C}"/>
                      </a:extLst>
                    </a:blip>
                    <a:srcRect/>
                    <a:stretch>
                      <a:fillRect/>
                    </a:stretch>
                  </pic:blipFill>
                  <pic:spPr bwMode="auto">
                    <a:xfrm>
                      <a:off x="0" y="0"/>
                      <a:ext cx="27711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-567055</wp:posOffset>
            </wp:positionV>
            <wp:extent cx="1285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5">
                      <a:extLst>
                        <a:ext uri="{28A0092B-C50C-407E-A947-70E740481C1C}"/>
                      </a:extLst>
                    </a:blip>
                    <a:srcRect/>
                    <a:stretch>
                      <a:fillRect/>
                    </a:stretch>
                  </pic:blipFill>
                  <pic:spPr bwMode="auto">
                    <a:xfrm>
                      <a:off x="0" y="0"/>
                      <a:ext cx="1285240"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-232410</wp:posOffset>
            </wp:positionV>
            <wp:extent cx="27546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6">
                      <a:extLst>
                        <a:ext uri="{28A0092B-C50C-407E-A947-70E740481C1C}"/>
                      </a:extLst>
                    </a:blip>
                    <a:srcRect/>
                    <a:stretch>
                      <a:fillRect/>
                    </a:stretch>
                  </pic:blipFill>
                  <pic:spPr bwMode="auto">
                    <a:xfrm>
                      <a:off x="0" y="0"/>
                      <a:ext cx="27546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-121285</wp:posOffset>
            </wp:positionV>
            <wp:extent cx="128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7">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jc w:val="both"/>
        <w:ind w:right="260"/>
        <w:spacing w:after="0" w:line="228" w:lineRule="auto"/>
        <w:rPr>
          <w:rFonts w:ascii="Times New Roman" w:cs="Times New Roman" w:eastAsia="Times New Roman" w:hAnsi="Times New Roman"/>
          <w:sz w:val="16"/>
          <w:szCs w:val="16"/>
          <w:color w:val="467886"/>
        </w:rPr>
      </w:pPr>
      <w:hyperlink r:id="rId10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19.1 to the Company’s Annual Report on Form 10-K/A</w:t>
        </w:r>
      </w:hyperlink>
      <w:r>
        <w:rPr>
          <w:rFonts w:ascii="Times New Roman" w:cs="Times New Roman" w:eastAsia="Times New Roman" w:hAnsi="Times New Roman"/>
          <w:sz w:val="16"/>
          <w:szCs w:val="16"/>
          <w:color w:val="auto"/>
        </w:rPr>
        <w:t xml:space="preserve"> </w:t>
      </w:r>
      <w:hyperlink r:id="rId108">
        <w:r>
          <w:rPr>
            <w:rFonts w:ascii="Times New Roman" w:cs="Times New Roman" w:eastAsia="Times New Roman" w:hAnsi="Times New Roman"/>
            <w:sz w:val="16"/>
            <w:szCs w:val="16"/>
            <w:u w:val="single" w:color="auto"/>
            <w:color w:val="467886"/>
          </w:rPr>
          <w:t>No.1 for the year ended December 31, 2024</w:t>
        </w:r>
        <w:r>
          <w:rPr>
            <w:rFonts w:ascii="Times New Roman" w:cs="Times New Roman" w:eastAsia="Times New Roman" w:hAnsi="Times New Roman"/>
            <w:sz w:val="16"/>
            <w:szCs w:val="16"/>
            <w:color w:val="000000"/>
          </w:rPr>
          <w:t>, filed on April 21, 2025, and</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incorporated herein by reference.</w:t>
      </w:r>
    </w:p>
    <w:p>
      <w:pPr>
        <w:spacing w:after="0" w:line="2" w:lineRule="exact"/>
        <w:rPr>
          <w:sz w:val="20"/>
          <w:szCs w:val="20"/>
          <w:color w:val="auto"/>
        </w:rPr>
      </w:pPr>
    </w:p>
    <w:p>
      <w:pPr>
        <w:jc w:val="both"/>
        <w:ind w:right="300"/>
        <w:spacing w:after="0" w:line="228" w:lineRule="auto"/>
        <w:rPr>
          <w:rFonts w:ascii="Times New Roman" w:cs="Times New Roman" w:eastAsia="Times New Roman" w:hAnsi="Times New Roman"/>
          <w:sz w:val="16"/>
          <w:szCs w:val="16"/>
          <w:color w:val="467886"/>
        </w:rPr>
      </w:pPr>
      <w:hyperlink r:id="rId10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19.2 to the Company’s Annual Report on Form 10-K/A</w:t>
        </w:r>
      </w:hyperlink>
      <w:r>
        <w:rPr>
          <w:rFonts w:ascii="Times New Roman" w:cs="Times New Roman" w:eastAsia="Times New Roman" w:hAnsi="Times New Roman"/>
          <w:sz w:val="16"/>
          <w:szCs w:val="16"/>
          <w:color w:val="auto"/>
        </w:rPr>
        <w:t xml:space="preserve"> </w:t>
      </w:r>
      <w:hyperlink r:id="rId109">
        <w:r>
          <w:rPr>
            <w:rFonts w:ascii="Times New Roman" w:cs="Times New Roman" w:eastAsia="Times New Roman" w:hAnsi="Times New Roman"/>
            <w:sz w:val="16"/>
            <w:szCs w:val="16"/>
            <w:u w:val="single" w:color="auto"/>
            <w:color w:val="467886"/>
          </w:rPr>
          <w:t>No.1 for the year ended December 31, 2024</w:t>
        </w:r>
        <w:r>
          <w:rPr>
            <w:rFonts w:ascii="Times New Roman" w:cs="Times New Roman" w:eastAsia="Times New Roman" w:hAnsi="Times New Roman"/>
            <w:sz w:val="16"/>
            <w:szCs w:val="16"/>
            <w:color w:val="000000"/>
          </w:rPr>
          <w:t>, filed on April 21, 2025 and</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-232410</wp:posOffset>
            </wp:positionV>
            <wp:extent cx="2637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0">
                      <a:extLst>
                        <a:ext uri="{28A0092B-C50C-407E-A947-70E740481C1C}"/>
                      </a:extLst>
                    </a:blip>
                    <a:srcRect/>
                    <a:stretch>
                      <a:fillRect/>
                    </a:stretch>
                  </pic:blipFill>
                  <pic:spPr bwMode="auto">
                    <a:xfrm>
                      <a:off x="0" y="0"/>
                      <a:ext cx="26371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wp:posOffset>
            </wp:positionV>
            <wp:extent cx="18078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1">
                      <a:extLst>
                        <a:ext uri="{28A0092B-C50C-407E-A947-70E740481C1C}"/>
                      </a:extLst>
                    </a:blip>
                    <a:srcRect/>
                    <a:stretch>
                      <a:fillRect/>
                    </a:stretch>
                  </pic:blipFill>
                  <pic:spPr bwMode="auto">
                    <a:xfrm>
                      <a:off x="0" y="0"/>
                      <a:ext cx="1807845" cy="8255"/>
                    </a:xfrm>
                    <a:prstGeom prst="rect">
                      <a:avLst/>
                    </a:prstGeom>
                    <a:noFill/>
                  </pic:spPr>
                </pic:pic>
              </a:graphicData>
            </a:graphic>
          </wp:anchor>
        </w:drawing>
      </w:r>
    </w:p>
    <w:p>
      <w:pPr>
        <w:ind w:right="200"/>
        <w:spacing w:after="0" w:line="228" w:lineRule="auto"/>
        <w:rPr>
          <w:rFonts w:ascii="Times New Roman" w:cs="Times New Roman" w:eastAsia="Times New Roman" w:hAnsi="Times New Roman"/>
          <w:sz w:val="16"/>
          <w:szCs w:val="16"/>
          <w:color w:val="467886"/>
        </w:rPr>
      </w:pPr>
      <w:hyperlink r:id="rId11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21 to the Company’s Annual Report on Form 10K for the</w:t>
        </w:r>
      </w:hyperlink>
      <w:r>
        <w:rPr>
          <w:rFonts w:ascii="Times New Roman" w:cs="Times New Roman" w:eastAsia="Times New Roman" w:hAnsi="Times New Roman"/>
          <w:sz w:val="16"/>
          <w:szCs w:val="16"/>
          <w:color w:val="auto"/>
        </w:rPr>
        <w:t xml:space="preserve"> </w:t>
      </w:r>
      <w:hyperlink r:id="rId112">
        <w:r>
          <w:rPr>
            <w:rFonts w:ascii="Times New Roman" w:cs="Times New Roman" w:eastAsia="Times New Roman" w:hAnsi="Times New Roman"/>
            <w:sz w:val="16"/>
            <w:szCs w:val="16"/>
            <w:u w:val="single" w:color="auto"/>
            <w:color w:val="467886"/>
          </w:rPr>
          <w:t>year ended December 31, 2025</w:t>
        </w:r>
        <w:r>
          <w:rPr>
            <w:rFonts w:ascii="Times New Roman" w:cs="Times New Roman" w:eastAsia="Times New Roman" w:hAnsi="Times New Roman"/>
            <w:sz w:val="16"/>
            <w:szCs w:val="16"/>
            <w:color w:val="000000"/>
          </w:rPr>
          <w:t>, and incorporated herein by reference.</w:t>
        </w:r>
      </w:hyperlink>
    </w:p>
    <w:p>
      <w:pPr>
        <w:spacing w:after="0" w:line="1" w:lineRule="exact"/>
        <w:rPr>
          <w:sz w:val="20"/>
          <w:szCs w:val="20"/>
          <w:color w:val="auto"/>
        </w:rPr>
      </w:pPr>
    </w:p>
    <w:p>
      <w:pPr>
        <w:ind w:right="20"/>
        <w:spacing w:after="0" w:line="228" w:lineRule="auto"/>
        <w:rPr>
          <w:rFonts w:ascii="Times New Roman" w:cs="Times New Roman" w:eastAsia="Times New Roman" w:hAnsi="Times New Roman"/>
          <w:sz w:val="16"/>
          <w:szCs w:val="16"/>
          <w:color w:val="467886"/>
        </w:rPr>
      </w:pPr>
      <w:hyperlink r:id="rId11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23.1 to the Company’s Annual Report on Form 10-K for the</w:t>
        </w:r>
      </w:hyperlink>
      <w:r>
        <w:rPr>
          <w:rFonts w:ascii="Times New Roman" w:cs="Times New Roman" w:eastAsia="Times New Roman" w:hAnsi="Times New Roman"/>
          <w:sz w:val="16"/>
          <w:szCs w:val="16"/>
          <w:color w:val="auto"/>
        </w:rPr>
        <w:t xml:space="preserve"> </w:t>
      </w:r>
      <w:hyperlink r:id="rId113">
        <w:r>
          <w:rPr>
            <w:rFonts w:ascii="Times New Roman" w:cs="Times New Roman" w:eastAsia="Times New Roman" w:hAnsi="Times New Roman"/>
            <w:sz w:val="16"/>
            <w:szCs w:val="16"/>
            <w:u w:val="single" w:color="auto"/>
            <w:color w:val="467886"/>
          </w:rPr>
          <w:t>year ended December 31, 2025</w:t>
        </w:r>
        <w:r>
          <w:rPr>
            <w:rFonts w:ascii="Times New Roman" w:cs="Times New Roman" w:eastAsia="Times New Roman" w:hAnsi="Times New Roman"/>
            <w:sz w:val="16"/>
            <w:szCs w:val="16"/>
            <w:color w:val="000000"/>
          </w:rPr>
          <w:t>,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-121285</wp:posOffset>
            </wp:positionV>
            <wp:extent cx="2814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4">
                      <a:extLst>
                        <a:ext uri="{28A0092B-C50C-407E-A947-70E740481C1C}"/>
                      </a:extLst>
                    </a:blip>
                    <a:srcRect/>
                    <a:stretch>
                      <a:fillRect/>
                    </a:stretch>
                  </pic:blipFill>
                  <pic:spPr bwMode="auto">
                    <a:xfrm>
                      <a:off x="0" y="0"/>
                      <a:ext cx="28149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wp:posOffset>
            </wp:positionV>
            <wp:extent cx="128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5">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right="20"/>
        <w:spacing w:after="0" w:line="228" w:lineRule="auto"/>
        <w:rPr>
          <w:rFonts w:ascii="Times New Roman" w:cs="Times New Roman" w:eastAsia="Times New Roman" w:hAnsi="Times New Roman"/>
          <w:sz w:val="16"/>
          <w:szCs w:val="16"/>
          <w:color w:val="467886"/>
        </w:rPr>
      </w:pPr>
      <w:hyperlink r:id="rId11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31.1 to the Company’s Annual Report on Form 10-K for the</w:t>
        </w:r>
      </w:hyperlink>
      <w:r>
        <w:rPr>
          <w:rFonts w:ascii="Times New Roman" w:cs="Times New Roman" w:eastAsia="Times New Roman" w:hAnsi="Times New Roman"/>
          <w:sz w:val="16"/>
          <w:szCs w:val="16"/>
          <w:color w:val="auto"/>
        </w:rPr>
        <w:t xml:space="preserve"> </w:t>
      </w:r>
      <w:hyperlink r:id="rId116">
        <w:r>
          <w:rPr>
            <w:rFonts w:ascii="Times New Roman" w:cs="Times New Roman" w:eastAsia="Times New Roman" w:hAnsi="Times New Roman"/>
            <w:sz w:val="16"/>
            <w:szCs w:val="16"/>
            <w:u w:val="single" w:color="auto"/>
            <w:color w:val="467886"/>
          </w:rPr>
          <w:t>year ended December 31, 2025</w:t>
        </w:r>
        <w:r>
          <w:rPr>
            <w:rFonts w:ascii="Times New Roman" w:cs="Times New Roman" w:eastAsia="Times New Roman" w:hAnsi="Times New Roman"/>
            <w:sz w:val="16"/>
            <w:szCs w:val="16"/>
            <w:color w:val="000000"/>
          </w:rPr>
          <w:t>, filed on March 31, 2026, and incorporated</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herein by reference.</w:t>
      </w:r>
    </w:p>
    <w:p>
      <w:pPr>
        <w:spacing w:after="0" w:line="2" w:lineRule="exact"/>
        <w:rPr>
          <w:sz w:val="20"/>
          <w:szCs w:val="20"/>
          <w:color w:val="auto"/>
        </w:rPr>
      </w:pPr>
    </w:p>
    <w:p>
      <w:pPr>
        <w:ind w:right="20"/>
        <w:spacing w:after="0" w:line="228" w:lineRule="auto"/>
        <w:rPr>
          <w:rFonts w:ascii="Times New Roman" w:cs="Times New Roman" w:eastAsia="Times New Roman" w:hAnsi="Times New Roman"/>
          <w:sz w:val="16"/>
          <w:szCs w:val="16"/>
          <w:color w:val="467886"/>
        </w:rPr>
      </w:pPr>
      <w:hyperlink r:id="rId11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31.2 to the Company’s Annual Report on Form 10-K for the</w:t>
        </w:r>
      </w:hyperlink>
      <w:r>
        <w:rPr>
          <w:rFonts w:ascii="Times New Roman" w:cs="Times New Roman" w:eastAsia="Times New Roman" w:hAnsi="Times New Roman"/>
          <w:sz w:val="16"/>
          <w:szCs w:val="16"/>
          <w:color w:val="auto"/>
        </w:rPr>
        <w:t xml:space="preserve"> </w:t>
      </w:r>
      <w:hyperlink r:id="rId117">
        <w:r>
          <w:rPr>
            <w:rFonts w:ascii="Times New Roman" w:cs="Times New Roman" w:eastAsia="Times New Roman" w:hAnsi="Times New Roman"/>
            <w:sz w:val="16"/>
            <w:szCs w:val="16"/>
            <w:u w:val="single" w:color="auto"/>
            <w:color w:val="467886"/>
          </w:rPr>
          <w:t>year ended December 31, 2025</w:t>
        </w:r>
        <w:r>
          <w:rPr>
            <w:rFonts w:ascii="Times New Roman" w:cs="Times New Roman" w:eastAsia="Times New Roman" w:hAnsi="Times New Roman"/>
            <w:sz w:val="16"/>
            <w:szCs w:val="16"/>
            <w:color w:val="000000"/>
          </w:rPr>
          <w:t>, filed on March 31, 2026, and incorporated</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-232410</wp:posOffset>
            </wp:positionV>
            <wp:extent cx="2814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8">
                      <a:extLst>
                        <a:ext uri="{28A0092B-C50C-407E-A947-70E740481C1C}"/>
                      </a:extLst>
                    </a:blip>
                    <a:srcRect/>
                    <a:stretch>
                      <a:fillRect/>
                    </a:stretch>
                  </pic:blipFill>
                  <pic:spPr bwMode="auto">
                    <a:xfrm>
                      <a:off x="0" y="0"/>
                      <a:ext cx="28149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wp:posOffset>
            </wp:positionV>
            <wp:extent cx="128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9">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jc w:val="both"/>
        <w:ind w:right="260"/>
        <w:spacing w:after="0" w:line="228" w:lineRule="auto"/>
        <w:rPr>
          <w:rFonts w:ascii="Times New Roman" w:cs="Times New Roman" w:eastAsia="Times New Roman" w:hAnsi="Times New Roman"/>
          <w:sz w:val="16"/>
          <w:szCs w:val="16"/>
          <w:color w:val="467886"/>
        </w:rPr>
      </w:pPr>
      <w:hyperlink r:id="rId12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31.3 to the Company’s Annual Report on Form 10-K/A</w:t>
        </w:r>
      </w:hyperlink>
      <w:r>
        <w:rPr>
          <w:rFonts w:ascii="Times New Roman" w:cs="Times New Roman" w:eastAsia="Times New Roman" w:hAnsi="Times New Roman"/>
          <w:sz w:val="16"/>
          <w:szCs w:val="16"/>
          <w:color w:val="auto"/>
        </w:rPr>
        <w:t xml:space="preserve"> </w:t>
      </w:r>
      <w:hyperlink r:id="rId120">
        <w:r>
          <w:rPr>
            <w:rFonts w:ascii="Times New Roman" w:cs="Times New Roman" w:eastAsia="Times New Roman" w:hAnsi="Times New Roman"/>
            <w:sz w:val="16"/>
            <w:szCs w:val="16"/>
            <w:u w:val="single" w:color="auto"/>
            <w:color w:val="467886"/>
          </w:rPr>
          <w:t>No.1 for the year ended December 31, 2025</w:t>
        </w:r>
        <w:r>
          <w:rPr>
            <w:rFonts w:ascii="Times New Roman" w:cs="Times New Roman" w:eastAsia="Times New Roman" w:hAnsi="Times New Roman"/>
            <w:sz w:val="16"/>
            <w:szCs w:val="16"/>
            <w:color w:val="000000"/>
          </w:rPr>
          <w:t>, filed on April 20, 2026, and</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incorporated herein by reference.</w:t>
      </w:r>
    </w:p>
    <w:p>
      <w:pPr>
        <w:spacing w:after="0" w:line="2" w:lineRule="exact"/>
        <w:rPr>
          <w:sz w:val="20"/>
          <w:szCs w:val="20"/>
          <w:color w:val="auto"/>
        </w:rPr>
      </w:pPr>
    </w:p>
    <w:p>
      <w:pPr>
        <w:jc w:val="both"/>
        <w:ind w:right="260"/>
        <w:spacing w:after="0" w:line="228" w:lineRule="auto"/>
        <w:rPr>
          <w:rFonts w:ascii="Times New Roman" w:cs="Times New Roman" w:eastAsia="Times New Roman" w:hAnsi="Times New Roman"/>
          <w:sz w:val="16"/>
          <w:szCs w:val="16"/>
          <w:color w:val="467886"/>
        </w:rPr>
      </w:pPr>
      <w:hyperlink r:id="rId12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u w:val="single" w:color="auto"/>
            <w:color w:val="467886"/>
          </w:rPr>
          <w:t>Exhibit 31.4 to the Company’s Annual Report on Form 10-K/A</w:t>
        </w:r>
      </w:hyperlink>
      <w:r>
        <w:rPr>
          <w:rFonts w:ascii="Times New Roman" w:cs="Times New Roman" w:eastAsia="Times New Roman" w:hAnsi="Times New Roman"/>
          <w:sz w:val="16"/>
          <w:szCs w:val="16"/>
          <w:color w:val="auto"/>
        </w:rPr>
        <w:t xml:space="preserve"> </w:t>
      </w:r>
      <w:hyperlink r:id="rId121">
        <w:r>
          <w:rPr>
            <w:rFonts w:ascii="Times New Roman" w:cs="Times New Roman" w:eastAsia="Times New Roman" w:hAnsi="Times New Roman"/>
            <w:sz w:val="16"/>
            <w:szCs w:val="16"/>
            <w:u w:val="single" w:color="auto"/>
            <w:color w:val="467886"/>
          </w:rPr>
          <w:t>No.1 for the year ended December 31, 2025</w:t>
        </w:r>
        <w:r>
          <w:rPr>
            <w:rFonts w:ascii="Times New Roman" w:cs="Times New Roman" w:eastAsia="Times New Roman" w:hAnsi="Times New Roman"/>
            <w:sz w:val="16"/>
            <w:szCs w:val="16"/>
            <w:color w:val="000000"/>
          </w:rPr>
          <w:t>, filed on April 20, 2026, and</w:t>
        </w:r>
      </w:hyperlink>
      <w:r>
        <w:rPr>
          <w:rFonts w:ascii="Times New Roman" w:cs="Times New Roman" w:eastAsia="Times New Roman" w:hAnsi="Times New Roman"/>
          <w:sz w:val="16"/>
          <w:szCs w:val="16"/>
          <w:color w:val="467886"/>
        </w:rPr>
        <w:t xml:space="preserve"> </w:t>
      </w:r>
      <w:r>
        <w:rPr>
          <w:rFonts w:ascii="Times New Roman" w:cs="Times New Roman" w:eastAsia="Times New Roman" w:hAnsi="Times New Roman"/>
          <w:sz w:val="16"/>
          <w:szCs w:val="16"/>
          <w:color w:val="000000"/>
        </w:rPr>
        <w:t>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-232410</wp:posOffset>
            </wp:positionV>
            <wp:extent cx="2637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2">
                      <a:extLst>
                        <a:ext uri="{28A0092B-C50C-407E-A947-70E740481C1C}"/>
                      </a:extLst>
                    </a:blip>
                    <a:srcRect/>
                    <a:stretch>
                      <a:fillRect/>
                    </a:stretch>
                  </pic:blipFill>
                  <pic:spPr bwMode="auto">
                    <a:xfrm>
                      <a:off x="0" y="0"/>
                      <a:ext cx="26371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wp:posOffset>
            </wp:positionV>
            <wp:extent cx="1807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3">
                      <a:extLst>
                        <a:ext uri="{28A0092B-C50C-407E-A947-70E740481C1C}"/>
                      </a:extLst>
                    </a:blip>
                    <a:srcRect/>
                    <a:stretch>
                      <a:fillRect/>
                    </a:stretch>
                  </pic:blipFill>
                  <pic:spPr bwMode="auto">
                    <a:xfrm>
                      <a:off x="0" y="0"/>
                      <a:ext cx="1807845"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6100" w:space="140"/>
            <w:col w:w="5000"/>
          </w:cols>
          <w:pgMar w:left="320" w:top="104" w:right="339" w:bottom="1440" w:gutter="0" w:footer="0" w:header="0"/>
        </w:sectPr>
      </w:pPr>
    </w:p>
    <w:tbl>
      <w:tblPr>
        <w:tblLayout w:type="fixed"/>
        <w:tblInd w:w="0" w:type="dxa"/>
        <w:tblCellMar>
          <w:top w:w="0" w:type="dxa"/>
          <w:left w:w="0" w:type="dxa"/>
          <w:bottom w:w="0" w:type="dxa"/>
          <w:right w:w="0" w:type="dxa"/>
        </w:tblCellMar>
      </w:tblPr>
      <w:tr>
        <w:trPr>
          <w:trHeight w:val="158"/>
        </w:trPr>
        <w:tc>
          <w:tcPr>
            <w:tcW w:w="1120" w:type="dxa"/>
            <w:vAlign w:val="bottom"/>
            <w:vMerge w:val="restart"/>
            <w:shd w:val="clear" w:color="auto" w:fill="CEEEFA"/>
          </w:tcPr>
          <w:p>
            <w:pPr>
              <w:ind w:left="20"/>
              <w:spacing w:after="0"/>
              <w:rPr>
                <w:sz w:val="20"/>
                <w:szCs w:val="20"/>
                <w:color w:val="auto"/>
              </w:rPr>
            </w:pPr>
            <w:r>
              <w:rPr>
                <w:rFonts w:ascii="Times New Roman" w:cs="Times New Roman" w:eastAsia="Times New Roman" w:hAnsi="Times New Roman"/>
                <w:sz w:val="16"/>
                <w:szCs w:val="16"/>
                <w:color w:val="auto"/>
              </w:rPr>
              <w:t>31.5+</w:t>
            </w:r>
          </w:p>
        </w:tc>
        <w:tc>
          <w:tcPr>
            <w:tcW w:w="5120" w:type="dxa"/>
            <w:vAlign w:val="bottom"/>
            <w:gridSpan w:val="4"/>
            <w:shd w:val="clear" w:color="auto" w:fill="CEEEFA"/>
          </w:tcPr>
          <w:p>
            <w:pPr>
              <w:spacing w:after="0" w:line="158" w:lineRule="exact"/>
              <w:rPr>
                <w:sz w:val="20"/>
                <w:szCs w:val="20"/>
                <w:color w:val="auto"/>
              </w:rPr>
            </w:pPr>
            <w:r>
              <w:rPr>
                <w:rFonts w:ascii="Times New Roman" w:cs="Times New Roman" w:eastAsia="Times New Roman" w:hAnsi="Times New Roman"/>
                <w:sz w:val="16"/>
                <w:szCs w:val="16"/>
                <w:color w:val="467886"/>
              </w:rPr>
              <w:t>Certification of Principal Executive Officer pursuant to Section 302 of the</w:t>
            </w:r>
          </w:p>
        </w:tc>
        <w:tc>
          <w:tcPr>
            <w:tcW w:w="5000" w:type="dxa"/>
            <w:vAlign w:val="bottom"/>
            <w:gridSpan w:val="6"/>
            <w:vMerge w:val="restart"/>
            <w:shd w:val="clear" w:color="auto" w:fill="CEEEFA"/>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56"/>
        </w:trPr>
        <w:tc>
          <w:tcPr>
            <w:tcW w:w="1120" w:type="dxa"/>
            <w:vAlign w:val="bottom"/>
            <w:tcBorders>
              <w:top w:val="single" w:sz="8" w:color="CEEEFA"/>
            </w:tcBorders>
            <w:vMerge w:val="continue"/>
            <w:shd w:val="clear" w:color="auto" w:fill="CEEEFA"/>
          </w:tcPr>
          <w:p>
            <w:pPr>
              <w:spacing w:after="0"/>
              <w:rPr>
                <w:sz w:val="13"/>
                <w:szCs w:val="13"/>
                <w:color w:val="auto"/>
              </w:rPr>
            </w:pPr>
          </w:p>
        </w:tc>
        <w:tc>
          <w:tcPr>
            <w:tcW w:w="4840" w:type="dxa"/>
            <w:vAlign w:val="bottom"/>
            <w:tcBorders>
              <w:top w:val="single" w:sz="8" w:color="467886"/>
            </w:tcBorders>
            <w:gridSpan w:val="3"/>
            <w:shd w:val="clear" w:color="auto" w:fill="CEEEFA"/>
          </w:tcPr>
          <w:p>
            <w:pPr>
              <w:spacing w:after="0" w:line="155" w:lineRule="exact"/>
              <w:rPr>
                <w:sz w:val="20"/>
                <w:szCs w:val="20"/>
                <w:color w:val="auto"/>
              </w:rPr>
            </w:pPr>
            <w:r>
              <w:rPr>
                <w:rFonts w:ascii="Times New Roman" w:cs="Times New Roman" w:eastAsia="Times New Roman" w:hAnsi="Times New Roman"/>
                <w:sz w:val="16"/>
                <w:szCs w:val="16"/>
                <w:color w:val="467886"/>
              </w:rPr>
              <w:t>Sarbanes-Oxley Act of 2002</w:t>
            </w:r>
          </w:p>
        </w:tc>
        <w:tc>
          <w:tcPr>
            <w:tcW w:w="280" w:type="dxa"/>
            <w:vAlign w:val="bottom"/>
            <w:tcBorders>
              <w:top w:val="single" w:sz="8" w:color="CEEEFA"/>
            </w:tcBorders>
            <w:shd w:val="clear" w:color="auto" w:fill="CEEEFA"/>
          </w:tcPr>
          <w:p>
            <w:pPr>
              <w:spacing w:after="0"/>
              <w:rPr>
                <w:sz w:val="13"/>
                <w:szCs w:val="13"/>
                <w:color w:val="auto"/>
              </w:rPr>
            </w:pPr>
          </w:p>
        </w:tc>
        <w:tc>
          <w:tcPr>
            <w:tcW w:w="5000" w:type="dxa"/>
            <w:vAlign w:val="bottom"/>
            <w:tcBorders>
              <w:top w:val="single" w:sz="8" w:color="CEEEFA"/>
            </w:tcBorders>
            <w:gridSpan w:val="6"/>
            <w:vMerge w:val="continue"/>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CEEEFA"/>
          </w:tcPr>
          <w:p>
            <w:pPr>
              <w:spacing w:after="0"/>
              <w:rPr>
                <w:sz w:val="2"/>
                <w:szCs w:val="2"/>
                <w:color w:val="auto"/>
              </w:rPr>
            </w:pPr>
          </w:p>
        </w:tc>
        <w:tc>
          <w:tcPr>
            <w:tcW w:w="1840" w:type="dxa"/>
            <w:vAlign w:val="bottom"/>
            <w:shd w:val="clear" w:color="auto" w:fill="467886"/>
          </w:tcPr>
          <w:p>
            <w:pPr>
              <w:spacing w:after="0"/>
              <w:rPr>
                <w:sz w:val="2"/>
                <w:szCs w:val="2"/>
                <w:color w:val="auto"/>
              </w:rPr>
            </w:pPr>
          </w:p>
        </w:tc>
        <w:tc>
          <w:tcPr>
            <w:tcW w:w="2960" w:type="dxa"/>
            <w:vAlign w:val="bottom"/>
            <w:shd w:val="clear" w:color="auto" w:fill="CEEEFA"/>
          </w:tcPr>
          <w:p>
            <w:pPr>
              <w:spacing w:after="0"/>
              <w:rPr>
                <w:sz w:val="2"/>
                <w:szCs w:val="2"/>
                <w:color w:val="auto"/>
              </w:rPr>
            </w:pPr>
          </w:p>
        </w:tc>
        <w:tc>
          <w:tcPr>
            <w:tcW w:w="4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560" w:type="dxa"/>
            <w:vAlign w:val="bottom"/>
            <w:shd w:val="clear" w:color="auto" w:fill="CEEEFA"/>
          </w:tcPr>
          <w:p>
            <w:pPr>
              <w:spacing w:after="0"/>
              <w:rPr>
                <w:sz w:val="2"/>
                <w:szCs w:val="2"/>
                <w:color w:val="auto"/>
              </w:rPr>
            </w:pPr>
          </w:p>
        </w:tc>
        <w:tc>
          <w:tcPr>
            <w:tcW w:w="1460" w:type="dxa"/>
            <w:vAlign w:val="bottom"/>
            <w:shd w:val="clear" w:color="auto" w:fill="CEEEFA"/>
          </w:tcPr>
          <w:p>
            <w:pPr>
              <w:spacing w:after="0"/>
              <w:rPr>
                <w:sz w:val="2"/>
                <w:szCs w:val="2"/>
                <w:color w:val="auto"/>
              </w:rPr>
            </w:pPr>
          </w:p>
        </w:tc>
        <w:tc>
          <w:tcPr>
            <w:tcW w:w="840" w:type="dxa"/>
            <w:vAlign w:val="bottom"/>
            <w:shd w:val="clear" w:color="auto" w:fill="CEEEFA"/>
          </w:tcPr>
          <w:p>
            <w:pPr>
              <w:spacing w:after="0"/>
              <w:rPr>
                <w:sz w:val="2"/>
                <w:szCs w:val="2"/>
                <w:color w:val="auto"/>
              </w:rPr>
            </w:pPr>
          </w:p>
        </w:tc>
        <w:tc>
          <w:tcPr>
            <w:tcW w:w="1840" w:type="dxa"/>
            <w:vAlign w:val="bottom"/>
            <w:shd w:val="clear" w:color="auto" w:fill="CEEEFA"/>
          </w:tcPr>
          <w:p>
            <w:pPr>
              <w:spacing w:after="0"/>
              <w:rPr>
                <w:sz w:val="2"/>
                <w:szCs w:val="2"/>
                <w:color w:val="auto"/>
              </w:rPr>
            </w:pPr>
          </w:p>
        </w:tc>
        <w:tc>
          <w:tcPr>
            <w:tcW w:w="280" w:type="dxa"/>
            <w:vAlign w:val="bottom"/>
            <w:shd w:val="clear" w:color="auto" w:fill="CEEEFA"/>
          </w:tcPr>
          <w:p>
            <w:pPr>
              <w:spacing w:after="0"/>
              <w:rPr>
                <w:sz w:val="2"/>
                <w:szCs w:val="2"/>
                <w:color w:val="auto"/>
              </w:rPr>
            </w:pPr>
          </w:p>
        </w:tc>
        <w:tc>
          <w:tcPr>
            <w:tcW w:w="20" w:type="dxa"/>
            <w:vAlign w:val="bottom"/>
            <w:shd w:val="clear" w:color="auto" w:fill="CEEEF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31.6+</w:t>
            </w: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467886"/>
              </w:rPr>
              <w:t>Certification of Principal Financial Officer pursuant to Section 302 of the</w:t>
            </w:r>
          </w:p>
        </w:tc>
        <w:tc>
          <w:tcPr>
            <w:tcW w:w="50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4800" w:type="dxa"/>
            <w:vAlign w:val="bottom"/>
            <w:tcBorders>
              <w:top w:val="single" w:sz="8" w:color="467886"/>
            </w:tcBorders>
            <w:gridSpan w:val="2"/>
          </w:tcPr>
          <w:p>
            <w:pPr>
              <w:spacing w:after="0" w:line="155" w:lineRule="exact"/>
              <w:rPr>
                <w:sz w:val="20"/>
                <w:szCs w:val="20"/>
                <w:color w:val="auto"/>
              </w:rPr>
            </w:pPr>
            <w:r>
              <w:rPr>
                <w:rFonts w:ascii="Times New Roman" w:cs="Times New Roman" w:eastAsia="Times New Roman" w:hAnsi="Times New Roman"/>
                <w:sz w:val="16"/>
                <w:szCs w:val="16"/>
                <w:color w:val="467886"/>
              </w:rPr>
              <w:t>Sarbanes-Oxley Act of 2002</w:t>
            </w:r>
          </w:p>
        </w:tc>
        <w:tc>
          <w:tcPr>
            <w:tcW w:w="320" w:type="dxa"/>
            <w:vAlign w:val="bottom"/>
            <w:gridSpan w:val="2"/>
          </w:tcPr>
          <w:p>
            <w:pPr>
              <w:spacing w:after="0"/>
              <w:rPr>
                <w:sz w:val="13"/>
                <w:szCs w:val="13"/>
                <w:color w:val="auto"/>
              </w:rPr>
            </w:pPr>
          </w:p>
        </w:tc>
        <w:tc>
          <w:tcPr>
            <w:tcW w:w="50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840" w:type="dxa"/>
            <w:vAlign w:val="bottom"/>
            <w:shd w:val="clear" w:color="auto" w:fill="467886"/>
          </w:tcPr>
          <w:p>
            <w:pPr>
              <w:spacing w:after="0"/>
              <w:rPr>
                <w:sz w:val="2"/>
                <w:szCs w:val="2"/>
                <w:color w:val="auto"/>
              </w:rPr>
            </w:pPr>
          </w:p>
        </w:tc>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shd w:val="clear" w:color="auto" w:fill="CEEEFA"/>
          </w:tcPr>
          <w:p>
            <w:pPr>
              <w:spacing w:after="0"/>
              <w:rPr>
                <w:sz w:val="12"/>
                <w:szCs w:val="12"/>
                <w:color w:val="auto"/>
              </w:rPr>
            </w:pPr>
          </w:p>
        </w:tc>
        <w:tc>
          <w:tcPr>
            <w:tcW w:w="5120" w:type="dxa"/>
            <w:vAlign w:val="bottom"/>
            <w:gridSpan w:val="4"/>
            <w:vMerge w:val="restart"/>
            <w:shd w:val="clear" w:color="auto" w:fill="CEEEFA"/>
          </w:tcPr>
          <w:p>
            <w:pPr>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18 U.S.C. Section</w:t>
            </w:r>
          </w:p>
        </w:tc>
        <w:tc>
          <w:tcPr>
            <w:tcW w:w="5000" w:type="dxa"/>
            <w:vAlign w:val="bottom"/>
            <w:gridSpan w:val="6"/>
            <w:shd w:val="clear" w:color="auto" w:fill="CEEEFA"/>
          </w:tcPr>
          <w:p>
            <w:pPr>
              <w:spacing w:after="0" w:line="148" w:lineRule="exact"/>
              <w:rPr>
                <w:rFonts w:ascii="Times New Roman" w:cs="Times New Roman" w:eastAsia="Times New Roman" w:hAnsi="Times New Roman"/>
                <w:sz w:val="16"/>
                <w:szCs w:val="16"/>
                <w:color w:val="auto"/>
              </w:rPr>
            </w:pPr>
            <w:hyperlink r:id="rId12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32.1 to the Company’s Annual Report on Form 10-K for the</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CEEEFA"/>
          </w:tcPr>
          <w:p>
            <w:pPr>
              <w:spacing w:after="0" w:line="20" w:lineRule="exact"/>
              <w:rPr>
                <w:sz w:val="1"/>
                <w:szCs w:val="1"/>
                <w:color w:val="auto"/>
              </w:rPr>
            </w:pPr>
          </w:p>
        </w:tc>
        <w:tc>
          <w:tcPr>
            <w:tcW w:w="5120" w:type="dxa"/>
            <w:vAlign w:val="bottom"/>
            <w:gridSpan w:val="4"/>
            <w:vMerge w:val="continue"/>
            <w:shd w:val="clear" w:color="auto" w:fill="CEEEFA"/>
          </w:tcPr>
          <w:p>
            <w:pPr>
              <w:spacing w:after="0" w:line="20" w:lineRule="exact"/>
              <w:rPr>
                <w:sz w:val="1"/>
                <w:szCs w:val="1"/>
                <w:color w:val="auto"/>
              </w:rPr>
            </w:pPr>
          </w:p>
        </w:tc>
        <w:tc>
          <w:tcPr>
            <w:tcW w:w="560" w:type="dxa"/>
            <w:vAlign w:val="bottom"/>
            <w:shd w:val="clear" w:color="auto" w:fill="CEEEFA"/>
          </w:tcPr>
          <w:p>
            <w:pPr>
              <w:spacing w:after="0" w:line="20" w:lineRule="exact"/>
              <w:rPr>
                <w:sz w:val="1"/>
                <w:szCs w:val="1"/>
                <w:color w:val="auto"/>
              </w:rPr>
            </w:pPr>
          </w:p>
        </w:tc>
        <w:tc>
          <w:tcPr>
            <w:tcW w:w="1460" w:type="dxa"/>
            <w:vAlign w:val="bottom"/>
            <w:shd w:val="clear" w:color="auto" w:fill="467886"/>
          </w:tcPr>
          <w:p>
            <w:pPr>
              <w:spacing w:after="0" w:line="20" w:lineRule="exact"/>
              <w:rPr>
                <w:sz w:val="1"/>
                <w:szCs w:val="1"/>
                <w:color w:val="auto"/>
              </w:rPr>
            </w:pPr>
          </w:p>
        </w:tc>
        <w:tc>
          <w:tcPr>
            <w:tcW w:w="840" w:type="dxa"/>
            <w:vAlign w:val="bottom"/>
            <w:shd w:val="clear" w:color="auto" w:fill="467886"/>
          </w:tcPr>
          <w:p>
            <w:pPr>
              <w:spacing w:after="0" w:line="20" w:lineRule="exact"/>
              <w:rPr>
                <w:sz w:val="1"/>
                <w:szCs w:val="1"/>
                <w:color w:val="auto"/>
              </w:rPr>
            </w:pPr>
          </w:p>
        </w:tc>
        <w:tc>
          <w:tcPr>
            <w:tcW w:w="1840" w:type="dxa"/>
            <w:vAlign w:val="bottom"/>
            <w:shd w:val="clear" w:color="auto" w:fill="467886"/>
          </w:tcPr>
          <w:p>
            <w:pPr>
              <w:spacing w:after="0" w:line="20" w:lineRule="exact"/>
              <w:rPr>
                <w:sz w:val="1"/>
                <w:szCs w:val="1"/>
                <w:color w:val="auto"/>
              </w:rPr>
            </w:pPr>
          </w:p>
        </w:tc>
        <w:tc>
          <w:tcPr>
            <w:tcW w:w="280" w:type="dxa"/>
            <w:vAlign w:val="bottom"/>
            <w:shd w:val="clear" w:color="auto" w:fill="467886"/>
          </w:tcPr>
          <w:p>
            <w:pPr>
              <w:spacing w:after="0" w:line="20" w:lineRule="exact"/>
              <w:rPr>
                <w:sz w:val="1"/>
                <w:szCs w:val="1"/>
                <w:color w:val="auto"/>
              </w:rPr>
            </w:pPr>
          </w:p>
        </w:tc>
        <w:tc>
          <w:tcPr>
            <w:tcW w:w="20" w:type="dxa"/>
            <w:vAlign w:val="bottom"/>
            <w:shd w:val="clear" w:color="auto" w:fill="CEEE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shd w:val="clear" w:color="auto" w:fill="CEEEFA"/>
          </w:tcPr>
          <w:p>
            <w:pPr>
              <w:spacing w:after="0"/>
              <w:rPr>
                <w:sz w:val="13"/>
                <w:szCs w:val="13"/>
                <w:color w:val="auto"/>
              </w:rPr>
            </w:pPr>
          </w:p>
        </w:tc>
        <w:tc>
          <w:tcPr>
            <w:tcW w:w="5120" w:type="dxa"/>
            <w:vAlign w:val="bottom"/>
            <w:gridSpan w:val="4"/>
            <w:vMerge w:val="continue"/>
            <w:shd w:val="clear" w:color="auto" w:fill="CEEEFA"/>
          </w:tcPr>
          <w:p>
            <w:pPr>
              <w:spacing w:after="0"/>
              <w:rPr>
                <w:sz w:val="13"/>
                <w:szCs w:val="13"/>
                <w:color w:val="auto"/>
              </w:rPr>
            </w:pPr>
          </w:p>
        </w:tc>
        <w:tc>
          <w:tcPr>
            <w:tcW w:w="4980" w:type="dxa"/>
            <w:vAlign w:val="bottom"/>
            <w:gridSpan w:val="5"/>
            <w:shd w:val="clear" w:color="auto" w:fill="CEEEFA"/>
          </w:tcPr>
          <w:p>
            <w:pPr>
              <w:spacing w:after="0" w:line="155" w:lineRule="exact"/>
              <w:rPr>
                <w:rFonts w:ascii="Times New Roman" w:cs="Times New Roman" w:eastAsia="Times New Roman" w:hAnsi="Times New Roman"/>
                <w:sz w:val="16"/>
                <w:szCs w:val="16"/>
                <w:color w:val="467886"/>
              </w:rPr>
            </w:pPr>
            <w:hyperlink r:id="rId124">
              <w:r>
                <w:rPr>
                  <w:rFonts w:ascii="Times New Roman" w:cs="Times New Roman" w:eastAsia="Times New Roman" w:hAnsi="Times New Roman"/>
                  <w:sz w:val="16"/>
                  <w:szCs w:val="16"/>
                  <w:color w:val="467886"/>
                </w:rPr>
                <w:t>year ended December 31, 2025</w:t>
              </w:r>
              <w:r>
                <w:rPr>
                  <w:rFonts w:ascii="Times New Roman" w:cs="Times New Roman" w:eastAsia="Times New Roman" w:hAnsi="Times New Roman"/>
                  <w:sz w:val="16"/>
                  <w:szCs w:val="16"/>
                  <w:color w:val="000000"/>
                </w:rPr>
                <w:t>, filed on March 31, 2026, and incorporated</w:t>
              </w:r>
            </w:hyperlink>
          </w:p>
        </w:tc>
        <w:tc>
          <w:tcPr>
            <w:tcW w:w="20" w:type="dxa"/>
            <w:vAlign w:val="bottom"/>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CEEEFA"/>
            </w:tcBorders>
            <w:shd w:val="clear" w:color="auto" w:fill="CEEEFA"/>
          </w:tcPr>
          <w:p>
            <w:pPr>
              <w:ind w:left="20"/>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5120" w:type="dxa"/>
            <w:vAlign w:val="bottom"/>
            <w:tcBorders>
              <w:top w:val="single" w:sz="8" w:color="CEEEFA"/>
            </w:tcBorders>
            <w:gridSpan w:val="4"/>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1350, as adopted pursuant to Section 906 of the Sarbanes-Oxley Act of 2002</w:t>
            </w:r>
          </w:p>
        </w:tc>
        <w:tc>
          <w:tcPr>
            <w:tcW w:w="2020" w:type="dxa"/>
            <w:vAlign w:val="bottom"/>
            <w:tcBorders>
              <w:top w:val="single" w:sz="8" w:color="467886"/>
            </w:tcBorders>
            <w:gridSpan w:val="2"/>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herein by reference.</w:t>
            </w:r>
          </w:p>
        </w:tc>
        <w:tc>
          <w:tcPr>
            <w:tcW w:w="840" w:type="dxa"/>
            <w:vAlign w:val="bottom"/>
            <w:tcBorders>
              <w:top w:val="single" w:sz="8" w:color="CEEEFA"/>
            </w:tcBorders>
            <w:shd w:val="clear" w:color="auto" w:fill="CEEEFA"/>
          </w:tcPr>
          <w:p>
            <w:pPr>
              <w:spacing w:after="0"/>
              <w:rPr>
                <w:sz w:val="15"/>
                <w:szCs w:val="15"/>
                <w:color w:val="auto"/>
              </w:rPr>
            </w:pPr>
          </w:p>
        </w:tc>
        <w:tc>
          <w:tcPr>
            <w:tcW w:w="1840" w:type="dxa"/>
            <w:vAlign w:val="bottom"/>
            <w:tcBorders>
              <w:top w:val="single" w:sz="8" w:color="CEEEFA"/>
            </w:tcBorders>
            <w:shd w:val="clear" w:color="auto" w:fill="CEEEFA"/>
          </w:tcPr>
          <w:p>
            <w:pPr>
              <w:spacing w:after="0"/>
              <w:rPr>
                <w:sz w:val="15"/>
                <w:szCs w:val="15"/>
                <w:color w:val="auto"/>
              </w:rPr>
            </w:pPr>
          </w:p>
        </w:tc>
        <w:tc>
          <w:tcPr>
            <w:tcW w:w="300" w:type="dxa"/>
            <w:vAlign w:val="bottom"/>
            <w:tcBorders>
              <w:top w:val="single" w:sz="8" w:color="CEEEFA"/>
            </w:tcBorders>
            <w:gridSpan w:val="2"/>
            <w:shd w:val="clear" w:color="auto" w:fill="CEEEFA"/>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1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18 U.S.C. Section</w:t>
            </w:r>
          </w:p>
        </w:tc>
        <w:tc>
          <w:tcPr>
            <w:tcW w:w="5000" w:type="dxa"/>
            <w:vAlign w:val="bottom"/>
            <w:gridSpan w:val="6"/>
          </w:tcPr>
          <w:p>
            <w:pPr>
              <w:spacing w:after="0" w:line="148" w:lineRule="exact"/>
              <w:rPr>
                <w:rFonts w:ascii="Times New Roman" w:cs="Times New Roman" w:eastAsia="Times New Roman" w:hAnsi="Times New Roman"/>
                <w:sz w:val="16"/>
                <w:szCs w:val="16"/>
                <w:color w:val="auto"/>
              </w:rPr>
            </w:pPr>
            <w:hyperlink r:id="rId11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32.2 to the Company’s Annual Report on Form 10-K for the</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2"/>
            <w:shd w:val="clear" w:color="auto" w:fill="467886"/>
          </w:tcPr>
          <w:p>
            <w:pPr>
              <w:spacing w:after="0" w:line="20" w:lineRule="exact"/>
              <w:rPr>
                <w:sz w:val="1"/>
                <w:szCs w:val="1"/>
                <w:color w:val="auto"/>
              </w:rPr>
            </w:pPr>
          </w:p>
        </w:tc>
        <w:tc>
          <w:tcPr>
            <w:tcW w:w="1840" w:type="dxa"/>
            <w:vAlign w:val="bottom"/>
            <w:shd w:val="clear" w:color="auto" w:fill="467886"/>
          </w:tcPr>
          <w:p>
            <w:pPr>
              <w:spacing w:after="0" w:line="20" w:lineRule="exact"/>
              <w:rPr>
                <w:sz w:val="1"/>
                <w:szCs w:val="1"/>
                <w:color w:val="auto"/>
              </w:rPr>
            </w:pPr>
          </w:p>
        </w:tc>
        <w:tc>
          <w:tcPr>
            <w:tcW w:w="280" w:type="dxa"/>
            <w:vAlign w:val="bottom"/>
            <w:shd w:val="clear" w:color="auto" w:fill="46788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4980" w:type="dxa"/>
            <w:vAlign w:val="bottom"/>
            <w:gridSpan w:val="5"/>
          </w:tcPr>
          <w:p>
            <w:pPr>
              <w:spacing w:after="0" w:line="155" w:lineRule="exact"/>
              <w:rPr>
                <w:rFonts w:ascii="Times New Roman" w:cs="Times New Roman" w:eastAsia="Times New Roman" w:hAnsi="Times New Roman"/>
                <w:sz w:val="16"/>
                <w:szCs w:val="16"/>
                <w:color w:val="467886"/>
              </w:rPr>
            </w:pPr>
            <w:hyperlink r:id="rId117">
              <w:r>
                <w:rPr>
                  <w:rFonts w:ascii="Times New Roman" w:cs="Times New Roman" w:eastAsia="Times New Roman" w:hAnsi="Times New Roman"/>
                  <w:sz w:val="16"/>
                  <w:szCs w:val="16"/>
                  <w:color w:val="467886"/>
                </w:rPr>
                <w:t>year ended December 31, 2025</w:t>
              </w:r>
              <w:r>
                <w:rPr>
                  <w:rFonts w:ascii="Times New Roman" w:cs="Times New Roman" w:eastAsia="Times New Roman" w:hAnsi="Times New Roman"/>
                  <w:sz w:val="16"/>
                  <w:szCs w:val="16"/>
                  <w:color w:val="000000"/>
                </w:rPr>
                <w:t>, filed on March 31, 2026, and incorporated</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512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auto"/>
              </w:rPr>
              <w:t>1350, as adopted pursuant to Section 906 of the Sarbanes-Oxley Act of 2002</w:t>
            </w:r>
          </w:p>
        </w:tc>
        <w:tc>
          <w:tcPr>
            <w:tcW w:w="2020" w:type="dxa"/>
            <w:vAlign w:val="bottom"/>
            <w:tcBorders>
              <w:top w:val="single" w:sz="8" w:color="467886"/>
            </w:tcBorders>
            <w:gridSpan w:val="2"/>
          </w:tcPr>
          <w:p>
            <w:pPr>
              <w:spacing w:after="0" w:line="183" w:lineRule="exact"/>
              <w:rPr>
                <w:sz w:val="20"/>
                <w:szCs w:val="20"/>
                <w:color w:val="auto"/>
              </w:rPr>
            </w:pPr>
            <w:r>
              <w:rPr>
                <w:rFonts w:ascii="Times New Roman" w:cs="Times New Roman" w:eastAsia="Times New Roman" w:hAnsi="Times New Roman"/>
                <w:sz w:val="16"/>
                <w:szCs w:val="16"/>
                <w:color w:val="auto"/>
              </w:rPr>
              <w:t>herein by reference..</w:t>
            </w: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1840" w:type="dxa"/>
            <w:vAlign w:val="bottom"/>
            <w:shd w:val="clear" w:color="auto" w:fill="CEEEFA"/>
          </w:tcPr>
          <w:p>
            <w:pPr>
              <w:spacing w:after="0"/>
              <w:rPr>
                <w:sz w:val="12"/>
                <w:szCs w:val="12"/>
                <w:color w:val="auto"/>
              </w:rPr>
            </w:pPr>
          </w:p>
        </w:tc>
        <w:tc>
          <w:tcPr>
            <w:tcW w:w="2960" w:type="dxa"/>
            <w:vAlign w:val="bottom"/>
            <w:shd w:val="clear" w:color="auto" w:fill="CEEEFA"/>
          </w:tcPr>
          <w:p>
            <w:pPr>
              <w:spacing w:after="0"/>
              <w:rPr>
                <w:sz w:val="12"/>
                <w:szCs w:val="12"/>
                <w:color w:val="auto"/>
              </w:rPr>
            </w:pPr>
          </w:p>
        </w:tc>
        <w:tc>
          <w:tcPr>
            <w:tcW w:w="40" w:type="dxa"/>
            <w:vAlign w:val="bottom"/>
            <w:shd w:val="clear" w:color="auto" w:fill="CEEEFA"/>
          </w:tcPr>
          <w:p>
            <w:pPr>
              <w:spacing w:after="0"/>
              <w:rPr>
                <w:sz w:val="12"/>
                <w:szCs w:val="12"/>
                <w:color w:val="auto"/>
              </w:rPr>
            </w:pPr>
          </w:p>
        </w:tc>
        <w:tc>
          <w:tcPr>
            <w:tcW w:w="280" w:type="dxa"/>
            <w:vAlign w:val="bottom"/>
            <w:shd w:val="clear" w:color="auto" w:fill="CEEEFA"/>
          </w:tcPr>
          <w:p>
            <w:pPr>
              <w:spacing w:after="0"/>
              <w:rPr>
                <w:sz w:val="12"/>
                <w:szCs w:val="12"/>
                <w:color w:val="auto"/>
              </w:rPr>
            </w:pPr>
          </w:p>
        </w:tc>
        <w:tc>
          <w:tcPr>
            <w:tcW w:w="5000" w:type="dxa"/>
            <w:vAlign w:val="bottom"/>
            <w:gridSpan w:val="6"/>
            <w:shd w:val="clear" w:color="auto" w:fill="CEEEFA"/>
          </w:tcPr>
          <w:p>
            <w:pPr>
              <w:spacing w:after="0" w:line="148" w:lineRule="exact"/>
              <w:rPr>
                <w:rFonts w:ascii="Times New Roman" w:cs="Times New Roman" w:eastAsia="Times New Roman" w:hAnsi="Times New Roman"/>
                <w:sz w:val="16"/>
                <w:szCs w:val="16"/>
                <w:color w:val="auto"/>
              </w:rPr>
            </w:pPr>
            <w:hyperlink r:id="rId12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color w:val="467886"/>
                </w:rPr>
                <w:t>Exhibit 97.1 to the Company’s Annual Report on Form 10-K/A</w:t>
              </w:r>
            </w:hyperlink>
          </w:p>
        </w:tc>
        <w:tc>
          <w:tcPr>
            <w:tcW w:w="0" w:type="dxa"/>
            <w:vAlign w:val="bottom"/>
          </w:tcPr>
          <w:p>
            <w:pPr>
              <w:spacing w:after="0"/>
              <w:rPr>
                <w:sz w:val="1"/>
                <w:szCs w:val="1"/>
                <w:color w:val="auto"/>
              </w:rPr>
            </w:pPr>
          </w:p>
        </w:tc>
      </w:tr>
      <w:tr>
        <w:trPr>
          <w:trHeight w:val="155"/>
        </w:trPr>
        <w:tc>
          <w:tcPr>
            <w:tcW w:w="1120" w:type="dxa"/>
            <w:vAlign w:val="bottom"/>
            <w:tcBorders>
              <w:top w:val="single" w:sz="8" w:color="CEEEFA"/>
            </w:tcBorders>
            <w:shd w:val="clear" w:color="auto" w:fill="CEEEFA"/>
          </w:tcPr>
          <w:p>
            <w:pPr>
              <w:spacing w:after="0"/>
              <w:rPr>
                <w:sz w:val="13"/>
                <w:szCs w:val="13"/>
                <w:color w:val="auto"/>
              </w:rPr>
            </w:pPr>
          </w:p>
        </w:tc>
        <w:tc>
          <w:tcPr>
            <w:tcW w:w="5120" w:type="dxa"/>
            <w:vAlign w:val="bottom"/>
            <w:tcBorders>
              <w:top w:val="single" w:sz="8" w:color="CEEEFA"/>
            </w:tcBorders>
            <w:gridSpan w:val="4"/>
            <w:shd w:val="clear" w:color="auto" w:fill="CEEEFA"/>
          </w:tcPr>
          <w:p>
            <w:pPr>
              <w:spacing w:after="0" w:line="155" w:lineRule="exact"/>
              <w:rPr>
                <w:sz w:val="20"/>
                <w:szCs w:val="20"/>
                <w:color w:val="auto"/>
              </w:rPr>
            </w:pPr>
            <w:r>
              <w:rPr>
                <w:rFonts w:ascii="Times New Roman" w:cs="Times New Roman" w:eastAsia="Times New Roman" w:hAnsi="Times New Roman"/>
                <w:sz w:val="16"/>
                <w:szCs w:val="16"/>
                <w:color w:val="auto"/>
              </w:rPr>
              <w:t>Reading International, Inc. Executive Officer Clawback Policy, effective as of</w:t>
            </w:r>
          </w:p>
        </w:tc>
        <w:tc>
          <w:tcPr>
            <w:tcW w:w="560" w:type="dxa"/>
            <w:vAlign w:val="bottom"/>
            <w:tcBorders>
              <w:top w:val="single" w:sz="8" w:color="CEEEFA"/>
            </w:tcBorders>
            <w:shd w:val="clear" w:color="auto" w:fill="CEEEFA"/>
          </w:tcPr>
          <w:p>
            <w:pPr>
              <w:spacing w:after="0" w:line="155" w:lineRule="exact"/>
              <w:rPr>
                <w:rFonts w:ascii="Times New Roman" w:cs="Times New Roman" w:eastAsia="Times New Roman" w:hAnsi="Times New Roman"/>
                <w:sz w:val="16"/>
                <w:szCs w:val="16"/>
                <w:color w:val="467886"/>
                <w:w w:val="99"/>
              </w:rPr>
            </w:pPr>
            <w:hyperlink r:id="rId125">
              <w:r>
                <w:rPr>
                  <w:rFonts w:ascii="Times New Roman" w:cs="Times New Roman" w:eastAsia="Times New Roman" w:hAnsi="Times New Roman"/>
                  <w:sz w:val="16"/>
                  <w:szCs w:val="16"/>
                  <w:color w:val="467886"/>
                  <w:w w:val="99"/>
                </w:rPr>
                <w:t>No.1 for</w:t>
              </w:r>
            </w:hyperlink>
          </w:p>
        </w:tc>
        <w:tc>
          <w:tcPr>
            <w:tcW w:w="4140" w:type="dxa"/>
            <w:vAlign w:val="bottom"/>
            <w:tcBorders>
              <w:top w:val="single" w:sz="8" w:color="467886"/>
            </w:tcBorders>
            <w:gridSpan w:val="3"/>
            <w:shd w:val="clear" w:color="auto" w:fill="CEEEFA"/>
          </w:tcPr>
          <w:p>
            <w:pPr>
              <w:ind w:left="40"/>
              <w:spacing w:after="0" w:line="155" w:lineRule="exact"/>
              <w:rPr>
                <w:rFonts w:ascii="Times New Roman" w:cs="Times New Roman" w:eastAsia="Times New Roman" w:hAnsi="Times New Roman"/>
                <w:sz w:val="16"/>
                <w:szCs w:val="16"/>
                <w:color w:val="467886"/>
              </w:rPr>
            </w:pPr>
            <w:hyperlink r:id="rId125">
              <w:r>
                <w:rPr>
                  <w:rFonts w:ascii="Times New Roman" w:cs="Times New Roman" w:eastAsia="Times New Roman" w:hAnsi="Times New Roman"/>
                  <w:sz w:val="16"/>
                  <w:szCs w:val="16"/>
                  <w:color w:val="467886"/>
                </w:rPr>
                <w:t>the year ended December 31, 2023</w:t>
              </w:r>
              <w:r>
                <w:rPr>
                  <w:rFonts w:ascii="Times New Roman" w:cs="Times New Roman" w:eastAsia="Times New Roman" w:hAnsi="Times New Roman"/>
                  <w:sz w:val="16"/>
                  <w:szCs w:val="16"/>
                  <w:color w:val="000000"/>
                </w:rPr>
                <w:t>, filed on April 29, 2024 and</w:t>
              </w:r>
            </w:hyperlink>
          </w:p>
        </w:tc>
        <w:tc>
          <w:tcPr>
            <w:tcW w:w="300" w:type="dxa"/>
            <w:vAlign w:val="bottom"/>
            <w:tcBorders>
              <w:top w:val="single" w:sz="8" w:color="CEEEFA"/>
            </w:tcBorders>
            <w:gridSpan w:val="2"/>
            <w:shd w:val="clear" w:color="auto" w:fill="CEEEFA"/>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CEEEFA"/>
            </w:tcBorders>
            <w:shd w:val="clear" w:color="auto" w:fill="CEEEFA"/>
          </w:tcPr>
          <w:p>
            <w:pPr>
              <w:ind w:left="20"/>
              <w:spacing w:after="0" w:line="183" w:lineRule="exact"/>
              <w:rPr>
                <w:sz w:val="20"/>
                <w:szCs w:val="20"/>
                <w:color w:val="auto"/>
              </w:rPr>
            </w:pPr>
            <w:r>
              <w:rPr>
                <w:rFonts w:ascii="Times New Roman" w:cs="Times New Roman" w:eastAsia="Times New Roman" w:hAnsi="Times New Roman"/>
                <w:sz w:val="16"/>
                <w:szCs w:val="16"/>
                <w:color w:val="auto"/>
              </w:rPr>
              <w:t>97.1</w:t>
            </w:r>
          </w:p>
        </w:tc>
        <w:tc>
          <w:tcPr>
            <w:tcW w:w="5120" w:type="dxa"/>
            <w:vAlign w:val="bottom"/>
            <w:tcBorders>
              <w:top w:val="single" w:sz="8" w:color="CEEEFA"/>
            </w:tcBorders>
            <w:gridSpan w:val="4"/>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October 2, 2023.</w:t>
            </w:r>
          </w:p>
        </w:tc>
        <w:tc>
          <w:tcPr>
            <w:tcW w:w="2860" w:type="dxa"/>
            <w:vAlign w:val="bottom"/>
            <w:tcBorders>
              <w:top w:val="single" w:sz="8" w:color="467886"/>
            </w:tcBorders>
            <w:gridSpan w:val="3"/>
            <w:shd w:val="clear" w:color="auto" w:fill="CEEEFA"/>
          </w:tcPr>
          <w:p>
            <w:pPr>
              <w:spacing w:after="0" w:line="183" w:lineRule="exact"/>
              <w:rPr>
                <w:sz w:val="20"/>
                <w:szCs w:val="20"/>
                <w:color w:val="auto"/>
              </w:rPr>
            </w:pPr>
            <w:r>
              <w:rPr>
                <w:rFonts w:ascii="Times New Roman" w:cs="Times New Roman" w:eastAsia="Times New Roman" w:hAnsi="Times New Roman"/>
                <w:sz w:val="16"/>
                <w:szCs w:val="16"/>
                <w:color w:val="auto"/>
              </w:rPr>
              <w:t>incorporated herein by reference.</w:t>
            </w:r>
          </w:p>
        </w:tc>
        <w:tc>
          <w:tcPr>
            <w:tcW w:w="2140" w:type="dxa"/>
            <w:vAlign w:val="bottom"/>
            <w:tcBorders>
              <w:top w:val="single" w:sz="8" w:color="CEEEFA"/>
            </w:tcBorders>
            <w:gridSpan w:val="3"/>
            <w:shd w:val="clear" w:color="auto" w:fill="CEEEFA"/>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12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The following material from our Company’s Annual Report on Form 10-K for</w:t>
            </w: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1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the year ended December 31, 2025, formatted in iXBRL (Inline Extensible</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51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Business Reporting Language): (i) Consolidated Balance Sheets, (ii)</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51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Consolidated Statements of Income, (iii) Consolidated Statements of</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51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Comprehensive Income, (iv) Consolidated Statements of Cash Flows, and (v)</w:t>
            </w: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Notes to the Consolidated Financial Statements</w:t>
            </w:r>
          </w:p>
        </w:tc>
        <w:tc>
          <w:tcPr>
            <w:tcW w:w="50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48"/>
        </w:trPr>
        <w:tc>
          <w:tcPr>
            <w:tcW w:w="1120" w:type="dxa"/>
            <w:vAlign w:val="bottom"/>
            <w:shd w:val="clear" w:color="auto" w:fill="CEEEFA"/>
          </w:tcPr>
          <w:p>
            <w:pPr>
              <w:spacing w:after="0"/>
              <w:rPr>
                <w:sz w:val="12"/>
                <w:szCs w:val="12"/>
                <w:color w:val="auto"/>
              </w:rPr>
            </w:pPr>
          </w:p>
        </w:tc>
        <w:tc>
          <w:tcPr>
            <w:tcW w:w="5120" w:type="dxa"/>
            <w:vAlign w:val="bottom"/>
            <w:gridSpan w:val="4"/>
            <w:shd w:val="clear" w:color="auto" w:fill="CEEEFA"/>
          </w:tcPr>
          <w:p>
            <w:pPr>
              <w:spacing w:after="0" w:line="148" w:lineRule="exact"/>
              <w:rPr>
                <w:sz w:val="20"/>
                <w:szCs w:val="20"/>
                <w:color w:val="auto"/>
              </w:rPr>
            </w:pPr>
            <w:r>
              <w:rPr>
                <w:rFonts w:ascii="Times New Roman" w:cs="Times New Roman" w:eastAsia="Times New Roman" w:hAnsi="Times New Roman"/>
                <w:sz w:val="16"/>
                <w:szCs w:val="16"/>
                <w:color w:val="auto"/>
              </w:rPr>
              <w:t>Cover Page Interactive Data File (embedded within the inline XBRL and</w:t>
            </w:r>
          </w:p>
        </w:tc>
        <w:tc>
          <w:tcPr>
            <w:tcW w:w="560" w:type="dxa"/>
            <w:vAlign w:val="bottom"/>
            <w:shd w:val="clear" w:color="auto" w:fill="CEEEFA"/>
          </w:tcPr>
          <w:p>
            <w:pPr>
              <w:spacing w:after="0"/>
              <w:rPr>
                <w:sz w:val="12"/>
                <w:szCs w:val="12"/>
                <w:color w:val="auto"/>
              </w:rPr>
            </w:pPr>
          </w:p>
        </w:tc>
        <w:tc>
          <w:tcPr>
            <w:tcW w:w="1460" w:type="dxa"/>
            <w:vAlign w:val="bottom"/>
            <w:shd w:val="clear" w:color="auto" w:fill="CEEEFA"/>
          </w:tcPr>
          <w:p>
            <w:pPr>
              <w:spacing w:after="0"/>
              <w:rPr>
                <w:sz w:val="12"/>
                <w:szCs w:val="12"/>
                <w:color w:val="auto"/>
              </w:rPr>
            </w:pPr>
          </w:p>
        </w:tc>
        <w:tc>
          <w:tcPr>
            <w:tcW w:w="840" w:type="dxa"/>
            <w:vAlign w:val="bottom"/>
            <w:shd w:val="clear" w:color="auto" w:fill="CEEEFA"/>
          </w:tcPr>
          <w:p>
            <w:pPr>
              <w:spacing w:after="0"/>
              <w:rPr>
                <w:sz w:val="12"/>
                <w:szCs w:val="12"/>
                <w:color w:val="auto"/>
              </w:rPr>
            </w:pPr>
          </w:p>
        </w:tc>
        <w:tc>
          <w:tcPr>
            <w:tcW w:w="1840" w:type="dxa"/>
            <w:vAlign w:val="bottom"/>
            <w:shd w:val="clear" w:color="auto" w:fill="CEEEFA"/>
          </w:tcPr>
          <w:p>
            <w:pPr>
              <w:spacing w:after="0"/>
              <w:rPr>
                <w:sz w:val="12"/>
                <w:szCs w:val="12"/>
                <w:color w:val="auto"/>
              </w:rPr>
            </w:pPr>
          </w:p>
        </w:tc>
        <w:tc>
          <w:tcPr>
            <w:tcW w:w="280" w:type="dxa"/>
            <w:vAlign w:val="bottom"/>
            <w:shd w:val="clear" w:color="auto" w:fill="CEEEFA"/>
          </w:tcPr>
          <w:p>
            <w:pPr>
              <w:spacing w:after="0"/>
              <w:rPr>
                <w:sz w:val="12"/>
                <w:szCs w:val="12"/>
                <w:color w:val="auto"/>
              </w:rPr>
            </w:pPr>
          </w:p>
        </w:tc>
        <w:tc>
          <w:tcPr>
            <w:tcW w:w="20" w:type="dxa"/>
            <w:vAlign w:val="bottom"/>
            <w:shd w:val="clear" w:color="auto" w:fill="CEEEFA"/>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EEEFA"/>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120" w:type="dxa"/>
            <w:vAlign w:val="bottom"/>
            <w:gridSpan w:val="4"/>
            <w:shd w:val="clear" w:color="auto" w:fill="CEEEFA"/>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5000" w:type="dxa"/>
            <w:vAlign w:val="bottom"/>
            <w:gridSpan w:val="6"/>
            <w:shd w:val="clear" w:color="auto" w:fill="CEEEFA"/>
          </w:tcPr>
          <w:p>
            <w:pP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or furnished herewith</w:t>
      </w:r>
    </w:p>
    <w:p>
      <w:pPr>
        <w:jc w:val="both"/>
        <w:ind w:right="20" w:firstLine="8"/>
        <w:spacing w:after="0" w:line="223" w:lineRule="auto"/>
        <w:tabs>
          <w:tab w:leader="none" w:pos="13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spacing w:after="0" w:line="22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compensatory plan or arrangement.</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Included is the amended and restated version of this exhibit, redlined to show the amendment adopted on 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7" w:name="page28"/>
    <w:bookmarkEnd w:id="27"/>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READING INTERNATIONAL, INC.</w:t>
      </w:r>
    </w:p>
    <w:p>
      <w:pPr>
        <w:spacing w:after="0" w:line="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(Registrant)</w:t>
      </w:r>
    </w:p>
    <w:p>
      <w:pPr>
        <w:sectPr>
          <w:pgSz w:w="11900" w:h="16838" w:orient="portrait"/>
          <w:cols w:equalWidth="0" w:num="1">
            <w:col w:w="10980"/>
          </w:cols>
          <w:pgMar w:left="320" w:top="315" w:right="5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April 30, 2026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Gilbert Avanes</w:t>
      </w:r>
    </w:p>
    <w:p>
      <w:pPr>
        <w:spacing w:after="0" w:line="233" w:lineRule="auto"/>
        <w:rPr>
          <w:sz w:val="20"/>
          <w:szCs w:val="20"/>
          <w:color w:val="auto"/>
        </w:rPr>
      </w:pPr>
      <w:r>
        <w:rPr>
          <w:rFonts w:ascii="Times New Roman" w:cs="Times New Roman" w:eastAsia="Times New Roman" w:hAnsi="Times New Roman"/>
          <w:sz w:val="20"/>
          <w:szCs w:val="20"/>
          <w:color w:val="auto"/>
        </w:rPr>
        <w:t>Gilbert Avanes</w:t>
      </w:r>
    </w:p>
    <w:p>
      <w:pPr>
        <w:spacing w:after="0" w:line="238" w:lineRule="auto"/>
        <w:rPr>
          <w:sz w:val="20"/>
          <w:szCs w:val="20"/>
          <w:color w:val="auto"/>
        </w:rPr>
      </w:pPr>
      <w:r>
        <w:rPr>
          <w:rFonts w:ascii="Times New Roman" w:cs="Times New Roman" w:eastAsia="Times New Roman" w:hAnsi="Times New Roman"/>
          <w:sz w:val="19"/>
          <w:szCs w:val="19"/>
          <w:color w:val="auto"/>
        </w:rPr>
        <w:t>Executive Vice President, Chief Financial Officer and Treasurer</w:t>
      </w:r>
    </w:p>
    <w:p>
      <w:pPr>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4">
            <w:col w:w="440" w:space="220"/>
            <w:col w:w="2160" w:space="720"/>
            <w:col w:w="300" w:space="360"/>
            <w:col w:w="6780"/>
          </w:cols>
          <w:pgMar w:left="320" w:top="315" w:right="599" w:bottom="1440" w:gutter="0" w:footer="0" w:header="0"/>
          <w:type w:val="continuous"/>
        </w:sectPr>
      </w:pPr>
    </w:p>
    <w:bookmarkStart w:id="28" w:name="page29"/>
    <w:bookmarkEnd w:id="28"/>
    <w:p>
      <w:pPr>
        <w:ind w:left="80" w:right="219"/>
        <w:spacing w:after="0" w:line="250" w:lineRule="auto"/>
        <w:rPr>
          <w:sz w:val="20"/>
          <w:szCs w:val="20"/>
          <w:color w:val="auto"/>
        </w:rPr>
      </w:pPr>
      <w:r>
        <w:rPr>
          <w:rFonts w:ascii="Times New Roman" w:cs="Times New Roman" w:eastAsia="Times New Roman" w:hAnsi="Times New Roman"/>
          <w:sz w:val="20"/>
          <w:szCs w:val="20"/>
          <w:b w:val="1"/>
          <w:bCs w:val="1"/>
          <w:color w:val="auto"/>
        </w:rPr>
        <w:t>PORTIONS OF THIS EXHIBIT HAVE BEEN OMITTED BECAUSE THEY ARE BOTH (I) NOT MATERIAL AND (II) WOULD BE COMPETITIVELY HARMFUL IF PUBLICLY DISCLOSED. INFORMATION THAT HAS BEEN OMITTED HAS BEEN NOTED IN THIS DOCUMENT WITH A PLACEHOLDER IDENTIFIED BY THE MARK “[***]”</w:t>
      </w:r>
    </w:p>
    <w:p>
      <w:pPr>
        <w:spacing w:after="0" w:line="200" w:lineRule="exact"/>
        <w:rPr>
          <w:sz w:val="20"/>
          <w:szCs w:val="20"/>
          <w:color w:val="auto"/>
        </w:rPr>
      </w:pPr>
    </w:p>
    <w:p>
      <w:pPr>
        <w:spacing w:after="0" w:line="228"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5"/>
          <w:szCs w:val="15"/>
          <w:color w:val="auto"/>
        </w:rPr>
        <w:t>567 Collins Street, Melbourne VIC 3000, Australia</w:t>
      </w:r>
    </w:p>
    <w:p>
      <w:pPr>
        <w:jc w:val="right"/>
        <w:ind w:right="1379"/>
        <w:spacing w:after="0" w:line="233" w:lineRule="auto"/>
        <w:rPr>
          <w:sz w:val="20"/>
          <w:szCs w:val="20"/>
          <w:color w:val="auto"/>
        </w:rPr>
      </w:pPr>
      <w:r>
        <w:rPr>
          <w:rFonts w:ascii="Times New Roman" w:cs="Times New Roman" w:eastAsia="Times New Roman" w:hAnsi="Times New Roman"/>
          <w:sz w:val="15"/>
          <w:szCs w:val="15"/>
          <w:color w:val="auto"/>
        </w:rPr>
        <w:t>GPO Box 9925, Melbourne VIC 3001, Australia</w:t>
      </w:r>
    </w:p>
    <w:p>
      <w:pPr>
        <w:jc w:val="right"/>
        <w:ind w:right="1379"/>
        <w:spacing w:after="0" w:line="225" w:lineRule="auto"/>
        <w:rPr>
          <w:sz w:val="20"/>
          <w:szCs w:val="20"/>
          <w:color w:val="auto"/>
        </w:rPr>
      </w:pPr>
      <w:r>
        <w:rPr>
          <w:rFonts w:ascii="Times New Roman" w:cs="Times New Roman" w:eastAsia="Times New Roman" w:hAnsi="Times New Roman"/>
          <w:sz w:val="15"/>
          <w:szCs w:val="15"/>
          <w:color w:val="auto"/>
        </w:rPr>
        <w:t>Tel +61 3 9672 3000</w:t>
      </w:r>
    </w:p>
    <w:p>
      <w:pPr>
        <w:jc w:val="right"/>
        <w:ind w:right="1379"/>
        <w:spacing w:after="0" w:line="225" w:lineRule="auto"/>
        <w:rPr>
          <w:sz w:val="20"/>
          <w:szCs w:val="20"/>
          <w:color w:val="auto"/>
        </w:rPr>
      </w:pPr>
      <w:r>
        <w:rPr>
          <w:rFonts w:ascii="Times New Roman" w:cs="Times New Roman" w:eastAsia="Times New Roman" w:hAnsi="Times New Roman"/>
          <w:sz w:val="15"/>
          <w:szCs w:val="15"/>
          <w:color w:val="auto"/>
        </w:rPr>
        <w:t>Fax +61 3 9672 3010</w:t>
      </w:r>
    </w:p>
    <w:p>
      <w:pPr>
        <w:spacing w:after="0" w:line="1"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5"/>
          <w:szCs w:val="15"/>
          <w:color w:val="auto"/>
        </w:rPr>
        <w:t>www.corrs.com.au</w:t>
      </w:r>
    </w:p>
    <w:p>
      <w:pPr>
        <w:spacing w:after="0" w:line="298"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5"/>
          <w:szCs w:val="15"/>
          <w:color w:val="auto"/>
        </w:rPr>
        <w:t>Sydney</w:t>
      </w:r>
    </w:p>
    <w:p>
      <w:pPr>
        <w:jc w:val="right"/>
        <w:ind w:right="79"/>
        <w:spacing w:after="0" w:line="233" w:lineRule="auto"/>
        <w:rPr>
          <w:sz w:val="20"/>
          <w:szCs w:val="20"/>
          <w:color w:val="auto"/>
        </w:rPr>
      </w:pPr>
      <w:r>
        <w:rPr>
          <w:rFonts w:ascii="Times New Roman" w:cs="Times New Roman" w:eastAsia="Times New Roman" w:hAnsi="Times New Roman"/>
          <w:sz w:val="15"/>
          <w:szCs w:val="15"/>
          <w:color w:val="auto"/>
        </w:rPr>
        <w:t>Melbourne</w:t>
      </w:r>
    </w:p>
    <w:p>
      <w:pPr>
        <w:jc w:val="right"/>
        <w:ind w:right="79"/>
        <w:spacing w:after="0" w:line="225" w:lineRule="auto"/>
        <w:rPr>
          <w:sz w:val="20"/>
          <w:szCs w:val="20"/>
          <w:color w:val="auto"/>
        </w:rPr>
      </w:pPr>
      <w:r>
        <w:rPr>
          <w:rFonts w:ascii="Times New Roman" w:cs="Times New Roman" w:eastAsia="Times New Roman" w:hAnsi="Times New Roman"/>
          <w:sz w:val="15"/>
          <w:szCs w:val="15"/>
          <w:color w:val="auto"/>
        </w:rPr>
        <w:t>Brisbane</w:t>
      </w:r>
    </w:p>
    <w:p>
      <w:pPr>
        <w:jc w:val="right"/>
        <w:ind w:right="79"/>
        <w:spacing w:after="0" w:line="225" w:lineRule="auto"/>
        <w:rPr>
          <w:sz w:val="20"/>
          <w:szCs w:val="20"/>
          <w:color w:val="auto"/>
        </w:rPr>
      </w:pPr>
      <w:r>
        <w:rPr>
          <w:rFonts w:ascii="Times New Roman" w:cs="Times New Roman" w:eastAsia="Times New Roman" w:hAnsi="Times New Roman"/>
          <w:sz w:val="15"/>
          <w:szCs w:val="15"/>
          <w:color w:val="auto"/>
        </w:rPr>
        <w:t>Perth</w:t>
      </w:r>
    </w:p>
    <w:p>
      <w:pPr>
        <w:spacing w:after="0" w:line="1"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5"/>
          <w:szCs w:val="15"/>
          <w:color w:val="auto"/>
        </w:rPr>
        <w:t>Port Moresby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right="3639"/>
        <w:spacing w:after="0" w:line="326" w:lineRule="auto"/>
        <w:rPr>
          <w:sz w:val="20"/>
          <w:szCs w:val="20"/>
          <w:color w:val="auto"/>
        </w:rPr>
      </w:pPr>
      <w:r>
        <w:rPr>
          <w:rFonts w:ascii="Times New Roman" w:cs="Times New Roman" w:eastAsia="Times New Roman" w:hAnsi="Times New Roman"/>
          <w:sz w:val="32"/>
          <w:szCs w:val="32"/>
          <w:color w:val="auto"/>
        </w:rPr>
        <w:t>National Australia Bank Limited Reading Entertainment Australia Pty Ltd Each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-694055</wp:posOffset>
            </wp:positionV>
            <wp:extent cx="56235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-393700</wp:posOffset>
            </wp:positionV>
            <wp:extent cx="56235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-85090</wp:posOffset>
            </wp:positionV>
            <wp:extent cx="56235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72"/>
          <w:szCs w:val="72"/>
          <w:color w:val="auto"/>
        </w:rPr>
        <w:t>Amendment Deed</w:t>
      </w:r>
    </w:p>
    <w:p>
      <w:pPr>
        <w:spacing w:after="0" w:line="2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Corporate Markets Loan &amp; Bank Guarantee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353060</wp:posOffset>
            </wp:positionV>
            <wp:extent cx="566610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0">
                      <a:extLst>
                        <a:ext uri="{28A0092B-C50C-407E-A947-70E740481C1C}"/>
                      </a:extLst>
                    </a:blip>
                    <a:srcRect/>
                    <a:stretch>
                      <a:fillRect/>
                    </a:stretch>
                  </pic:blipFill>
                  <pic:spPr bwMode="auto">
                    <a:xfrm>
                      <a:off x="0" y="0"/>
                      <a:ext cx="566610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28"/>
          <w:szCs w:val="28"/>
          <w:color w:val="auto"/>
        </w:rPr>
        <w:t>Contents</w:t>
      </w:r>
    </w:p>
    <w:p>
      <w:pPr>
        <w:sectPr>
          <w:pgSz w:w="11900" w:h="16838" w:orient="portrait"/>
          <w:cols w:equalWidth="0" w:num="1">
            <w:col w:w="9019"/>
          </w:cols>
          <w:pgMar w:left="1440" w:top="121" w:right="1440" w:bottom="1440" w:gutter="0" w:footer="0" w:header="0"/>
        </w:sectPr>
      </w:pP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1</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2</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3</w:t>
      </w: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4</w:t>
      </w: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5</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6</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7</w:t>
      </w: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8</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0000EE"/>
        </w:rPr>
        <w:t>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EE"/>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25400</wp:posOffset>
            </wp:positionV>
            <wp:extent cx="56235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EE"/>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25400</wp:posOffset>
            </wp:positionV>
            <wp:extent cx="56235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2">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EE"/>
        </w:rPr>
        <w:t>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25400</wp:posOffset>
            </wp:positionV>
            <wp:extent cx="56235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3">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3.</w:t>
            </w:r>
            <w:r>
              <w:rPr>
                <w:rFonts w:ascii="Times New Roman" w:cs="Times New Roman" w:eastAsia="Times New Roman" w:hAnsi="Times New Roman"/>
                <w:sz w:val="20"/>
                <w:szCs w:val="20"/>
                <w:u w:val="single" w:color="auto"/>
                <w:color w:val="0000EE"/>
                <w:w w:val="87"/>
              </w:rPr>
              <w:t>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0"/>
                <w:szCs w:val="20"/>
                <w:color w:val="0000EE"/>
                <w:w w:val="98"/>
              </w:rPr>
              <w:t>Conditions precedent to Effective Date</w:t>
            </w:r>
          </w:p>
        </w:tc>
        <w:tc>
          <w:tcPr>
            <w:tcW w:w="260" w:type="dxa"/>
            <w:vAlign w:val="bottom"/>
          </w:tcPr>
          <w:p>
            <w:pPr>
              <w:spacing w:after="0"/>
              <w:rPr>
                <w:sz w:val="19"/>
                <w:szCs w:val="19"/>
                <w:color w:val="auto"/>
              </w:rPr>
            </w:pPr>
          </w:p>
        </w:tc>
      </w:tr>
      <w:tr>
        <w:trPr>
          <w:trHeight w:val="223"/>
        </w:trPr>
        <w:tc>
          <w:tcPr>
            <w:tcW w:w="240" w:type="dxa"/>
            <w:vAlign w:val="bottom"/>
            <w:tcBorders>
              <w:bottom w:val="single" w:sz="8" w:color="0000EE"/>
            </w:tcBorders>
          </w:tcPr>
          <w:p>
            <w:pPr>
              <w:spacing w:after="0" w:line="223" w:lineRule="exact"/>
              <w:rPr>
                <w:sz w:val="20"/>
                <w:szCs w:val="20"/>
                <w:color w:val="auto"/>
              </w:rPr>
            </w:pPr>
            <w:r>
              <w:rPr>
                <w:rFonts w:ascii="Times New Roman" w:cs="Times New Roman" w:eastAsia="Times New Roman" w:hAnsi="Times New Roman"/>
                <w:sz w:val="20"/>
                <w:szCs w:val="20"/>
                <w:color w:val="0000EE"/>
                <w:w w:val="87"/>
              </w:rPr>
              <w:t>3.</w:t>
            </w:r>
            <w:r>
              <w:rPr>
                <w:rFonts w:ascii="Times New Roman" w:cs="Times New Roman" w:eastAsia="Times New Roman" w:hAnsi="Times New Roman"/>
                <w:sz w:val="20"/>
                <w:szCs w:val="20"/>
                <w:u w:val="single" w:color="auto"/>
                <w:color w:val="0000EE"/>
                <w:w w:val="87"/>
              </w:rPr>
              <w:t>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0"/>
                <w:szCs w:val="20"/>
                <w:color w:val="0000EE"/>
                <w:w w:val="98"/>
              </w:rPr>
              <w:t>Satisfaction of conditions precedent</w:t>
            </w:r>
          </w:p>
        </w:tc>
        <w:tc>
          <w:tcPr>
            <w:tcW w:w="500" w:type="dxa"/>
            <w:vAlign w:val="bottom"/>
            <w:gridSpan w:val="2"/>
          </w:tcPr>
          <w:p>
            <w:pPr>
              <w:spacing w:after="0"/>
              <w:rPr>
                <w:sz w:val="19"/>
                <w:szCs w:val="19"/>
                <w:color w:val="auto"/>
              </w:rPr>
            </w:pPr>
          </w:p>
        </w:tc>
      </w:tr>
      <w:tr>
        <w:trPr>
          <w:trHeight w:val="237"/>
        </w:trPr>
        <w:tc>
          <w:tcPr>
            <w:tcW w:w="4240" w:type="dxa"/>
            <w:vAlign w:val="bottom"/>
            <w:gridSpan w:val="20"/>
          </w:tcPr>
          <w:p>
            <w:pPr>
              <w:spacing w:after="0"/>
              <w:rPr>
                <w:sz w:val="20"/>
                <w:szCs w:val="20"/>
                <w:color w:val="auto"/>
              </w:rPr>
            </w:pPr>
            <w:r>
              <w:rPr>
                <w:rFonts w:ascii="Times New Roman" w:cs="Times New Roman" w:eastAsia="Times New Roman" w:hAnsi="Times New Roman"/>
                <w:sz w:val="20"/>
                <w:szCs w:val="20"/>
                <w:b w:val="1"/>
                <w:bCs w:val="1"/>
                <w:color w:val="0000EE"/>
              </w:rPr>
              <w:t>Amendment of Facility Agreement</w:t>
            </w:r>
          </w:p>
        </w:tc>
      </w:tr>
      <w:tr>
        <w:trPr>
          <w:trHeight w:val="263"/>
        </w:trPr>
        <w:tc>
          <w:tcPr>
            <w:tcW w:w="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1</w:t>
            </w:r>
          </w:p>
        </w:tc>
        <w:tc>
          <w:tcPr>
            <w:tcW w:w="4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9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7"/>
              </w:rPr>
              <w:t>Amendment</w:t>
            </w:r>
          </w:p>
        </w:tc>
        <w:tc>
          <w:tcPr>
            <w:tcW w:w="1040" w:type="dxa"/>
            <w:vAlign w:val="bottom"/>
            <w:tcBorders>
              <w:top w:val="single" w:sz="8" w:color="0000EE"/>
            </w:tcBorders>
            <w:gridSpan w:val="5"/>
          </w:tcPr>
          <w:p>
            <w:pPr>
              <w:spacing w:after="0"/>
              <w:rPr>
                <w:sz w:val="22"/>
                <w:szCs w:val="22"/>
                <w:color w:val="auto"/>
              </w:rPr>
            </w:pPr>
          </w:p>
        </w:tc>
        <w:tc>
          <w:tcPr>
            <w:tcW w:w="1320" w:type="dxa"/>
            <w:vAlign w:val="bottom"/>
            <w:gridSpan w:val="4"/>
          </w:tcPr>
          <w:p>
            <w:pPr>
              <w:spacing w:after="0"/>
              <w:rPr>
                <w:sz w:val="22"/>
                <w:szCs w:val="22"/>
                <w:color w:val="auto"/>
              </w:rPr>
            </w:pPr>
          </w:p>
        </w:tc>
      </w:tr>
      <w:tr>
        <w:trPr>
          <w:trHeight w:val="223"/>
        </w:trPr>
        <w:tc>
          <w:tcPr>
            <w:tcW w:w="240" w:type="dxa"/>
            <w:vAlign w:val="bottom"/>
            <w:tcBorders>
              <w:bottom w:val="single" w:sz="8" w:color="0000EE"/>
            </w:tcBorders>
          </w:tcPr>
          <w:p>
            <w:pPr>
              <w:spacing w:after="0" w:line="223"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bottom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0"/>
                <w:szCs w:val="20"/>
                <w:color w:val="0000EE"/>
                <w:w w:val="96"/>
              </w:rPr>
              <w:t>Parties bound</w:t>
            </w:r>
          </w:p>
        </w:tc>
        <w:tc>
          <w:tcPr>
            <w:tcW w:w="2260" w:type="dxa"/>
            <w:vAlign w:val="bottom"/>
            <w:gridSpan w:val="7"/>
          </w:tcPr>
          <w:p>
            <w:pPr>
              <w:spacing w:after="0"/>
              <w:rPr>
                <w:sz w:val="19"/>
                <w:szCs w:val="19"/>
                <w:color w:val="auto"/>
              </w:rPr>
            </w:pPr>
          </w:p>
        </w:tc>
      </w:tr>
      <w:tr>
        <w:trPr>
          <w:trHeight w:val="237"/>
        </w:trPr>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b w:val="1"/>
                <w:bCs w:val="1"/>
                <w:color w:val="0000EE"/>
                <w:w w:val="96"/>
              </w:rPr>
              <w:t>Release</w:t>
            </w:r>
          </w:p>
        </w:tc>
        <w:tc>
          <w:tcPr>
            <w:tcW w:w="2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63"/>
        </w:trPr>
        <w:tc>
          <w:tcPr>
            <w:tcW w:w="10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b w:val="1"/>
                <w:bCs w:val="1"/>
                <w:color w:val="0000EE"/>
                <w:w w:val="97"/>
              </w:rPr>
              <w:t>Undertaking</w:t>
            </w:r>
          </w:p>
        </w:tc>
        <w:tc>
          <w:tcPr>
            <w:tcW w:w="3160" w:type="dxa"/>
            <w:vAlign w:val="bottom"/>
            <w:gridSpan w:val="15"/>
          </w:tcPr>
          <w:p>
            <w:pPr>
              <w:spacing w:after="0"/>
              <w:rPr>
                <w:sz w:val="22"/>
                <w:szCs w:val="22"/>
                <w:color w:val="auto"/>
              </w:rPr>
            </w:pPr>
          </w:p>
        </w:tc>
      </w:tr>
      <w:tr>
        <w:trPr>
          <w:trHeight w:val="263"/>
        </w:trPr>
        <w:tc>
          <w:tcPr>
            <w:tcW w:w="4240" w:type="dxa"/>
            <w:vAlign w:val="bottom"/>
            <w:gridSpan w:val="20"/>
          </w:tcPr>
          <w:p>
            <w:pPr>
              <w:spacing w:after="0"/>
              <w:rPr>
                <w:sz w:val="20"/>
                <w:szCs w:val="20"/>
                <w:color w:val="auto"/>
              </w:rPr>
            </w:pPr>
            <w:r>
              <w:rPr>
                <w:rFonts w:ascii="Times New Roman" w:cs="Times New Roman" w:eastAsia="Times New Roman" w:hAnsi="Times New Roman"/>
                <w:sz w:val="20"/>
                <w:szCs w:val="20"/>
                <w:b w:val="1"/>
                <w:bCs w:val="1"/>
                <w:color w:val="0000EE"/>
              </w:rPr>
              <w:t>Representations and warranties</w:t>
            </w:r>
          </w:p>
        </w:tc>
      </w:tr>
      <w:tr>
        <w:trPr>
          <w:trHeight w:val="250"/>
        </w:trPr>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7.</w:t>
            </w:r>
            <w:r>
              <w:rPr>
                <w:rFonts w:ascii="Times New Roman" w:cs="Times New Roman" w:eastAsia="Times New Roman" w:hAnsi="Times New Roman"/>
                <w:sz w:val="20"/>
                <w:szCs w:val="20"/>
                <w:u w:val="single" w:color="auto"/>
                <w:color w:val="0000EE"/>
                <w:w w:val="87"/>
              </w:rPr>
              <w:t>1</w:t>
            </w:r>
          </w:p>
        </w:tc>
        <w:tc>
          <w:tcPr>
            <w:tcW w:w="4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rPr>
              <w:t>General</w:t>
            </w:r>
          </w:p>
        </w:tc>
        <w:tc>
          <w:tcPr>
            <w:tcW w:w="1560" w:type="dxa"/>
            <w:vAlign w:val="bottom"/>
            <w:gridSpan w:val="5"/>
          </w:tcPr>
          <w:p>
            <w:pPr>
              <w:spacing w:after="0"/>
              <w:rPr>
                <w:sz w:val="21"/>
                <w:szCs w:val="2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50"/>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7.</w:t>
            </w:r>
            <w:r>
              <w:rPr>
                <w:rFonts w:ascii="Times New Roman" w:cs="Times New Roman" w:eastAsia="Times New Roman" w:hAnsi="Times New Roman"/>
                <w:sz w:val="20"/>
                <w:szCs w:val="20"/>
                <w:u w:val="single" w:color="auto"/>
                <w:color w:val="0000EE"/>
                <w:w w:val="87"/>
              </w:rPr>
              <w:t>2</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w w:val="98"/>
              </w:rPr>
              <w:t>Survival of representations and warranties</w:t>
            </w:r>
          </w:p>
        </w:tc>
      </w:tr>
      <w:tr>
        <w:trPr>
          <w:trHeight w:val="250"/>
        </w:trPr>
        <w:tc>
          <w:tcPr>
            <w:tcW w:w="4240" w:type="dxa"/>
            <w:vAlign w:val="bottom"/>
            <w:gridSpan w:val="20"/>
          </w:tcPr>
          <w:p>
            <w:pPr>
              <w:spacing w:after="0"/>
              <w:rPr>
                <w:sz w:val="20"/>
                <w:szCs w:val="20"/>
                <w:color w:val="auto"/>
              </w:rPr>
            </w:pPr>
            <w:r>
              <w:rPr>
                <w:rFonts w:ascii="Times New Roman" w:cs="Times New Roman" w:eastAsia="Times New Roman" w:hAnsi="Times New Roman"/>
                <w:sz w:val="20"/>
                <w:szCs w:val="20"/>
                <w:b w:val="1"/>
                <w:bCs w:val="1"/>
                <w:color w:val="0000EE"/>
              </w:rPr>
              <w:t>Acknowledgments</w:t>
            </w:r>
          </w:p>
        </w:tc>
      </w:tr>
      <w:tr>
        <w:trPr>
          <w:trHeight w:val="263"/>
        </w:trPr>
        <w:tc>
          <w:tcPr>
            <w:tcW w:w="9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20"/>
                <w:szCs w:val="20"/>
                <w:b w:val="1"/>
                <w:bCs w:val="1"/>
                <w:color w:val="0000EE"/>
              </w:rPr>
              <w:t>General</w:t>
            </w:r>
          </w:p>
        </w:tc>
        <w:tc>
          <w:tcPr>
            <w:tcW w:w="1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63"/>
        </w:trPr>
        <w:tc>
          <w:tcPr>
            <w:tcW w:w="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1</w:t>
            </w:r>
          </w:p>
        </w:tc>
        <w:tc>
          <w:tcPr>
            <w:tcW w:w="4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7"/>
              </w:rPr>
              <w:t>Amendment</w:t>
            </w:r>
          </w:p>
        </w:tc>
        <w:tc>
          <w:tcPr>
            <w:tcW w:w="2360" w:type="dxa"/>
            <w:vAlign w:val="bottom"/>
            <w:gridSpan w:val="9"/>
          </w:tcPr>
          <w:p>
            <w:pPr>
              <w:spacing w:after="0"/>
              <w:rPr>
                <w:sz w:val="22"/>
                <w:szCs w:val="22"/>
                <w:color w:val="auto"/>
              </w:rPr>
            </w:pPr>
          </w:p>
        </w:tc>
      </w:tr>
      <w:tr>
        <w:trPr>
          <w:trHeight w:val="223"/>
        </w:trPr>
        <w:tc>
          <w:tcPr>
            <w:tcW w:w="240" w:type="dxa"/>
            <w:vAlign w:val="bottom"/>
            <w:tcBorders>
              <w:bottom w:val="single" w:sz="8" w:color="0000EE"/>
            </w:tcBorders>
          </w:tcPr>
          <w:p>
            <w:pPr>
              <w:spacing w:after="0" w:line="223"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0"/>
                <w:szCs w:val="20"/>
                <w:color w:val="0000EE"/>
                <w:w w:val="96"/>
              </w:rPr>
              <w:t>Construction</w:t>
            </w:r>
          </w:p>
        </w:tc>
        <w:tc>
          <w:tcPr>
            <w:tcW w:w="2320" w:type="dxa"/>
            <w:vAlign w:val="bottom"/>
            <w:gridSpan w:val="8"/>
          </w:tcPr>
          <w:p>
            <w:pPr>
              <w:spacing w:after="0"/>
              <w:rPr>
                <w:sz w:val="19"/>
                <w:szCs w:val="19"/>
                <w:color w:val="auto"/>
              </w:rPr>
            </w:pPr>
          </w:p>
        </w:tc>
      </w:tr>
      <w:tr>
        <w:trPr>
          <w:trHeight w:val="209"/>
        </w:trPr>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0000EE"/>
            </w:tcBorders>
            <w:gridSpan w:val="8"/>
          </w:tcPr>
          <w:p>
            <w:pPr>
              <w:spacing w:after="0" w:line="209" w:lineRule="exact"/>
              <w:rPr>
                <w:sz w:val="20"/>
                <w:szCs w:val="20"/>
                <w:color w:val="auto"/>
              </w:rPr>
            </w:pPr>
            <w:r>
              <w:rPr>
                <w:rFonts w:ascii="Times New Roman" w:cs="Times New Roman" w:eastAsia="Times New Roman" w:hAnsi="Times New Roman"/>
                <w:sz w:val="20"/>
                <w:szCs w:val="20"/>
                <w:color w:val="0000EE"/>
                <w:w w:val="96"/>
              </w:rPr>
              <w:t>Counterparts</w:t>
            </w:r>
          </w:p>
        </w:tc>
        <w:tc>
          <w:tcPr>
            <w:tcW w:w="2320" w:type="dxa"/>
            <w:vAlign w:val="bottom"/>
            <w:gridSpan w:val="8"/>
          </w:tcPr>
          <w:p>
            <w:pPr>
              <w:spacing w:after="0"/>
              <w:rPr>
                <w:sz w:val="18"/>
                <w:szCs w:val="18"/>
                <w:color w:val="auto"/>
              </w:rPr>
            </w:pPr>
          </w:p>
        </w:tc>
      </w:tr>
      <w:tr>
        <w:trPr>
          <w:trHeight w:val="210"/>
        </w:trPr>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4"/>
              </w:rPr>
              <w:t>Deed</w:t>
            </w:r>
          </w:p>
        </w:tc>
        <w:tc>
          <w:tcPr>
            <w:tcW w:w="2920" w:type="dxa"/>
            <w:vAlign w:val="bottom"/>
            <w:gridSpan w:val="13"/>
          </w:tcPr>
          <w:p>
            <w:pPr>
              <w:spacing w:after="0"/>
              <w:rPr>
                <w:sz w:val="18"/>
                <w:szCs w:val="18"/>
                <w:color w:val="auto"/>
              </w:rPr>
            </w:pPr>
          </w:p>
        </w:tc>
      </w:tr>
      <w:tr>
        <w:trPr>
          <w:trHeight w:val="209"/>
        </w:trPr>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4"/>
              </w:rPr>
              <w:t>Duty</w:t>
            </w:r>
          </w:p>
        </w:tc>
        <w:tc>
          <w:tcPr>
            <w:tcW w:w="2940" w:type="dxa"/>
            <w:vAlign w:val="bottom"/>
            <w:gridSpan w:val="14"/>
          </w:tcPr>
          <w:p>
            <w:pPr>
              <w:spacing w:after="0"/>
              <w:rPr>
                <w:sz w:val="18"/>
                <w:szCs w:val="18"/>
                <w:color w:val="auto"/>
              </w:rPr>
            </w:pPr>
          </w:p>
        </w:tc>
      </w:tr>
      <w:tr>
        <w:trPr>
          <w:trHeight w:val="209"/>
        </w:trPr>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16"/>
          </w:tcPr>
          <w:p>
            <w:pPr>
              <w:spacing w:after="0" w:line="209" w:lineRule="exact"/>
              <w:rPr>
                <w:sz w:val="20"/>
                <w:szCs w:val="20"/>
                <w:color w:val="auto"/>
              </w:rPr>
            </w:pPr>
            <w:r>
              <w:rPr>
                <w:rFonts w:ascii="Times New Roman" w:cs="Times New Roman" w:eastAsia="Times New Roman" w:hAnsi="Times New Roman"/>
                <w:sz w:val="20"/>
                <w:szCs w:val="20"/>
                <w:color w:val="0000EE"/>
              </w:rPr>
              <w:t>Entire understanding</w:t>
            </w:r>
          </w:p>
        </w:tc>
      </w:tr>
      <w:tr>
        <w:trPr>
          <w:trHeight w:val="210"/>
        </w:trPr>
        <w:tc>
          <w:tcPr>
            <w:tcW w:w="240" w:type="dxa"/>
            <w:vAlign w:val="bottom"/>
            <w:tcBorders>
              <w:top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top w:val="single" w:sz="8" w:color="0000EE"/>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EE"/>
              </w:rPr>
              <w:t>Further steps</w:t>
            </w:r>
          </w:p>
        </w:tc>
        <w:tc>
          <w:tcPr>
            <w:tcW w:w="1700" w:type="dxa"/>
            <w:vAlign w:val="bottom"/>
            <w:gridSpan w:val="6"/>
          </w:tcPr>
          <w:p>
            <w:pPr>
              <w:spacing w:after="0"/>
              <w:rPr>
                <w:sz w:val="18"/>
                <w:szCs w:val="18"/>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09"/>
        </w:trPr>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16"/>
          </w:tcPr>
          <w:p>
            <w:pPr>
              <w:spacing w:after="0" w:line="209" w:lineRule="exact"/>
              <w:rPr>
                <w:sz w:val="20"/>
                <w:szCs w:val="20"/>
                <w:color w:val="auto"/>
              </w:rPr>
            </w:pPr>
            <w:r>
              <w:rPr>
                <w:rFonts w:ascii="Times New Roman" w:cs="Times New Roman" w:eastAsia="Times New Roman" w:hAnsi="Times New Roman"/>
                <w:sz w:val="20"/>
                <w:szCs w:val="20"/>
                <w:color w:val="0000EE"/>
              </w:rPr>
              <w:t>Governing law and jurisdiction</w:t>
            </w:r>
          </w:p>
        </w:tc>
      </w:tr>
      <w:tr>
        <w:trPr>
          <w:trHeight w:val="210"/>
        </w:trPr>
        <w:tc>
          <w:tcPr>
            <w:tcW w:w="24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0000EE"/>
              <w:bottom w:val="single" w:sz="8" w:color="0000EE"/>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EE"/>
                <w:w w:val="97"/>
              </w:rPr>
              <w:t>Legal costs</w:t>
            </w:r>
          </w:p>
        </w:tc>
        <w:tc>
          <w:tcPr>
            <w:tcW w:w="1560" w:type="dxa"/>
            <w:vAlign w:val="bottom"/>
            <w:tcBorders>
              <w:top w:val="single" w:sz="8" w:color="0000EE"/>
            </w:tcBorders>
            <w:gridSpan w:val="7"/>
          </w:tcPr>
          <w:p>
            <w:pPr>
              <w:spacing w:after="0"/>
              <w:rPr>
                <w:sz w:val="18"/>
                <w:szCs w:val="18"/>
                <w:color w:val="auto"/>
              </w:rPr>
            </w:pPr>
          </w:p>
        </w:tc>
        <w:tc>
          <w:tcPr>
            <w:tcW w:w="880" w:type="dxa"/>
            <w:vAlign w:val="bottom"/>
            <w:gridSpan w:val="3"/>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-1328420</wp:posOffset>
            </wp:positionV>
            <wp:extent cx="56235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4">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-1508125</wp:posOffset>
            </wp:positionV>
            <wp:extent cx="56235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-2202180</wp:posOffset>
            </wp:positionV>
            <wp:extent cx="56235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-2382520</wp:posOffset>
            </wp:positionV>
            <wp:extent cx="5623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-2879725</wp:posOffset>
            </wp:positionV>
            <wp:extent cx="56235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EE"/>
        </w:rPr>
        <w:t>Schedule – Guarantors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20"/>
          <w:szCs w:val="20"/>
          <w:color w:val="auto"/>
        </w:rPr>
        <w:t>7</w:t>
      </w:r>
    </w:p>
    <w:p>
      <w:pPr>
        <w:spacing w:after="0"/>
        <w:rPr>
          <w:sz w:val="20"/>
          <w:szCs w:val="20"/>
          <w:color w:val="auto"/>
        </w:rPr>
      </w:pPr>
      <w:r>
        <w:rPr>
          <w:rFonts w:ascii="Times New Roman" w:cs="Times New Roman" w:eastAsia="Times New Roman" w:hAnsi="Times New Roman"/>
          <w:sz w:val="20"/>
          <w:szCs w:val="20"/>
          <w:color w:val="auto"/>
        </w:rPr>
        <w:t>8</w:t>
      </w:r>
    </w:p>
    <w:p>
      <w:pPr>
        <w:spacing w:after="0" w:line="33" w:lineRule="exact"/>
        <w:rPr>
          <w:sz w:val="20"/>
          <w:szCs w:val="20"/>
          <w:color w:val="auto"/>
        </w:rPr>
      </w:pPr>
    </w:p>
    <w:p>
      <w:pPr>
        <w:sectPr>
          <w:pgSz w:w="11900" w:h="16838" w:orient="portrait"/>
          <w:cols w:equalWidth="0" w:num="3">
            <w:col w:w="300" w:space="500"/>
            <w:col w:w="6720" w:space="720"/>
            <w:col w:w="779"/>
          </w:cols>
          <w:pgMar w:left="1440" w:top="121" w:right="1440" w:bottom="1440" w:gutter="0" w:footer="0" w:header="0"/>
          <w:type w:val="continuous"/>
        </w:sectPr>
      </w:pPr>
    </w:p>
    <w:tbl>
      <w:tblPr>
        <w:tblLayout w:type="fixed"/>
        <w:tblInd w:w="80" w:type="dxa"/>
        <w:tblCellMar>
          <w:top w:w="0" w:type="dxa"/>
          <w:left w:w="0" w:type="dxa"/>
          <w:bottom w:w="0" w:type="dxa"/>
          <w:right w:w="0" w:type="dxa"/>
        </w:tblCellMar>
      </w:tblPr>
      <w:tr>
        <w:trPr>
          <w:trHeight w:val="217"/>
        </w:trPr>
        <w:tc>
          <w:tcPr>
            <w:tcW w:w="720" w:type="dxa"/>
            <w:vAlign w:val="bottom"/>
            <w:tcBorders>
              <w:top w:val="single" w:sz="8" w:color="auto"/>
            </w:tcBorders>
          </w:tcPr>
          <w:p>
            <w:pPr>
              <w:spacing w:after="0"/>
              <w:rPr>
                <w:sz w:val="18"/>
                <w:szCs w:val="18"/>
                <w:color w:val="auto"/>
              </w:rPr>
            </w:pPr>
          </w:p>
        </w:tc>
        <w:tc>
          <w:tcPr>
            <w:tcW w:w="4140" w:type="dxa"/>
            <w:vAlign w:val="bottom"/>
            <w:tcBorders>
              <w:top w:val="single" w:sz="8" w:color="auto"/>
            </w:tcBorders>
            <w:gridSpan w:val="2"/>
          </w:tcPr>
          <w:p>
            <w:pPr>
              <w:spacing w:after="0" w:line="217" w:lineRule="exact"/>
              <w:rPr>
                <w:sz w:val="20"/>
                <w:szCs w:val="20"/>
                <w:color w:val="auto"/>
              </w:rPr>
            </w:pPr>
            <w:r>
              <w:rPr>
                <w:rFonts w:ascii="Times New Roman" w:cs="Times New Roman" w:eastAsia="Times New Roman" w:hAnsi="Times New Roman"/>
                <w:sz w:val="20"/>
                <w:szCs w:val="20"/>
                <w:b w:val="1"/>
                <w:bCs w:val="1"/>
                <w:color w:val="0000EE"/>
              </w:rPr>
              <w:t>Execution</w:t>
            </w:r>
          </w:p>
        </w:tc>
        <w:tc>
          <w:tcPr>
            <w:tcW w:w="4000" w:type="dxa"/>
            <w:vAlign w:val="bottom"/>
            <w:tcBorders>
              <w:top w:val="single" w:sz="8" w:color="auto"/>
            </w:tcBorders>
          </w:tcPr>
          <w:p>
            <w:pPr>
              <w:ind w:left="3300"/>
              <w:spacing w:after="0" w:line="217" w:lineRule="exact"/>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18"/>
                <w:szCs w:val="18"/>
                <w:color w:val="auto"/>
              </w:rPr>
            </w:pPr>
          </w:p>
        </w:tc>
      </w:tr>
      <w:tr>
        <w:trPr>
          <w:trHeight w:val="34"/>
        </w:trPr>
        <w:tc>
          <w:tcPr>
            <w:tcW w:w="720" w:type="dxa"/>
            <w:vAlign w:val="bottom"/>
            <w:tcBorders>
              <w:bottom w:val="single" w:sz="8" w:color="auto"/>
            </w:tcBorders>
          </w:tcPr>
          <w:p>
            <w:pPr>
              <w:spacing w:after="0"/>
              <w:rPr>
                <w:sz w:val="2"/>
                <w:szCs w:val="2"/>
                <w:color w:val="auto"/>
              </w:rPr>
            </w:pPr>
          </w:p>
        </w:tc>
        <w:tc>
          <w:tcPr>
            <w:tcW w:w="840" w:type="dxa"/>
            <w:vAlign w:val="bottom"/>
            <w:tcBorders>
              <w:top w:val="single" w:sz="8" w:color="0000EE"/>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720" w:type="dxa"/>
            <w:vAlign w:val="bottom"/>
          </w:tcPr>
          <w:p>
            <w:pPr>
              <w:spacing w:after="0"/>
              <w:rPr>
                <w:sz w:val="18"/>
                <w:szCs w:val="18"/>
                <w:color w:val="auto"/>
              </w:rPr>
            </w:pPr>
          </w:p>
        </w:tc>
        <w:tc>
          <w:tcPr>
            <w:tcW w:w="41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Annexure</w:t>
            </w:r>
          </w:p>
        </w:tc>
        <w:tc>
          <w:tcPr>
            <w:tcW w:w="4000" w:type="dxa"/>
            <w:vAlign w:val="bottom"/>
          </w:tcPr>
          <w:p>
            <w:pPr>
              <w:ind w:left="3300"/>
              <w:spacing w:after="0" w:line="209" w:lineRule="exact"/>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18"/>
                <w:szCs w:val="18"/>
                <w:color w:val="auto"/>
              </w:rPr>
            </w:pPr>
          </w:p>
        </w:tc>
      </w:tr>
      <w:tr>
        <w:trPr>
          <w:trHeight w:val="34"/>
        </w:trPr>
        <w:tc>
          <w:tcPr>
            <w:tcW w:w="720" w:type="dxa"/>
            <w:vAlign w:val="bottom"/>
            <w:tcBorders>
              <w:bottom w:val="single" w:sz="8" w:color="auto"/>
            </w:tcBorders>
          </w:tcPr>
          <w:p>
            <w:pPr>
              <w:spacing w:after="0"/>
              <w:rPr>
                <w:sz w:val="2"/>
                <w:szCs w:val="2"/>
                <w:color w:val="auto"/>
              </w:rPr>
            </w:pPr>
          </w:p>
        </w:tc>
        <w:tc>
          <w:tcPr>
            <w:tcW w:w="840" w:type="dxa"/>
            <w:vAlign w:val="bottom"/>
            <w:tcBorders>
              <w:top w:val="single" w:sz="8" w:color="0000EE"/>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777"/>
        </w:trPr>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7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4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0">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0" w:name="page31"/>
    <w:bookmarkEnd w:id="30"/>
    <w:p>
      <w:pPr>
        <w:ind w:left="80"/>
        <w:spacing w:after="0"/>
        <w:rPr>
          <w:sz w:val="20"/>
          <w:szCs w:val="20"/>
          <w:color w:val="auto"/>
        </w:rPr>
      </w:pPr>
      <w:r>
        <w:rPr>
          <w:rFonts w:ascii="Times New Roman" w:cs="Times New Roman" w:eastAsia="Times New Roman" w:hAnsi="Times New Roman"/>
          <w:sz w:val="20"/>
          <w:szCs w:val="20"/>
          <w:b w:val="1"/>
          <w:bCs w:val="1"/>
          <w:color w:val="auto"/>
        </w:rPr>
        <w:t>Date 08 June 2021</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36"/>
          <w:szCs w:val="36"/>
          <w:color w:val="auto"/>
        </w:rPr>
        <w:t>Parties</w:t>
      </w:r>
    </w:p>
    <w:p>
      <w:pPr>
        <w:spacing w:after="0" w:line="244" w:lineRule="exact"/>
        <w:rPr>
          <w:sz w:val="20"/>
          <w:szCs w:val="20"/>
          <w:color w:val="auto"/>
        </w:rPr>
      </w:pPr>
    </w:p>
    <w:p>
      <w:pPr>
        <w:ind w:left="80" w:right="4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National Australia Bank Limited </w:t>
      </w:r>
      <w:r>
        <w:rPr>
          <w:rFonts w:ascii="Times New Roman" w:cs="Times New Roman" w:eastAsia="Times New Roman" w:hAnsi="Times New Roman"/>
          <w:sz w:val="20"/>
          <w:szCs w:val="20"/>
          <w:color w:val="auto"/>
        </w:rPr>
        <w:t>ABN 12 004 044 937 of Pier 3 Level 4, 800 Bourke Street, Docklands,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Victoria 3008 </w:t>
      </w:r>
      <w:r>
        <w:rPr>
          <w:rFonts w:ascii="Times New Roman" w:cs="Times New Roman" w:eastAsia="Times New Roman" w:hAnsi="Times New Roman"/>
          <w:sz w:val="20"/>
          <w:szCs w:val="20"/>
          <w:b w:val="1"/>
          <w:bCs w:val="1"/>
          <w:color w:val="auto"/>
        </w:rPr>
        <w:t>(Bank)</w:t>
      </w:r>
    </w:p>
    <w:p>
      <w:pPr>
        <w:spacing w:after="0" w:line="165" w:lineRule="exact"/>
        <w:rPr>
          <w:sz w:val="20"/>
          <w:szCs w:val="20"/>
          <w:color w:val="auto"/>
        </w:rPr>
      </w:pPr>
    </w:p>
    <w:p>
      <w:pPr>
        <w:ind w:left="80" w:right="2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Reading Entertainment Australia Pty Ltd </w:t>
      </w:r>
      <w:r>
        <w:rPr>
          <w:rFonts w:ascii="Times New Roman" w:cs="Times New Roman" w:eastAsia="Times New Roman" w:hAnsi="Times New Roman"/>
          <w:sz w:val="20"/>
          <w:szCs w:val="20"/>
          <w:color w:val="auto"/>
        </w:rPr>
        <w:t>ACN 070 893 908 of 98 York Street, South Melbourne, Victoria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3205 </w:t>
      </w:r>
      <w:r>
        <w:rPr>
          <w:rFonts w:ascii="Times New Roman" w:cs="Times New Roman" w:eastAsia="Times New Roman" w:hAnsi="Times New Roman"/>
          <w:sz w:val="20"/>
          <w:szCs w:val="20"/>
          <w:b w:val="1"/>
          <w:bCs w:val="1"/>
          <w:color w:val="auto"/>
        </w:rPr>
        <w:t>(Borrower)</w:t>
      </w:r>
    </w:p>
    <w:p>
      <w:pPr>
        <w:spacing w:after="0" w:line="1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 xml:space="preserve">Each entity listed in the schedule </w:t>
      </w:r>
      <w:r>
        <w:rPr>
          <w:rFonts w:ascii="Times New Roman" w:cs="Times New Roman" w:eastAsia="Times New Roman" w:hAnsi="Times New Roman"/>
          <w:sz w:val="20"/>
          <w:szCs w:val="20"/>
          <w:color w:val="auto"/>
        </w:rPr>
        <w:t>(each a Guarantor)</w:t>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36"/>
          <w:szCs w:val="36"/>
          <w:color w:val="auto"/>
        </w:rPr>
        <w:t>Agreed terms</w:t>
      </w:r>
    </w:p>
    <w:p>
      <w:pPr>
        <w:spacing w:after="0" w:line="239" w:lineRule="exact"/>
        <w:rPr>
          <w:sz w:val="20"/>
          <w:szCs w:val="20"/>
          <w:color w:val="auto"/>
        </w:rPr>
      </w:pPr>
    </w:p>
    <w:p>
      <w:pPr>
        <w:ind w:left="860" w:hanging="784"/>
        <w:spacing w:after="0"/>
        <w:tabs>
          <w:tab w:leader="none" w:pos="860" w:val="left"/>
        </w:tabs>
        <w:numPr>
          <w:ilvl w:val="0"/>
          <w:numId w:val="23"/>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Definitions</w:t>
      </w:r>
    </w:p>
    <w:p>
      <w:pPr>
        <w:spacing w:after="0" w:line="43" w:lineRule="exact"/>
        <w:rPr>
          <w:sz w:val="20"/>
          <w:szCs w:val="20"/>
          <w:color w:val="auto"/>
        </w:rPr>
      </w:pPr>
    </w:p>
    <w:p>
      <w:pPr>
        <w:jc w:val="both"/>
        <w:ind w:left="720" w:right="99"/>
        <w:spacing w:after="0" w:line="245" w:lineRule="auto"/>
        <w:rPr>
          <w:sz w:val="20"/>
          <w:szCs w:val="20"/>
          <w:color w:val="auto"/>
        </w:rPr>
      </w:pPr>
      <w:r>
        <w:rPr>
          <w:rFonts w:ascii="Times New Roman" w:cs="Times New Roman" w:eastAsia="Times New Roman" w:hAnsi="Times New Roman"/>
          <w:sz w:val="20"/>
          <w:szCs w:val="20"/>
          <w:color w:val="auto"/>
        </w:rPr>
        <w:t>In this deed words and expressions which are defined or given a specific meaning in the Amended Facility Agreement but which are not defined or given a specific meaning in this deed have the same meaning as in the Amended Facility Agreement. Otherwise, terms have the following meanings: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Acceding</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The property located at 16 Edmondstone Street, Newstead, Queensland</w:t>
            </w:r>
          </w:p>
        </w:tc>
        <w:tc>
          <w:tcPr>
            <w:tcW w:w="0" w:type="dxa"/>
            <w:vAlign w:val="bottom"/>
          </w:tcPr>
          <w:p>
            <w:pPr>
              <w:spacing w:after="0"/>
              <w:rPr>
                <w:sz w:val="1"/>
                <w:szCs w:val="1"/>
                <w:color w:val="auto"/>
              </w:rPr>
            </w:pPr>
          </w:p>
        </w:tc>
      </w:tr>
      <w:tr>
        <w:trPr>
          <w:trHeight w:val="234"/>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described as Lot 3 on registered plan 58294 bearing title reference</w:t>
            </w: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2"/>
                <w:szCs w:val="22"/>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17441054.</w:t>
            </w:r>
          </w:p>
        </w:tc>
        <w:tc>
          <w:tcPr>
            <w:tcW w:w="0" w:type="dxa"/>
            <w:vAlign w:val="bottom"/>
          </w:tcPr>
          <w:p>
            <w:pPr>
              <w:spacing w:after="0"/>
              <w:rPr>
                <w:sz w:val="1"/>
                <w:szCs w:val="1"/>
                <w:color w:val="auto"/>
              </w:rPr>
            </w:pPr>
          </w:p>
        </w:tc>
      </w:tr>
      <w:tr>
        <w:trPr>
          <w:trHeight w:val="197"/>
        </w:trPr>
        <w:tc>
          <w:tcPr>
            <w:tcW w:w="2340" w:type="dxa"/>
            <w:vAlign w:val="bottom"/>
            <w:vMerge w:val="continue"/>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Amended</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The Facility Agreement as amended in accordance with this deed.</w:t>
            </w:r>
          </w:p>
        </w:tc>
        <w:tc>
          <w:tcPr>
            <w:tcW w:w="0" w:type="dxa"/>
            <w:vAlign w:val="bottom"/>
          </w:tcPr>
          <w:p>
            <w:pPr>
              <w:spacing w:after="0"/>
              <w:rPr>
                <w:sz w:val="1"/>
                <w:szCs w:val="1"/>
                <w:color w:val="auto"/>
              </w:rPr>
            </w:pPr>
          </w:p>
        </w:tc>
      </w:tr>
      <w:tr>
        <w:trPr>
          <w:trHeight w:val="229"/>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Facility</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Effective Date</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The date on which each of the conditions precedent set out in clause 3 have</w:t>
            </w: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2"/>
                <w:szCs w:val="22"/>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been satisfied (subject to clause 3.2(d)).</w:t>
            </w:r>
          </w:p>
        </w:tc>
        <w:tc>
          <w:tcPr>
            <w:tcW w:w="0" w:type="dxa"/>
            <w:vAlign w:val="bottom"/>
          </w:tcPr>
          <w:p>
            <w:pPr>
              <w:spacing w:after="0"/>
              <w:rPr>
                <w:sz w:val="1"/>
                <w:szCs w:val="1"/>
                <w:color w:val="auto"/>
              </w:rPr>
            </w:pPr>
          </w:p>
        </w:tc>
      </w:tr>
      <w:tr>
        <w:trPr>
          <w:trHeight w:val="197"/>
        </w:trPr>
        <w:tc>
          <w:tcPr>
            <w:tcW w:w="2340" w:type="dxa"/>
            <w:vAlign w:val="bottom"/>
            <w:vMerge w:val="continue"/>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Facility</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The Facility Agreement between the Bank, the Borrower, and others</w:t>
            </w:r>
          </w:p>
        </w:tc>
        <w:tc>
          <w:tcPr>
            <w:tcW w:w="0" w:type="dxa"/>
            <w:vAlign w:val="bottom"/>
          </w:tcPr>
          <w:p>
            <w:pPr>
              <w:spacing w:after="0"/>
              <w:rPr>
                <w:sz w:val="1"/>
                <w:szCs w:val="1"/>
                <w:color w:val="auto"/>
              </w:rPr>
            </w:pPr>
          </w:p>
        </w:tc>
      </w:tr>
      <w:tr>
        <w:trPr>
          <w:trHeight w:val="233"/>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originally dated, 24 June 2011 as amended on 27 March 2019 and from</w:t>
            </w: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2"/>
                <w:szCs w:val="22"/>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time to time.</w:t>
            </w:r>
          </w:p>
        </w:tc>
        <w:tc>
          <w:tcPr>
            <w:tcW w:w="0" w:type="dxa"/>
            <w:vAlign w:val="bottom"/>
          </w:tcPr>
          <w:p>
            <w:pPr>
              <w:spacing w:after="0"/>
              <w:rPr>
                <w:sz w:val="1"/>
                <w:szCs w:val="1"/>
                <w:color w:val="auto"/>
              </w:rPr>
            </w:pPr>
          </w:p>
        </w:tc>
      </w:tr>
      <w:tr>
        <w:trPr>
          <w:trHeight w:val="197"/>
        </w:trPr>
        <w:tc>
          <w:tcPr>
            <w:tcW w:w="2340" w:type="dxa"/>
            <w:vAlign w:val="bottom"/>
            <w:vMerge w:val="continue"/>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Net Sale</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 relation to the sale of the Released Property, the gross sale or disposal</w:t>
            </w:r>
          </w:p>
        </w:tc>
        <w:tc>
          <w:tcPr>
            <w:tcW w:w="0" w:type="dxa"/>
            <w:vAlign w:val="bottom"/>
          </w:tcPr>
          <w:p>
            <w:pPr>
              <w:spacing w:after="0"/>
              <w:rPr>
                <w:sz w:val="1"/>
                <w:szCs w:val="1"/>
                <w:color w:val="auto"/>
              </w:rPr>
            </w:pPr>
          </w:p>
        </w:tc>
      </w:tr>
      <w:tr>
        <w:trPr>
          <w:trHeight w:val="233"/>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Proceeds</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price set out in the sale contract less the aggregate of estate agent</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commissions, conveyancing fees, adjustments (for both water and council</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rates), land tax owners corporation fees and fees associated with the</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discharge or release of an Encumbrance over the Released Property and any</w:t>
            </w: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2"/>
                <w:szCs w:val="22"/>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GST payable in relation to the sale contract.</w:t>
            </w:r>
          </w:p>
        </w:tc>
        <w:tc>
          <w:tcPr>
            <w:tcW w:w="0" w:type="dxa"/>
            <w:vAlign w:val="bottom"/>
          </w:tcPr>
          <w:p>
            <w:pPr>
              <w:spacing w:after="0"/>
              <w:rPr>
                <w:sz w:val="1"/>
                <w:szCs w:val="1"/>
                <w:color w:val="auto"/>
              </w:rPr>
            </w:pPr>
          </w:p>
        </w:tc>
      </w:tr>
      <w:tr>
        <w:trPr>
          <w:trHeight w:val="197"/>
        </w:trPr>
        <w:tc>
          <w:tcPr>
            <w:tcW w:w="2340" w:type="dxa"/>
            <w:vAlign w:val="bottom"/>
            <w:vMerge w:val="continue"/>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Released</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The land and improvements known as Red Yard</w:t>
            </w:r>
          </w:p>
        </w:tc>
        <w:tc>
          <w:tcPr>
            <w:tcW w:w="0" w:type="dxa"/>
            <w:vAlign w:val="bottom"/>
          </w:tcPr>
          <w:p>
            <w:pPr>
              <w:spacing w:after="0"/>
              <w:rPr>
                <w:sz w:val="1"/>
                <w:szCs w:val="1"/>
                <w:color w:val="auto"/>
              </w:rPr>
            </w:pPr>
          </w:p>
        </w:tc>
      </w:tr>
      <w:tr>
        <w:trPr>
          <w:trHeight w:val="233"/>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Property</w:t>
            </w: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Entertainment Centre, 100 Parramatta Road, Auburn New South Wales and</w:t>
            </w: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described in certificate of title 202/1039922.</w:t>
            </w:r>
          </w:p>
        </w:tc>
        <w:tc>
          <w:tcPr>
            <w:tcW w:w="0" w:type="dxa"/>
            <w:vAlign w:val="bottom"/>
          </w:tcPr>
          <w:p>
            <w:pPr>
              <w:spacing w:after="0"/>
              <w:rPr>
                <w:sz w:val="1"/>
                <w:szCs w:val="1"/>
                <w:color w:val="auto"/>
              </w:rPr>
            </w:pPr>
          </w:p>
        </w:tc>
      </w:tr>
      <w:tr>
        <w:trPr>
          <w:trHeight w:val="790"/>
        </w:trPr>
        <w:tc>
          <w:tcPr>
            <w:tcW w:w="234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EEEEEE"/>
            </w:tcBorders>
          </w:tcPr>
          <w:p>
            <w:pPr>
              <w:spacing w:after="0" w:line="20" w:lineRule="exact"/>
              <w:rPr>
                <w:sz w:val="1"/>
                <w:szCs w:val="1"/>
                <w:color w:val="auto"/>
              </w:rPr>
            </w:pPr>
          </w:p>
        </w:tc>
        <w:tc>
          <w:tcPr>
            <w:tcW w:w="65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-38100</wp:posOffset>
            </wp:positionV>
            <wp:extent cx="3365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-38100</wp:posOffset>
            </wp:positionV>
            <wp:extent cx="3365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2">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1" w:name="page32"/>
    <w:bookmarkEnd w:id="31"/>
    <w:p>
      <w:pPr>
        <w:ind w:left="860" w:hanging="784"/>
        <w:spacing w:after="0"/>
        <w:tabs>
          <w:tab w:leader="none" w:pos="860" w:val="left"/>
        </w:tabs>
        <w:numPr>
          <w:ilvl w:val="0"/>
          <w:numId w:val="24"/>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Consideration</w:t>
      </w:r>
    </w:p>
    <w:p>
      <w:pPr>
        <w:spacing w:after="0" w:line="43" w:lineRule="exact"/>
        <w:rPr>
          <w:sz w:val="20"/>
          <w:szCs w:val="20"/>
          <w:color w:val="auto"/>
        </w:rPr>
      </w:pPr>
    </w:p>
    <w:p>
      <w:pPr>
        <w:ind w:left="720" w:right="99"/>
        <w:spacing w:after="0" w:line="252" w:lineRule="auto"/>
        <w:rPr>
          <w:sz w:val="20"/>
          <w:szCs w:val="20"/>
          <w:color w:val="auto"/>
        </w:rPr>
      </w:pPr>
      <w:r>
        <w:rPr>
          <w:rFonts w:ascii="Times New Roman" w:cs="Times New Roman" w:eastAsia="Times New Roman" w:hAnsi="Times New Roman"/>
          <w:sz w:val="20"/>
          <w:szCs w:val="20"/>
          <w:color w:val="auto"/>
        </w:rPr>
        <w:t>Each party has entered into this deed in consideration of the Bank agreeing to amend the Facility Agreement in accordance with this deed.</w:t>
      </w:r>
    </w:p>
    <w:p>
      <w:pPr>
        <w:spacing w:after="0" w:line="180" w:lineRule="exact"/>
        <w:rPr>
          <w:sz w:val="20"/>
          <w:szCs w:val="20"/>
          <w:color w:val="auto"/>
        </w:rPr>
      </w:pPr>
    </w:p>
    <w:p>
      <w:pPr>
        <w:ind w:left="860" w:hanging="784"/>
        <w:spacing w:after="0"/>
        <w:tabs>
          <w:tab w:leader="none" w:pos="860" w:val="left"/>
        </w:tabs>
        <w:numPr>
          <w:ilvl w:val="0"/>
          <w:numId w:val="25"/>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Conditions precedent</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Conditions precedent to Effective Date</w:t>
      </w:r>
    </w:p>
    <w:p>
      <w:pPr>
        <w:spacing w:after="0" w:line="9" w:lineRule="exact"/>
        <w:rPr>
          <w:sz w:val="20"/>
          <w:szCs w:val="20"/>
          <w:color w:val="auto"/>
        </w:rPr>
      </w:pPr>
    </w:p>
    <w:p>
      <w:pPr>
        <w:ind w:left="720" w:right="79"/>
        <w:spacing w:after="0" w:line="260" w:lineRule="auto"/>
        <w:rPr>
          <w:sz w:val="20"/>
          <w:szCs w:val="20"/>
          <w:color w:val="auto"/>
        </w:rPr>
      </w:pPr>
      <w:r>
        <w:rPr>
          <w:rFonts w:ascii="Times New Roman" w:cs="Times New Roman" w:eastAsia="Times New Roman" w:hAnsi="Times New Roman"/>
          <w:sz w:val="20"/>
          <w:szCs w:val="20"/>
          <w:color w:val="auto"/>
        </w:rPr>
        <w:t>The amendments to the Facility Agreement effected by this deed, and the occurrence of the Effective Date, are subject to the following conditions precedent that:</w:t>
      </w:r>
    </w:p>
    <w:p>
      <w:pPr>
        <w:spacing w:after="0" w:line="182" w:lineRule="exact"/>
        <w:rPr>
          <w:sz w:val="20"/>
          <w:szCs w:val="20"/>
          <w:color w:val="auto"/>
        </w:rPr>
      </w:pPr>
    </w:p>
    <w:p>
      <w:pPr>
        <w:ind w:left="1380" w:right="99" w:hanging="656"/>
        <w:spacing w:after="0" w:line="269" w:lineRule="auto"/>
        <w:tabs>
          <w:tab w:leader="none" w:pos="141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two clear Business Days (or such shorter period as the Bank may agree) before the Effective Date, the Bank has received, in form and substance satisfactory to the Bank:</w:t>
      </w:r>
    </w:p>
    <w:p>
      <w:pPr>
        <w:spacing w:after="0" w:line="172" w:lineRule="exact"/>
        <w:rPr>
          <w:rFonts w:ascii="Times New Roman" w:cs="Times New Roman" w:eastAsia="Times New Roman" w:hAnsi="Times New Roman"/>
          <w:sz w:val="20"/>
          <w:szCs w:val="20"/>
          <w:color w:val="auto"/>
        </w:rPr>
      </w:pPr>
    </w:p>
    <w:p>
      <w:pPr>
        <w:ind w:left="2020" w:right="99" w:hanging="648"/>
        <w:spacing w:after="0" w:line="250" w:lineRule="auto"/>
        <w:tabs>
          <w:tab w:leader="none" w:pos="201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each of the following, executed by each party to it (other than the Bank):</w:t>
      </w:r>
    </w:p>
    <w:p>
      <w:pPr>
        <w:spacing w:after="0" w:line="1" w:lineRule="exact"/>
        <w:rPr>
          <w:rFonts w:ascii="Times New Roman" w:cs="Times New Roman" w:eastAsia="Times New Roman" w:hAnsi="Times New Roman"/>
          <w:sz w:val="20"/>
          <w:szCs w:val="20"/>
          <w:color w:val="auto"/>
        </w:rPr>
      </w:pPr>
    </w:p>
    <w:p>
      <w:pPr>
        <w:ind w:left="2760" w:hanging="740"/>
        <w:spacing w:after="0"/>
        <w:tabs>
          <w:tab w:leader="none" w:pos="276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document; and</w:t>
      </w:r>
    </w:p>
    <w:p>
      <w:pPr>
        <w:ind w:left="2660" w:right="99" w:hanging="640"/>
        <w:spacing w:after="0" w:line="239" w:lineRule="auto"/>
        <w:tabs>
          <w:tab w:leader="none" w:pos="2735"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mortgage granted by Hotel Newmarket Pty Ltd in respect of the Acceding Property;</w:t>
      </w:r>
    </w:p>
    <w:p>
      <w:pPr>
        <w:ind w:left="2020" w:hanging="648"/>
        <w:spacing w:after="0"/>
        <w:tabs>
          <w:tab w:leader="none" w:pos="202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satisfactory insurance policies are in place for the Acceding Property;</w:t>
      </w:r>
    </w:p>
    <w:p>
      <w:pPr>
        <w:jc w:val="both"/>
        <w:ind w:left="2020" w:right="99" w:hanging="648"/>
        <w:spacing w:after="0" w:line="239" w:lineRule="auto"/>
        <w:tabs>
          <w:tab w:leader="none" w:pos="202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Net Sale Proceeds are held by the Borrower and that the Borrower has made a prepayment of $20,000,000 from the Net Sale Proceeds in permanent reduction of the Corporate Markets Loan Facility;</w:t>
      </w:r>
    </w:p>
    <w:p>
      <w:pPr>
        <w:spacing w:after="0" w:line="1" w:lineRule="exact"/>
        <w:rPr>
          <w:rFonts w:ascii="Times New Roman" w:cs="Times New Roman" w:eastAsia="Times New Roman" w:hAnsi="Times New Roman"/>
          <w:sz w:val="20"/>
          <w:szCs w:val="20"/>
          <w:color w:val="auto"/>
        </w:rPr>
      </w:pPr>
    </w:p>
    <w:p>
      <w:pPr>
        <w:jc w:val="both"/>
        <w:ind w:left="2020" w:right="99" w:hanging="648"/>
        <w:spacing w:after="0" w:line="239" w:lineRule="auto"/>
        <w:tabs>
          <w:tab w:leader="none" w:pos="2063"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has received all title documents for the Acceding Property (including certificates of title or control of any electronic title) and any necessary transfers, and releases in respect of all Encumbrances affecting the Acceding Property other than Permitted Encumbrances;</w:t>
      </w:r>
    </w:p>
    <w:p>
      <w:pPr>
        <w:spacing w:after="0" w:line="1" w:lineRule="exact"/>
        <w:rPr>
          <w:rFonts w:ascii="Times New Roman" w:cs="Times New Roman" w:eastAsia="Times New Roman" w:hAnsi="Times New Roman"/>
          <w:sz w:val="20"/>
          <w:szCs w:val="20"/>
          <w:color w:val="auto"/>
        </w:rPr>
      </w:pPr>
    </w:p>
    <w:p>
      <w:pPr>
        <w:ind w:left="2020" w:right="99" w:hanging="648"/>
        <w:spacing w:after="0" w:line="239" w:lineRule="auto"/>
        <w:tabs>
          <w:tab w:leader="none" w:pos="206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which the Bank has reasonably requested that the Borrower or the Guarantors provide to it in relation to any Transaction Document;</w:t>
      </w:r>
    </w:p>
    <w:p>
      <w:pPr>
        <w:jc w:val="both"/>
        <w:ind w:left="1380" w:right="99" w:hanging="656"/>
        <w:spacing w:after="0" w:line="252" w:lineRule="auto"/>
        <w:tabs>
          <w:tab w:leader="none" w:pos="1422"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set out in clause 8 of the Amended Facility Agreement are correct and not misleading on the date that the Borrower and the Guarantors execute this deed;</w:t>
      </w:r>
    </w:p>
    <w:p>
      <w:pPr>
        <w:ind w:left="1400" w:hanging="676"/>
        <w:spacing w:after="0"/>
        <w:tabs>
          <w:tab w:leader="none" w:pos="14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Potential Event of Default or Review Event subsists; and</w:t>
      </w:r>
    </w:p>
    <w:p>
      <w:pPr>
        <w:spacing w:after="0" w:line="207"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is no later than 31 August 2021, or such later date agreed by the Bank.</w:t>
      </w:r>
    </w:p>
    <w:p>
      <w:pPr>
        <w:spacing w:after="0" w:line="220"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Satisfaction of conditions precedent</w:t>
      </w:r>
    </w:p>
    <w:p>
      <w:pPr>
        <w:spacing w:after="0" w:line="33" w:lineRule="exact"/>
        <w:rPr>
          <w:sz w:val="20"/>
          <w:szCs w:val="20"/>
          <w:color w:val="auto"/>
        </w:rPr>
      </w:pPr>
    </w:p>
    <w:p>
      <w:pPr>
        <w:ind w:left="1380" w:right="99" w:hanging="656"/>
        <w:spacing w:after="0" w:line="239" w:lineRule="auto"/>
        <w:tabs>
          <w:tab w:leader="none" w:pos="141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Guarantor must use their best endeavours to satisfy the conditions precedent.</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39" w:lineRule="auto"/>
        <w:tabs>
          <w:tab w:leader="none" w:pos="142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certificates or copies of documents referred to in clause 3.1 must be certified by a company secretary or director of the Borrower and each Guarantor (as applicable) as being true, complete and current.</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conditions precedent are for the benefit of the Bank.</w:t>
      </w:r>
    </w:p>
    <w:p>
      <w:pPr>
        <w:ind w:left="1380" w:right="99" w:hanging="656"/>
        <w:spacing w:after="0" w:line="246" w:lineRule="auto"/>
        <w:tabs>
          <w:tab w:leader="none" w:pos="142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waive, or agree to a delay of, the satisfaction of any of the conditions precedent in writing at any time before or after the time by which they must be satisfied.</w:t>
      </w:r>
    </w:p>
    <w:p>
      <w:pPr>
        <w:spacing w:after="0" w:line="186" w:lineRule="exact"/>
        <w:rPr>
          <w:sz w:val="20"/>
          <w:szCs w:val="20"/>
          <w:color w:val="auto"/>
        </w:rPr>
      </w:pPr>
    </w:p>
    <w:p>
      <w:pPr>
        <w:ind w:left="860" w:hanging="784"/>
        <w:spacing w:after="0"/>
        <w:tabs>
          <w:tab w:leader="none" w:pos="860" w:val="left"/>
        </w:tabs>
        <w:numPr>
          <w:ilvl w:val="0"/>
          <w:numId w:val="28"/>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Amendment of Facility Agreement</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9" w:lineRule="exact"/>
        <w:rPr>
          <w:sz w:val="20"/>
          <w:szCs w:val="20"/>
          <w:color w:val="auto"/>
        </w:rPr>
      </w:pPr>
    </w:p>
    <w:p>
      <w:pPr>
        <w:ind w:left="720" w:right="79"/>
        <w:spacing w:after="0" w:line="260" w:lineRule="auto"/>
        <w:rPr>
          <w:sz w:val="20"/>
          <w:szCs w:val="20"/>
          <w:color w:val="auto"/>
        </w:rPr>
      </w:pPr>
      <w:r>
        <w:rPr>
          <w:rFonts w:ascii="Times New Roman" w:cs="Times New Roman" w:eastAsia="Times New Roman" w:hAnsi="Times New Roman"/>
          <w:sz w:val="20"/>
          <w:szCs w:val="20"/>
          <w:color w:val="auto"/>
        </w:rPr>
        <w:t>On and from the Effective Date, the Facility Agreement is amended in the form of the annexure, by deleting the items struck through, and by adding the items underlined.</w:t>
      </w:r>
    </w:p>
    <w:p>
      <w:pPr>
        <w:spacing w:after="0" w:line="174"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Parties bound</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parties will be bound by the Amended Facility Agreement on and from the Effective Date.</w:t>
      </w:r>
    </w:p>
    <w:p>
      <w:pPr>
        <w:spacing w:after="0" w:line="198" w:lineRule="exact"/>
        <w:rPr>
          <w:sz w:val="20"/>
          <w:szCs w:val="20"/>
          <w:color w:val="auto"/>
        </w:rPr>
      </w:pPr>
    </w:p>
    <w:p>
      <w:pPr>
        <w:ind w:left="860" w:hanging="784"/>
        <w:spacing w:after="0"/>
        <w:tabs>
          <w:tab w:leader="none" w:pos="860" w:val="left"/>
        </w:tabs>
        <w:numPr>
          <w:ilvl w:val="0"/>
          <w:numId w:val="29"/>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Release</w:t>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and from the Effective Date:</w:t>
      </w:r>
    </w:p>
    <w:p>
      <w:pPr>
        <w:spacing w:after="0" w:line="132" w:lineRule="exact"/>
        <w:rPr>
          <w:sz w:val="20"/>
          <w:szCs w:val="20"/>
          <w:color w:val="auto"/>
        </w:rPr>
      </w:pPr>
    </w:p>
    <w:p>
      <w:pPr>
        <w:ind w:left="1380" w:right="99" w:hanging="656"/>
        <w:spacing w:after="0" w:line="250" w:lineRule="auto"/>
        <w:tabs>
          <w:tab w:leader="none" w:pos="141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releases the Released Property from any Collateral Security granted by the relevant Guarantor; and</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42" w:lineRule="auto"/>
        <w:tabs>
          <w:tab w:leader="none" w:pos="142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Security Interest is registered on the Personal Property Securities Register established under the PPSA in relation to the Released Property, the Bank will register a financing change statement in respect of that Security Interest within 10 Business Days.</w:t>
      </w:r>
    </w:p>
    <w:p>
      <w:pPr>
        <w:spacing w:after="0" w:line="191" w:lineRule="exact"/>
        <w:rPr>
          <w:sz w:val="20"/>
          <w:szCs w:val="20"/>
          <w:color w:val="auto"/>
        </w:rPr>
      </w:pPr>
    </w:p>
    <w:p>
      <w:pPr>
        <w:ind w:left="860" w:hanging="784"/>
        <w:spacing w:after="0"/>
        <w:tabs>
          <w:tab w:leader="none" w:pos="860" w:val="left"/>
        </w:tabs>
        <w:numPr>
          <w:ilvl w:val="0"/>
          <w:numId w:val="31"/>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Undertakings</w:t>
      </w:r>
    </w:p>
    <w:p>
      <w:pPr>
        <w:spacing w:after="0" w:line="43" w:lineRule="exact"/>
        <w:rPr>
          <w:rFonts w:ascii="Times New Roman" w:cs="Times New Roman" w:eastAsia="Times New Roman" w:hAnsi="Times New Roman"/>
          <w:sz w:val="29"/>
          <w:szCs w:val="29"/>
          <w:color w:val="auto"/>
        </w:rPr>
      </w:pPr>
    </w:p>
    <w:p>
      <w:pPr>
        <w:ind w:left="1380" w:right="99" w:hanging="656"/>
        <w:spacing w:after="0" w:line="249" w:lineRule="auto"/>
        <w:tabs>
          <w:tab w:leader="none" w:pos="1411"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within 15 days from the date of this deed, deliver the original executed Finance Documents referred to in 3.1(a)(i) to the Bank (or the Bank’s lawyers).</w:t>
      </w:r>
    </w:p>
    <w:p>
      <w:pPr>
        <w:ind w:left="1380" w:right="99" w:hanging="656"/>
        <w:spacing w:after="0" w:line="246" w:lineRule="auto"/>
        <w:tabs>
          <w:tab w:leader="none" w:pos="142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acknowledges and agrees that any failure to comply with the obligations under this clause 6 would constitute an Event of Default under the Facility Agreement.</w:t>
      </w:r>
    </w:p>
    <w:p>
      <w:pPr>
        <w:spacing w:after="0" w:line="186" w:lineRule="exact"/>
        <w:rPr>
          <w:sz w:val="20"/>
          <w:szCs w:val="20"/>
          <w:color w:val="auto"/>
        </w:rPr>
      </w:pPr>
    </w:p>
    <w:p>
      <w:pPr>
        <w:ind w:left="860" w:hanging="784"/>
        <w:spacing w:after="0"/>
        <w:tabs>
          <w:tab w:leader="none" w:pos="860" w:val="left"/>
        </w:tabs>
        <w:numPr>
          <w:ilvl w:val="0"/>
          <w:numId w:val="32"/>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Representations and warranties</w:t>
      </w:r>
    </w:p>
    <w:p>
      <w:pPr>
        <w:sectPr>
          <w:pgSz w:w="11900" w:h="16838" w:orient="portrait"/>
          <w:cols w:equalWidth="0" w:num="1">
            <w:col w:w="9019"/>
          </w:cols>
          <w:pgMar w:left="1440" w:top="121" w:right="1440" w:bottom="0" w:gutter="0" w:footer="0" w:header="0"/>
        </w:sectPr>
      </w:pP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General</w:t>
      </w:r>
    </w:p>
    <w:p>
      <w:pPr>
        <w:sectPr>
          <w:pgSz w:w="11900" w:h="16838" w:orient="portrait"/>
          <w:cols w:equalWidth="0" w:num="1">
            <w:col w:w="9019"/>
          </w:cols>
          <w:pgMar w:left="1440" w:top="121" w:right="1440" w:bottom="0" w:gutter="0" w:footer="0" w:header="0"/>
          <w:type w:val="continuous"/>
        </w:sectPr>
      </w:pPr>
    </w:p>
    <w:bookmarkStart w:id="32" w:name="page33"/>
    <w:bookmarkEnd w:id="32"/>
    <w:p>
      <w:pPr>
        <w:ind w:left="720" w:right="99"/>
        <w:spacing w:after="0" w:line="250" w:lineRule="auto"/>
        <w:rPr>
          <w:sz w:val="20"/>
          <w:szCs w:val="20"/>
          <w:color w:val="auto"/>
        </w:rPr>
      </w:pPr>
      <w:r>
        <w:rPr>
          <w:rFonts w:ascii="Times New Roman" w:cs="Times New Roman" w:eastAsia="Times New Roman" w:hAnsi="Times New Roman"/>
          <w:sz w:val="20"/>
          <w:szCs w:val="20"/>
          <w:color w:val="auto"/>
        </w:rPr>
        <w:t>The Borrower and each Guarantor each represent and warrant that at the time of its execution of this deed:</w:t>
      </w:r>
    </w:p>
    <w:p>
      <w:pPr>
        <w:spacing w:after="0" w:line="1" w:lineRule="exact"/>
        <w:rPr>
          <w:sz w:val="20"/>
          <w:szCs w:val="20"/>
          <w:color w:val="auto"/>
        </w:rPr>
      </w:pPr>
    </w:p>
    <w:p>
      <w:pPr>
        <w:ind w:left="1380" w:right="99" w:hanging="656"/>
        <w:spacing w:after="0" w:line="239" w:lineRule="auto"/>
        <w:tabs>
          <w:tab w:leader="none" w:pos="141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capacity unconditionally to execute, deliver and comply with its obligations under this deed;</w:t>
      </w:r>
    </w:p>
    <w:p>
      <w:pPr>
        <w:ind w:left="1380" w:right="99" w:hanging="656"/>
        <w:spacing w:after="0" w:line="239" w:lineRule="auto"/>
        <w:tabs>
          <w:tab w:leader="none" w:pos="14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taken all necessary action to authorise the unconditional execution and delivery of, and compliance with, its obligations under this deed;</w:t>
      </w:r>
    </w:p>
    <w:p>
      <w:pPr>
        <w:ind w:left="1380" w:right="99" w:hanging="656"/>
        <w:spacing w:after="0" w:line="239" w:lineRule="auto"/>
        <w:tabs>
          <w:tab w:leader="none" w:pos="141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deed constitutes the valid and legally binding obligations of it and is enforceable against it in accordance with its terms;</w:t>
      </w:r>
    </w:p>
    <w:p>
      <w:pPr>
        <w:ind w:left="1420" w:hanging="696"/>
        <w:spacing w:after="0"/>
        <w:tabs>
          <w:tab w:leader="none" w:pos="14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duly executed each of the Transaction Documents to which it is expressed to be a party;</w:t>
      </w:r>
    </w:p>
    <w:p>
      <w:pPr>
        <w:ind w:left="1380" w:right="99" w:hanging="656"/>
        <w:spacing w:after="0" w:line="239" w:lineRule="auto"/>
        <w:tabs>
          <w:tab w:leader="none" w:pos="141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Documents are valid and enforceable in accordance with their respective terms; and</w:t>
      </w:r>
    </w:p>
    <w:p>
      <w:pPr>
        <w:jc w:val="both"/>
        <w:ind w:left="1380" w:right="99" w:hanging="656"/>
        <w:spacing w:after="0" w:line="242" w:lineRule="auto"/>
        <w:tabs>
          <w:tab w:leader="none" w:pos="138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unconditional execution and delivery of, and compliance with its obligations under, this deed do not contravene its constituent documents or any obligation of it under any law or to any other person.</w:t>
      </w:r>
    </w:p>
    <w:p>
      <w:pPr>
        <w:spacing w:after="0" w:line="1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Survival of representations and warranties</w:t>
      </w:r>
    </w:p>
    <w:p>
      <w:pPr>
        <w:spacing w:after="0" w:line="33" w:lineRule="exact"/>
        <w:rPr>
          <w:sz w:val="20"/>
          <w:szCs w:val="20"/>
          <w:color w:val="auto"/>
        </w:rPr>
      </w:pPr>
    </w:p>
    <w:p>
      <w:pPr>
        <w:ind w:left="720" w:right="99"/>
        <w:spacing w:after="0" w:line="246" w:lineRule="auto"/>
        <w:rPr>
          <w:sz w:val="20"/>
          <w:szCs w:val="20"/>
          <w:color w:val="auto"/>
        </w:rPr>
      </w:pPr>
      <w:r>
        <w:rPr>
          <w:rFonts w:ascii="Times New Roman" w:cs="Times New Roman" w:eastAsia="Times New Roman" w:hAnsi="Times New Roman"/>
          <w:sz w:val="20"/>
          <w:szCs w:val="20"/>
          <w:color w:val="auto"/>
        </w:rPr>
        <w:t>The representations and warranties in clause 7.1 survive the execution of this deed and the amendment of the Facility Agreement.</w:t>
      </w:r>
    </w:p>
    <w:p>
      <w:pPr>
        <w:spacing w:after="0" w:line="186" w:lineRule="exact"/>
        <w:rPr>
          <w:sz w:val="20"/>
          <w:szCs w:val="20"/>
          <w:color w:val="auto"/>
        </w:rPr>
      </w:pPr>
    </w:p>
    <w:p>
      <w:pPr>
        <w:ind w:left="860" w:hanging="784"/>
        <w:spacing w:after="0"/>
        <w:tabs>
          <w:tab w:leader="none" w:pos="860" w:val="left"/>
        </w:tabs>
        <w:numPr>
          <w:ilvl w:val="0"/>
          <w:numId w:val="34"/>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Acknowledgments</w:t>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Each party other than the Bank:</w:t>
      </w:r>
    </w:p>
    <w:p>
      <w:pPr>
        <w:spacing w:after="0" w:line="18" w:lineRule="exact"/>
        <w:rPr>
          <w:sz w:val="20"/>
          <w:szCs w:val="20"/>
          <w:color w:val="auto"/>
        </w:rPr>
      </w:pPr>
    </w:p>
    <w:p>
      <w:pPr>
        <w:ind w:left="1400" w:hanging="676"/>
        <w:spacing w:after="0"/>
        <w:tabs>
          <w:tab w:leader="none" w:pos="14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to the amendment of the Facility Agreement effected by this deed;</w:t>
      </w:r>
    </w:p>
    <w:p>
      <w:pPr>
        <w:ind w:left="1380" w:right="99" w:hanging="656"/>
        <w:spacing w:after="0" w:line="239" w:lineRule="auto"/>
        <w:tabs>
          <w:tab w:leader="none" w:pos="142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this deed is a Transaction Document for the purposes of the Amended Facility Agreement;</w:t>
      </w:r>
    </w:p>
    <w:p>
      <w:pPr>
        <w:jc w:val="both"/>
        <w:ind w:left="1380" w:right="79" w:hanging="656"/>
        <w:spacing w:after="0" w:line="239" w:lineRule="auto"/>
        <w:tabs>
          <w:tab w:leader="none" w:pos="141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the Bank has agreed to execute this deed at the request of the Borrower and the Guarantors and that this is without prejudice to any other current or future right the Bank may have against the Borrower and the Guarantors or any other Security Provider or under or in connection with any Transaction Document; and</w:t>
      </w:r>
    </w:p>
    <w:p>
      <w:pPr>
        <w:spacing w:after="0" w:line="1" w:lineRule="exact"/>
        <w:rPr>
          <w:rFonts w:ascii="Times New Roman" w:cs="Times New Roman" w:eastAsia="Times New Roman" w:hAnsi="Times New Roman"/>
          <w:sz w:val="20"/>
          <w:szCs w:val="20"/>
          <w:color w:val="auto"/>
        </w:rPr>
      </w:pPr>
    </w:p>
    <w:p>
      <w:pPr>
        <w:ind w:left="1380" w:right="99" w:hanging="656"/>
        <w:spacing w:after="0" w:line="246" w:lineRule="auto"/>
        <w:tabs>
          <w:tab w:leader="none" w:pos="142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each Collateral Security to which it is a party extends to and secures its obligations to the Bank under the Amended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185420</wp:posOffset>
            </wp:positionV>
            <wp:extent cx="566610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3">
                      <a:extLst>
                        <a:ext uri="{28A0092B-C50C-407E-A947-70E740481C1C}"/>
                      </a:extLst>
                    </a:blip>
                    <a:srcRect/>
                    <a:stretch>
                      <a:fillRect/>
                    </a:stretch>
                  </pic:blipFill>
                  <pic:spPr bwMode="auto">
                    <a:xfrm>
                      <a:off x="0" y="0"/>
                      <a:ext cx="566610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ind w:left="860" w:hanging="784"/>
        <w:spacing w:after="0"/>
        <w:tabs>
          <w:tab w:leader="none" w:pos="860" w:val="left"/>
        </w:tabs>
        <w:numPr>
          <w:ilvl w:val="0"/>
          <w:numId w:val="36"/>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General</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This deed may only be varied or replaced by a deed executed by all of the parties to this deed.</w:t>
      </w:r>
    </w:p>
    <w:p>
      <w:pPr>
        <w:spacing w:after="0" w:line="199"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33" w:lineRule="exact"/>
        <w:rPr>
          <w:sz w:val="20"/>
          <w:szCs w:val="20"/>
          <w:color w:val="auto"/>
        </w:rPr>
      </w:pPr>
    </w:p>
    <w:p>
      <w:pPr>
        <w:jc w:val="both"/>
        <w:ind w:left="720" w:right="99"/>
        <w:spacing w:after="0" w:line="260" w:lineRule="auto"/>
        <w:rPr>
          <w:sz w:val="20"/>
          <w:szCs w:val="20"/>
          <w:color w:val="auto"/>
        </w:rPr>
      </w:pPr>
      <w:r>
        <w:rPr>
          <w:rFonts w:ascii="Times New Roman" w:cs="Times New Roman" w:eastAsia="Times New Roman" w:hAnsi="Times New Roman"/>
          <w:sz w:val="20"/>
          <w:szCs w:val="20"/>
          <w:color w:val="auto"/>
        </w:rPr>
        <w:t>Clause 1.2 of the Facility Agreement applies to this deed as if set out in full in this deed with such changes as are necessary.</w:t>
      </w:r>
    </w:p>
    <w:p>
      <w:pPr>
        <w:spacing w:after="0" w:line="174"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Counterparts</w:t>
      </w:r>
    </w:p>
    <w:p>
      <w:pPr>
        <w:spacing w:after="0" w:line="33" w:lineRule="exact"/>
        <w:rPr>
          <w:sz w:val="20"/>
          <w:szCs w:val="20"/>
          <w:color w:val="auto"/>
        </w:rPr>
      </w:pPr>
    </w:p>
    <w:p>
      <w:pPr>
        <w:jc w:val="both"/>
        <w:ind w:left="720" w:right="79"/>
        <w:spacing w:after="0" w:line="246" w:lineRule="auto"/>
        <w:rPr>
          <w:sz w:val="20"/>
          <w:szCs w:val="20"/>
          <w:color w:val="auto"/>
        </w:rPr>
      </w:pPr>
      <w:r>
        <w:rPr>
          <w:rFonts w:ascii="Times New Roman" w:cs="Times New Roman" w:eastAsia="Times New Roman" w:hAnsi="Times New Roman"/>
          <w:sz w:val="20"/>
          <w:szCs w:val="20"/>
          <w:color w:val="auto"/>
        </w:rPr>
        <w:t>This deed may consist of a number of counterparts and, if so, the counterparts taken together constitute one deed.</w:t>
      </w:r>
    </w:p>
    <w:p>
      <w:pPr>
        <w:spacing w:after="0" w:line="187"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Deed</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This document is a deed. Factors which might suggest otherwise are to be disregarded.</w:t>
      </w:r>
    </w:p>
    <w:p>
      <w:pPr>
        <w:spacing w:after="0" w:line="199"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Duty</w:t>
      </w:r>
    </w:p>
    <w:p>
      <w:pPr>
        <w:spacing w:after="0" w:line="33" w:lineRule="exact"/>
        <w:rPr>
          <w:sz w:val="20"/>
          <w:szCs w:val="20"/>
          <w:color w:val="auto"/>
        </w:rPr>
      </w:pPr>
    </w:p>
    <w:p>
      <w:pPr>
        <w:jc w:val="both"/>
        <w:ind w:left="720" w:right="79"/>
        <w:spacing w:after="0" w:line="250" w:lineRule="auto"/>
        <w:rPr>
          <w:sz w:val="20"/>
          <w:szCs w:val="20"/>
          <w:color w:val="auto"/>
        </w:rPr>
      </w:pPr>
      <w:r>
        <w:rPr>
          <w:rFonts w:ascii="Times New Roman" w:cs="Times New Roman" w:eastAsia="Times New Roman" w:hAnsi="Times New Roman"/>
          <w:sz w:val="20"/>
          <w:szCs w:val="20"/>
          <w:color w:val="auto"/>
        </w:rPr>
        <w:t>The Borrower, as between the parties, is liable for and must pay all duty (including any fine, interest or penalty except where it arises from default by the other party) on or relating to this deed, any document executed under it or any dutiable transaction evidenced or effected by it.</w:t>
      </w:r>
    </w:p>
    <w:p>
      <w:pPr>
        <w:spacing w:after="0" w:line="18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Entire understanding</w:t>
      </w:r>
    </w:p>
    <w:p>
      <w:pPr>
        <w:spacing w:after="0" w:line="33" w:lineRule="exact"/>
        <w:rPr>
          <w:sz w:val="20"/>
          <w:szCs w:val="20"/>
          <w:color w:val="auto"/>
        </w:rPr>
      </w:pPr>
    </w:p>
    <w:p>
      <w:pPr>
        <w:ind w:left="1380" w:right="99" w:hanging="656"/>
        <w:spacing w:after="0" w:line="239" w:lineRule="auto"/>
        <w:tabs>
          <w:tab w:leader="none" w:pos="141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deed contains the entire understanding between the parties as to the subject matter of this deed.</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39" w:lineRule="auto"/>
        <w:tabs>
          <w:tab w:leader="none" w:pos="142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previous negotiations, understandings, representations, warranties, memoranda or commitments concerning the subject matter of this deed are merged in and superseded by this deed and are of no effect. No party is liable to any other party in respect of those matters.</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oral explanation or information provided by any party to another:</w:t>
      </w:r>
    </w:p>
    <w:p>
      <w:pPr>
        <w:ind w:left="2020" w:hanging="648"/>
        <w:spacing w:after="0"/>
        <w:tabs>
          <w:tab w:leader="none" w:pos="20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affects the meaning or interpretation of this deed; or</w:t>
      </w:r>
    </w:p>
    <w:p>
      <w:pPr>
        <w:ind w:left="2020" w:right="99" w:hanging="648"/>
        <w:spacing w:after="0" w:line="246" w:lineRule="auto"/>
        <w:tabs>
          <w:tab w:leader="none" w:pos="201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any collateral agreement, warranty or understanding between any of the parties.</w:t>
      </w:r>
    </w:p>
    <w:p>
      <w:pPr>
        <w:spacing w:after="0" w:line="18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9.7</w:t>
      </w:r>
      <w:r>
        <w:rPr>
          <w:sz w:val="20"/>
          <w:szCs w:val="20"/>
          <w:color w:val="auto"/>
        </w:rPr>
        <w:tab/>
      </w:r>
      <w:r>
        <w:rPr>
          <w:rFonts w:ascii="Times New Roman" w:cs="Times New Roman" w:eastAsia="Times New Roman" w:hAnsi="Times New Roman"/>
          <w:sz w:val="21"/>
          <w:szCs w:val="21"/>
          <w:b w:val="1"/>
          <w:bCs w:val="1"/>
          <w:color w:val="auto"/>
        </w:rPr>
        <w:t>Further steps</w:t>
      </w:r>
    </w:p>
    <w:p>
      <w:pPr>
        <w:spacing w:after="0" w:line="33" w:lineRule="exact"/>
        <w:rPr>
          <w:sz w:val="20"/>
          <w:szCs w:val="20"/>
          <w:color w:val="auto"/>
        </w:rPr>
      </w:pPr>
    </w:p>
    <w:p>
      <w:pPr>
        <w:ind w:left="720" w:right="99"/>
        <w:spacing w:after="0" w:line="246" w:lineRule="auto"/>
        <w:rPr>
          <w:sz w:val="20"/>
          <w:szCs w:val="20"/>
          <w:color w:val="auto"/>
        </w:rPr>
      </w:pPr>
      <w:r>
        <w:rPr>
          <w:rFonts w:ascii="Times New Roman" w:cs="Times New Roman" w:eastAsia="Times New Roman" w:hAnsi="Times New Roman"/>
          <w:sz w:val="20"/>
          <w:szCs w:val="20"/>
          <w:color w:val="auto"/>
        </w:rPr>
        <w:t>Each party must promptly do whatever any other party reasonably requires of it to give effect to this deed and to perform its obligations under it.</w:t>
      </w:r>
    </w:p>
    <w:p>
      <w:pPr>
        <w:spacing w:after="0" w:line="187"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9.8</w:t>
      </w:r>
      <w:r>
        <w:rPr>
          <w:sz w:val="20"/>
          <w:szCs w:val="20"/>
          <w:color w:val="auto"/>
        </w:rPr>
        <w:tab/>
      </w:r>
      <w:r>
        <w:rPr>
          <w:rFonts w:ascii="Times New Roman" w:cs="Times New Roman" w:eastAsia="Times New Roman" w:hAnsi="Times New Roman"/>
          <w:sz w:val="21"/>
          <w:szCs w:val="21"/>
          <w:b w:val="1"/>
          <w:bCs w:val="1"/>
          <w:color w:val="auto"/>
        </w:rPr>
        <w:t>Governing law and jurisdiction</w:t>
      </w:r>
    </w:p>
    <w:p>
      <w:pPr>
        <w:spacing w:after="0" w:line="33" w:lineRule="exact"/>
        <w:rPr>
          <w:sz w:val="20"/>
          <w:szCs w:val="20"/>
          <w:color w:val="auto"/>
        </w:rPr>
      </w:pPr>
    </w:p>
    <w:p>
      <w:pPr>
        <w:ind w:left="1380" w:right="99" w:hanging="656"/>
        <w:spacing w:after="0" w:line="246" w:lineRule="auto"/>
        <w:tabs>
          <w:tab w:leader="none" w:pos="141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deed is governed by and is to be construed in accordance with the laws applicable in Victoria.</w:t>
      </w:r>
    </w:p>
    <w:p>
      <w:pPr>
        <w:spacing w:after="0" w:line="1" w:lineRule="exact"/>
        <w:rPr>
          <w:rFonts w:ascii="Times New Roman" w:cs="Times New Roman" w:eastAsia="Times New Roman" w:hAnsi="Times New Roman"/>
          <w:sz w:val="20"/>
          <w:szCs w:val="20"/>
          <w:color w:val="auto"/>
        </w:rPr>
      </w:pPr>
    </w:p>
    <w:p>
      <w:pPr>
        <w:jc w:val="both"/>
        <w:ind w:left="1380" w:right="79" w:hanging="656"/>
        <w:spacing w:after="0" w:line="241" w:lineRule="auto"/>
        <w:tabs>
          <w:tab w:leader="none" w:pos="142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irrevocably and unconditionally submits to the non-exclusive jurisdiction of the courts exercising jurisdiction in Victoria and any courts which have jurisdiction to hear appeals from any of those courts and waives any right to object to any proceedings being brought in those courts.</w:t>
      </w:r>
    </w:p>
    <w:p>
      <w:pPr>
        <w:spacing w:after="0" w:line="200" w:lineRule="exact"/>
        <w:rPr>
          <w:sz w:val="20"/>
          <w:szCs w:val="20"/>
          <w:color w:val="auto"/>
        </w:rPr>
      </w:pPr>
    </w:p>
    <w:p>
      <w:pPr>
        <w:spacing w:after="0" w:line="22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9.9</w:t>
      </w:r>
      <w:r>
        <w:rPr>
          <w:sz w:val="20"/>
          <w:szCs w:val="20"/>
          <w:color w:val="auto"/>
        </w:rPr>
        <w:tab/>
      </w:r>
      <w:r>
        <w:rPr>
          <w:rFonts w:ascii="Times New Roman" w:cs="Times New Roman" w:eastAsia="Times New Roman" w:hAnsi="Times New Roman"/>
          <w:sz w:val="21"/>
          <w:szCs w:val="21"/>
          <w:b w:val="1"/>
          <w:bCs w:val="1"/>
          <w:color w:val="auto"/>
        </w:rPr>
        <w:t>Legal costs</w:t>
      </w:r>
    </w:p>
    <w:p>
      <w:pPr>
        <w:spacing w:after="0" w:line="33" w:lineRule="exact"/>
        <w:rPr>
          <w:sz w:val="20"/>
          <w:szCs w:val="20"/>
          <w:color w:val="auto"/>
        </w:rPr>
      </w:pPr>
    </w:p>
    <w:p>
      <w:pPr>
        <w:jc w:val="both"/>
        <w:ind w:left="1380" w:right="99" w:hanging="656"/>
        <w:spacing w:after="0" w:line="239" w:lineRule="auto"/>
        <w:tabs>
          <w:tab w:leader="none" w:pos="141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pay, and if paid by the Bank reimburse the Bank, the cost of stamping and registering this deed and the reasonable legal and other costs and expenses of the Bank in relation to:</w:t>
      </w:r>
    </w:p>
    <w:p>
      <w:pPr>
        <w:spacing w:after="0" w:line="2" w:lineRule="exact"/>
        <w:rPr>
          <w:rFonts w:ascii="Times New Roman" w:cs="Times New Roman" w:eastAsia="Times New Roman" w:hAnsi="Times New Roman"/>
          <w:sz w:val="20"/>
          <w:szCs w:val="20"/>
          <w:color w:val="auto"/>
        </w:rPr>
      </w:pPr>
    </w:p>
    <w:p>
      <w:pPr>
        <w:ind w:left="2060" w:hanging="688"/>
        <w:spacing w:after="0"/>
        <w:tabs>
          <w:tab w:leader="none" w:pos="20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negotiation, preparation and execution of this deed; and</w:t>
      </w:r>
    </w:p>
    <w:p>
      <w:pPr>
        <w:ind w:left="2060" w:hanging="688"/>
        <w:spacing w:after="0"/>
        <w:tabs>
          <w:tab w:leader="none" w:pos="20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the Bank’s obligations under this deed.</w:t>
      </w:r>
    </w:p>
    <w:p>
      <w:pPr>
        <w:ind w:left="1380" w:right="99" w:hanging="656"/>
        <w:spacing w:after="0" w:line="246" w:lineRule="auto"/>
        <w:tabs>
          <w:tab w:leader="none" w:pos="142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stated otherwise in this deed, each party must pay its own legal and other costs and expenses of performing its obligations under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339725</wp:posOffset>
            </wp:positionV>
            <wp:extent cx="566610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4">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80"/>
        <w:spacing w:after="0"/>
        <w:rPr>
          <w:sz w:val="20"/>
          <w:szCs w:val="20"/>
          <w:color w:val="auto"/>
        </w:rPr>
      </w:pPr>
      <w:r>
        <w:rPr>
          <w:rFonts w:ascii="Times New Roman" w:cs="Times New Roman" w:eastAsia="Times New Roman" w:hAnsi="Times New Roman"/>
          <w:sz w:val="28"/>
          <w:szCs w:val="28"/>
          <w:color w:val="auto"/>
        </w:rPr>
        <w:t>Schedule</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507365</wp:posOffset>
            </wp:positionV>
            <wp:extent cx="566610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5">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80"/>
        <w:spacing w:after="0"/>
        <w:rPr>
          <w:sz w:val="20"/>
          <w:szCs w:val="20"/>
          <w:color w:val="auto"/>
        </w:rPr>
      </w:pPr>
      <w:r>
        <w:rPr>
          <w:rFonts w:ascii="Times New Roman" w:cs="Times New Roman" w:eastAsia="Times New Roman" w:hAnsi="Times New Roman"/>
          <w:sz w:val="29"/>
          <w:szCs w:val="29"/>
          <w:color w:val="auto"/>
        </w:rPr>
        <w:t>Execution</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as a deed</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Entertainment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1" w:lineRule="exact"/>
        <w:rPr>
          <w:sz w:val="20"/>
          <w:szCs w:val="20"/>
          <w:color w:val="auto"/>
        </w:rPr>
      </w:pPr>
    </w:p>
    <w:p>
      <w:pPr>
        <w:sectPr>
          <w:pgSz w:w="11900" w:h="16838" w:orient="portrait"/>
          <w:cols w:equalWidth="0" w:num="2">
            <w:col w:w="3260" w:space="660"/>
            <w:col w:w="5099"/>
          </w:cols>
          <w:pgMar w:left="1440" w:top="12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Australia Pty Ltd </w:t>
      </w:r>
      <w:r>
        <w:rPr>
          <w:rFonts w:ascii="Times New Roman" w:cs="Times New Roman" w:eastAsia="Times New Roman" w:hAnsi="Times New Roman"/>
          <w:sz w:val="19"/>
          <w:szCs w:val="19"/>
          <w:color w:val="auto"/>
        </w:rPr>
        <w:t>ACN 070 893 908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3180" w:space="660"/>
            <w:col w:w="5179"/>
          </w:cols>
          <w:pgMar w:left="1440" w:top="121" w:right="1440" w:bottom="1440" w:gutter="0" w:footer="0" w:header="0"/>
          <w:type w:val="continuous"/>
        </w:sectPr>
      </w:pP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Australian 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1" w:lineRule="exact"/>
        <w:rPr>
          <w:sz w:val="20"/>
          <w:szCs w:val="20"/>
          <w:color w:val="auto"/>
        </w:rPr>
      </w:pPr>
    </w:p>
    <w:p>
      <w:pPr>
        <w:sectPr>
          <w:pgSz w:w="11900" w:h="16838" w:orient="portrait"/>
          <w:cols w:equalWidth="0" w:num="2">
            <w:col w:w="2940" w:space="640"/>
            <w:col w:w="5439"/>
          </w:cols>
          <w:pgMar w:left="1440" w:top="12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Cinemas Pty Ltd </w:t>
      </w:r>
      <w:r>
        <w:rPr>
          <w:rFonts w:ascii="Times New Roman" w:cs="Times New Roman" w:eastAsia="Times New Roman" w:hAnsi="Times New Roman"/>
          <w:sz w:val="19"/>
          <w:szCs w:val="19"/>
          <w:color w:val="auto"/>
        </w:rPr>
        <w:t>ACN 076 276 349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3120" w:space="660"/>
            <w:col w:w="5239"/>
          </w:cols>
          <w:pgMar w:left="1440" w:top="121" w:right="1440" w:bottom="1440" w:gutter="0" w:footer="0" w:header="0"/>
          <w:type w:val="continuous"/>
        </w:sectPr>
      </w:pP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Australian Equipment</w:t>
            </w:r>
          </w:p>
        </w:tc>
        <w:tc>
          <w:tcPr>
            <w:tcW w:w="55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Supply Pty Ltd </w:t>
            </w:r>
            <w:r>
              <w:rPr>
                <w:rFonts w:ascii="Times New Roman" w:cs="Times New Roman" w:eastAsia="Times New Roman" w:hAnsi="Times New Roman"/>
                <w:sz w:val="20"/>
                <w:szCs w:val="20"/>
                <w:color w:val="auto"/>
              </w:rPr>
              <w:t>ACN 122 571 420</w:t>
            </w:r>
          </w:p>
        </w:tc>
        <w:tc>
          <w:tcPr>
            <w:tcW w:w="5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3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30"/>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29"/>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3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61"/>
        </w:trPr>
        <w:tc>
          <w:tcPr>
            <w:tcW w:w="33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r>
        <w:trPr>
          <w:trHeight w:val="20"/>
        </w:trPr>
        <w:tc>
          <w:tcPr>
            <w:tcW w:w="3320" w:type="dxa"/>
            <w:vAlign w:val="bottom"/>
            <w:tcBorders>
              <w:bottom w:val="single" w:sz="8" w:color="EEEEEE"/>
            </w:tcBorders>
          </w:tcPr>
          <w:p>
            <w:pPr>
              <w:spacing w:after="0" w:line="20" w:lineRule="exact"/>
              <w:rPr>
                <w:sz w:val="1"/>
                <w:szCs w:val="1"/>
                <w:color w:val="auto"/>
              </w:rPr>
            </w:pPr>
          </w:p>
        </w:tc>
        <w:tc>
          <w:tcPr>
            <w:tcW w:w="5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-38100</wp:posOffset>
            </wp:positionV>
            <wp:extent cx="3365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-38100</wp:posOffset>
            </wp:positionV>
            <wp:extent cx="3365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7">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6" w:name="page37"/>
    <w:bookmarkEnd w:id="36"/>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Burwood Developments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280" w:space="660"/>
            <w:col w:w="5079"/>
          </w:cols>
          <w:pgMar w:left="1440" w:top="126" w:right="1440" w:bottom="1440" w:gutter="0" w:footer="0" w:header="0"/>
        </w:sectPr>
      </w:pPr>
    </w:p>
    <w:p>
      <w:pPr>
        <w:ind w:left="200"/>
        <w:spacing w:after="0"/>
        <w:tabs>
          <w:tab w:leader="none" w:pos="2960" w:val="left"/>
        </w:tabs>
        <w:rPr>
          <w:sz w:val="20"/>
          <w:szCs w:val="20"/>
          <w:color w:val="auto"/>
        </w:rPr>
      </w:pPr>
      <w:r>
        <w:rPr>
          <w:rFonts w:ascii="Times New Roman" w:cs="Times New Roman" w:eastAsia="Times New Roman" w:hAnsi="Times New Roman"/>
          <w:sz w:val="20"/>
          <w:szCs w:val="20"/>
          <w:b w:val="1"/>
          <w:bCs w:val="1"/>
          <w:color w:val="auto"/>
        </w:rPr>
        <w:t xml:space="preserve">Pty Ltd </w:t>
      </w:r>
      <w:r>
        <w:rPr>
          <w:rFonts w:ascii="Times New Roman" w:cs="Times New Roman" w:eastAsia="Times New Roman" w:hAnsi="Times New Roman"/>
          <w:sz w:val="20"/>
          <w:szCs w:val="20"/>
          <w:color w:val="auto"/>
        </w:rPr>
        <w:t>ACN 105 384 905</w:t>
      </w:r>
      <w:r>
        <w:rPr>
          <w:sz w:val="20"/>
          <w:szCs w:val="20"/>
          <w:color w:val="auto"/>
        </w:rPr>
        <w:tab/>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Epping Cinemas Pty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360" w:space="660"/>
            <w:col w:w="4999"/>
          </w:cols>
          <w:pgMar w:left="1440" w:top="126" w:right="1440" w:bottom="1440" w:gutter="0" w:footer="0" w:header="0"/>
          <w:type w:val="continuous"/>
        </w:sectPr>
      </w:pPr>
    </w:p>
    <w:p>
      <w:pPr>
        <w:ind w:left="200"/>
        <w:spacing w:after="0"/>
        <w:tabs>
          <w:tab w:leader="none" w:pos="2280" w:val="left"/>
        </w:tabs>
        <w:rPr>
          <w:sz w:val="20"/>
          <w:szCs w:val="20"/>
          <w:color w:val="auto"/>
        </w:rPr>
      </w:pPr>
      <w:r>
        <w:rPr>
          <w:rFonts w:ascii="Times New Roman" w:cs="Times New Roman" w:eastAsia="Times New Roman" w:hAnsi="Times New Roman"/>
          <w:sz w:val="20"/>
          <w:szCs w:val="20"/>
          <w:color w:val="auto"/>
        </w:rPr>
        <w:t>ACN 073 997 172</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Hotel Newmarket Pty</w:t>
            </w:r>
          </w:p>
        </w:tc>
        <w:tc>
          <w:tcPr>
            <w:tcW w:w="5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094 367 969</w:t>
            </w:r>
          </w:p>
        </w:tc>
        <w:tc>
          <w:tcPr>
            <w:tcW w:w="76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w w:val="74"/>
              </w:rPr>
              <w:t>)</w:t>
            </w:r>
          </w:p>
        </w:tc>
        <w:tc>
          <w:tcPr>
            <w:tcW w:w="554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40" w:type="dxa"/>
            <w:vAlign w:val="bottom"/>
          </w:tcPr>
          <w:p>
            <w:pPr>
              <w:spacing w:after="0"/>
              <w:rPr>
                <w:sz w:val="19"/>
                <w:szCs w:val="19"/>
                <w:color w:val="auto"/>
              </w:rPr>
            </w:pP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760" w:type="dxa"/>
            <w:vAlign w:val="bottom"/>
          </w:tcPr>
          <w:p>
            <w:pPr>
              <w:spacing w:after="0"/>
              <w:rPr>
                <w:sz w:val="19"/>
                <w:szCs w:val="19"/>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760" w:type="dxa"/>
            <w:vAlign w:val="bottom"/>
          </w:tcPr>
          <w:p>
            <w:pPr>
              <w:spacing w:after="0"/>
              <w:rPr>
                <w:sz w:val="19"/>
                <w:szCs w:val="19"/>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760" w:type="dxa"/>
            <w:vAlign w:val="bottom"/>
          </w:tcPr>
          <w:p>
            <w:pPr>
              <w:spacing w:after="0"/>
              <w:rPr>
                <w:sz w:val="19"/>
                <w:szCs w:val="19"/>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760" w:type="dxa"/>
            <w:vAlign w:val="bottom"/>
          </w:tcPr>
          <w:p>
            <w:pPr>
              <w:spacing w:after="0"/>
              <w:rPr>
                <w:sz w:val="22"/>
                <w:szCs w:val="22"/>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5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37" w:name="page38"/>
    <w:bookmarkEnd w:id="37"/>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Newmarket Properties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180" w:space="660"/>
            <w:col w:w="5179"/>
          </w:cols>
          <w:pgMar w:left="1440" w:top="126" w:right="1440" w:bottom="1440" w:gutter="0" w:footer="0" w:header="0"/>
        </w:sectPr>
      </w:pPr>
    </w:p>
    <w:p>
      <w:pPr>
        <w:ind w:left="200"/>
        <w:spacing w:after="0"/>
        <w:tabs>
          <w:tab w:leader="none" w:pos="2960" w:val="left"/>
        </w:tabs>
        <w:rPr>
          <w:sz w:val="20"/>
          <w:szCs w:val="20"/>
          <w:color w:val="auto"/>
        </w:rPr>
      </w:pPr>
      <w:r>
        <w:rPr>
          <w:rFonts w:ascii="Times New Roman" w:cs="Times New Roman" w:eastAsia="Times New Roman" w:hAnsi="Times New Roman"/>
          <w:sz w:val="20"/>
          <w:szCs w:val="20"/>
          <w:b w:val="1"/>
          <w:bCs w:val="1"/>
          <w:color w:val="auto"/>
        </w:rPr>
        <w:t xml:space="preserve">Pty Ltd </w:t>
      </w:r>
      <w:r>
        <w:rPr>
          <w:rFonts w:ascii="Times New Roman" w:cs="Times New Roman" w:eastAsia="Times New Roman" w:hAnsi="Times New Roman"/>
          <w:sz w:val="20"/>
          <w:szCs w:val="20"/>
          <w:color w:val="auto"/>
        </w:rPr>
        <w:t>ACN 105 386 409</w:t>
      </w:r>
      <w:r>
        <w:rPr>
          <w:sz w:val="20"/>
          <w:szCs w:val="20"/>
          <w:color w:val="auto"/>
        </w:rPr>
        <w:tab/>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Newmarket Properties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1" w:lineRule="exact"/>
        <w:rPr>
          <w:sz w:val="20"/>
          <w:szCs w:val="20"/>
          <w:color w:val="auto"/>
        </w:rPr>
      </w:pPr>
    </w:p>
    <w:p>
      <w:pPr>
        <w:sectPr>
          <w:pgSz w:w="11900" w:h="16838" w:orient="portrait"/>
          <w:cols w:equalWidth="0" w:num="2">
            <w:col w:w="3180" w:space="660"/>
            <w:col w:w="5179"/>
          </w:cols>
          <w:pgMar w:left="1440" w:top="1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No. 2 Pty Ltd </w:t>
      </w:r>
      <w:r>
        <w:rPr>
          <w:rFonts w:ascii="Times New Roman" w:cs="Times New Roman" w:eastAsia="Times New Roman" w:hAnsi="Times New Roman"/>
          <w:sz w:val="19"/>
          <w:szCs w:val="19"/>
          <w:color w:val="auto"/>
        </w:rPr>
        <w:t>ACN 109 038 806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2840" w:space="640"/>
            <w:col w:w="5539"/>
          </w:cols>
          <w:pgMar w:left="1440" w:top="126" w:right="1440" w:bottom="1440" w:gutter="0" w:footer="0" w:header="0"/>
          <w:type w:val="continuous"/>
        </w:sectPr>
      </w:pP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 xml:space="preserve">Executed </w:t>
            </w:r>
            <w:r>
              <w:rPr>
                <w:rFonts w:ascii="Times New Roman" w:cs="Times New Roman" w:eastAsia="Times New Roman" w:hAnsi="Times New Roman"/>
                <w:sz w:val="20"/>
                <w:szCs w:val="20"/>
                <w:color w:val="auto"/>
                <w:w w:val="99"/>
              </w:rPr>
              <w:t>by</w:t>
            </w:r>
            <w:r>
              <w:rPr>
                <w:rFonts w:ascii="Times New Roman" w:cs="Times New Roman" w:eastAsia="Times New Roman" w:hAnsi="Times New Roman"/>
                <w:sz w:val="20"/>
                <w:szCs w:val="20"/>
                <w:b w:val="1"/>
                <w:bCs w:val="1"/>
                <w:color w:val="auto"/>
                <w:w w:val="99"/>
              </w:rPr>
              <w:t xml:space="preserve"> Newmarket Properties</w:t>
            </w:r>
          </w:p>
        </w:tc>
        <w:tc>
          <w:tcPr>
            <w:tcW w:w="57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#3 Pty Ltd </w:t>
            </w:r>
            <w:r>
              <w:rPr>
                <w:rFonts w:ascii="Times New Roman" w:cs="Times New Roman" w:eastAsia="Times New Roman" w:hAnsi="Times New Roman"/>
                <w:sz w:val="20"/>
                <w:szCs w:val="20"/>
                <w:color w:val="auto"/>
              </w:rPr>
              <w:t>ACN 126 697 505</w:t>
            </w: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14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57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7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57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57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7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57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31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r>
        <w:trPr>
          <w:trHeight w:val="20"/>
        </w:trPr>
        <w:tc>
          <w:tcPr>
            <w:tcW w:w="3140" w:type="dxa"/>
            <w:vAlign w:val="bottom"/>
            <w:tcBorders>
              <w:bottom w:val="single" w:sz="8" w:color="EEEEEE"/>
            </w:tcBorders>
          </w:tcPr>
          <w:p>
            <w:pPr>
              <w:spacing w:after="0" w:line="20" w:lineRule="exact"/>
              <w:rPr>
                <w:sz w:val="1"/>
                <w:szCs w:val="1"/>
                <w:color w:val="auto"/>
              </w:rPr>
            </w:pPr>
          </w:p>
        </w:tc>
        <w:tc>
          <w:tcPr>
            <w:tcW w:w="5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38" w:name="page39"/>
    <w:bookmarkEnd w:id="38"/>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Auburn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380" w:space="660"/>
            <w:col w:w="4979"/>
          </w:cols>
          <w:pgMar w:left="1440" w:top="126" w:right="1440" w:bottom="1440" w:gutter="0" w:footer="0" w:header="0"/>
        </w:sectPr>
      </w:pPr>
    </w:p>
    <w:p>
      <w:pPr>
        <w:ind w:left="200"/>
        <w:spacing w:after="0"/>
        <w:tabs>
          <w:tab w:leader="none" w:pos="2280" w:val="left"/>
        </w:tabs>
        <w:rPr>
          <w:sz w:val="20"/>
          <w:szCs w:val="20"/>
          <w:color w:val="auto"/>
        </w:rPr>
      </w:pPr>
      <w:r>
        <w:rPr>
          <w:rFonts w:ascii="Times New Roman" w:cs="Times New Roman" w:eastAsia="Times New Roman" w:hAnsi="Times New Roman"/>
          <w:sz w:val="20"/>
          <w:szCs w:val="20"/>
          <w:color w:val="auto"/>
        </w:rPr>
        <w:t>ACN 126 697 470</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Australia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2820" w:space="640"/>
            <w:col w:w="5559"/>
          </w:cols>
          <w:pgMar w:left="1440" w:top="126" w:right="1440" w:bottom="1440" w:gutter="0" w:footer="0" w:header="0"/>
          <w:type w:val="continuous"/>
        </w:sectPr>
      </w:pPr>
    </w:p>
    <w:p>
      <w:pPr>
        <w:ind w:left="200"/>
        <w:spacing w:after="0"/>
        <w:tabs>
          <w:tab w:leader="none" w:pos="2800" w:val="left"/>
        </w:tabs>
        <w:rPr>
          <w:sz w:val="20"/>
          <w:szCs w:val="20"/>
          <w:color w:val="auto"/>
        </w:rPr>
      </w:pPr>
      <w:r>
        <w:rPr>
          <w:rFonts w:ascii="Times New Roman" w:cs="Times New Roman" w:eastAsia="Times New Roman" w:hAnsi="Times New Roman"/>
          <w:sz w:val="20"/>
          <w:szCs w:val="20"/>
          <w:b w:val="1"/>
          <w:bCs w:val="1"/>
          <w:color w:val="auto"/>
        </w:rPr>
        <w:t>Leasing (E&amp;R) Pty Ltd</w:t>
      </w:r>
      <w:r>
        <w:rPr>
          <w:sz w:val="20"/>
          <w:szCs w:val="20"/>
          <w:color w:val="auto"/>
        </w:rPr>
        <w:tab/>
      </w:r>
      <w:r>
        <w:rPr>
          <w:rFonts w:ascii="Times New Roman" w:cs="Times New Roman" w:eastAsia="Times New Roman" w:hAnsi="Times New Roman"/>
          <w:sz w:val="18"/>
          <w:szCs w:val="18"/>
          <w:color w:val="auto"/>
        </w:rPr>
        <w:t>)</w:t>
      </w:r>
    </w:p>
    <w:p>
      <w:pPr>
        <w:ind w:left="200"/>
        <w:spacing w:after="0"/>
        <w:rPr>
          <w:sz w:val="20"/>
          <w:szCs w:val="20"/>
          <w:color w:val="auto"/>
        </w:rPr>
      </w:pPr>
      <w:r>
        <w:rPr>
          <w:rFonts w:ascii="Times New Roman" w:cs="Times New Roman" w:eastAsia="Times New Roman" w:hAnsi="Times New Roman"/>
          <w:sz w:val="20"/>
          <w:szCs w:val="20"/>
          <w:color w:val="auto"/>
        </w:rPr>
        <w:t>ACN 107 939 211</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Belmont Pty</w:t>
            </w:r>
          </w:p>
        </w:tc>
        <w:tc>
          <w:tcPr>
            <w:tcW w:w="5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126 697 498</w:t>
            </w:r>
          </w:p>
        </w:tc>
        <w:tc>
          <w:tcPr>
            <w:tcW w:w="74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5560" w:type="dxa"/>
            <w:vAlign w:val="bottom"/>
          </w:tcPr>
          <w:p>
            <w:pPr>
              <w:spacing w:after="0"/>
              <w:rPr>
                <w:sz w:val="20"/>
                <w:szCs w:val="20"/>
                <w:color w:val="auto"/>
              </w:rPr>
            </w:pPr>
          </w:p>
        </w:tc>
      </w:tr>
      <w:tr>
        <w:trPr>
          <w:trHeight w:val="230"/>
        </w:trPr>
        <w:tc>
          <w:tcPr>
            <w:tcW w:w="2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740" w:type="dxa"/>
            <w:vAlign w:val="bottom"/>
          </w:tcPr>
          <w:p>
            <w:pPr>
              <w:spacing w:after="0"/>
              <w:rPr>
                <w:sz w:val="19"/>
                <w:szCs w:val="19"/>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740" w:type="dxa"/>
            <w:vAlign w:val="bottom"/>
          </w:tcPr>
          <w:p>
            <w:pPr>
              <w:spacing w:after="0"/>
              <w:rPr>
                <w:sz w:val="19"/>
                <w:szCs w:val="19"/>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740" w:type="dxa"/>
            <w:vAlign w:val="bottom"/>
          </w:tcPr>
          <w:p>
            <w:pPr>
              <w:spacing w:after="0"/>
              <w:rPr>
                <w:sz w:val="19"/>
                <w:szCs w:val="19"/>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740" w:type="dxa"/>
            <w:vAlign w:val="bottom"/>
          </w:tcPr>
          <w:p>
            <w:pPr>
              <w:spacing w:after="0"/>
              <w:rPr>
                <w:sz w:val="22"/>
                <w:szCs w:val="22"/>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5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3">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39" w:name="page40"/>
    <w:bookmarkEnd w:id="39"/>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Bundaberg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51" w:lineRule="exact"/>
        <w:rPr>
          <w:sz w:val="20"/>
          <w:szCs w:val="20"/>
          <w:color w:val="auto"/>
        </w:rPr>
      </w:pPr>
    </w:p>
    <w:p>
      <w:pPr>
        <w:sectPr>
          <w:pgSz w:w="11900" w:h="16838" w:orient="portrait"/>
          <w:cols w:equalWidth="0" w:num="2">
            <w:col w:w="2960" w:space="660"/>
            <w:col w:w="5399"/>
          </w:cols>
          <w:pgMar w:left="1440" w:top="126" w:right="1440" w:bottom="1440" w:gutter="0" w:footer="0" w:header="0"/>
        </w:sect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2012 Pty Ltd </w:t>
      </w:r>
      <w:r>
        <w:rPr>
          <w:rFonts w:ascii="Times New Roman" w:cs="Times New Roman" w:eastAsia="Times New Roman" w:hAnsi="Times New Roman"/>
          <w:sz w:val="19"/>
          <w:szCs w:val="19"/>
          <w:color w:val="auto"/>
        </w:rPr>
        <w:t>ACN 122 406 320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2780" w:space="660"/>
            <w:col w:w="5579"/>
          </w:cols>
          <w:pgMar w:left="1440" w:top="126" w:right="1440" w:bottom="1440" w:gutter="0" w:footer="0" w:header="0"/>
          <w:type w:val="continuous"/>
        </w:sectPr>
      </w:pP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Charlestown</w:t>
            </w:r>
          </w:p>
        </w:tc>
        <w:tc>
          <w:tcPr>
            <w:tcW w:w="42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Pty Ltd </w:t>
            </w:r>
            <w:r>
              <w:rPr>
                <w:rFonts w:ascii="Times New Roman" w:cs="Times New Roman" w:eastAsia="Times New Roman" w:hAnsi="Times New Roman"/>
                <w:sz w:val="20"/>
                <w:szCs w:val="20"/>
                <w:color w:val="auto"/>
              </w:rPr>
              <w:t>ACN 123 938 483</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89"/>
              </w:rPr>
              <w:t>)</w:t>
            </w:r>
          </w:p>
        </w:tc>
        <w:tc>
          <w:tcPr>
            <w:tcW w:w="4240" w:type="dxa"/>
            <w:vAlign w:val="bottom"/>
          </w:tcPr>
          <w:p>
            <w:pPr>
              <w:spacing w:after="0"/>
              <w:rPr>
                <w:sz w:val="20"/>
                <w:szCs w:val="20"/>
                <w:color w:val="auto"/>
              </w:rPr>
            </w:pPr>
          </w:p>
        </w:tc>
      </w:tr>
      <w:tr>
        <w:trPr>
          <w:trHeight w:val="229"/>
        </w:trPr>
        <w:tc>
          <w:tcPr>
            <w:tcW w:w="2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/s/ Ellen M. Cotter</w:t>
            </w:r>
          </w:p>
        </w:tc>
        <w:tc>
          <w:tcPr>
            <w:tcW w:w="440" w:type="dxa"/>
            <w:vAlign w:val="bottom"/>
          </w:tcPr>
          <w:p>
            <w:pPr>
              <w:spacing w:after="0"/>
              <w:rPr>
                <w:sz w:val="19"/>
                <w:szCs w:val="19"/>
                <w:color w:val="auto"/>
              </w:rPr>
            </w:pPr>
          </w:p>
        </w:tc>
        <w:tc>
          <w:tcPr>
            <w:tcW w:w="42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29"/>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4240" w:type="dxa"/>
            <w:vAlign w:val="bottom"/>
          </w:tcPr>
          <w:p>
            <w:pPr>
              <w:ind w:left="1320"/>
              <w:spacing w:after="0"/>
              <w:rPr>
                <w:sz w:val="20"/>
                <w:szCs w:val="20"/>
                <w:color w:val="auto"/>
              </w:rPr>
            </w:pPr>
            <w:r>
              <w:rPr>
                <w:rFonts w:ascii="Times New Roman" w:cs="Times New Roman" w:eastAsia="Times New Roman" w:hAnsi="Times New Roman"/>
                <w:sz w:val="20"/>
                <w:szCs w:val="20"/>
                <w:color w:val="auto"/>
                <w:w w:val="98"/>
              </w:rPr>
              <w:t>...........................................................</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440" w:type="dxa"/>
            <w:vAlign w:val="bottom"/>
          </w:tcPr>
          <w:p>
            <w:pPr>
              <w:spacing w:after="0"/>
              <w:rPr>
                <w:sz w:val="19"/>
                <w:szCs w:val="19"/>
                <w:color w:val="auto"/>
              </w:rPr>
            </w:pPr>
          </w:p>
        </w:tc>
        <w:tc>
          <w:tcPr>
            <w:tcW w:w="42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Ellen M. Cotter</w:t>
            </w:r>
          </w:p>
        </w:tc>
        <w:tc>
          <w:tcPr>
            <w:tcW w:w="440" w:type="dxa"/>
            <w:vAlign w:val="bottom"/>
          </w:tcPr>
          <w:p>
            <w:pPr>
              <w:spacing w:after="0"/>
              <w:rPr>
                <w:sz w:val="19"/>
                <w:szCs w:val="19"/>
                <w:color w:val="auto"/>
              </w:rPr>
            </w:pPr>
          </w:p>
        </w:tc>
        <w:tc>
          <w:tcPr>
            <w:tcW w:w="42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29"/>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4240" w:type="dxa"/>
            <w:vAlign w:val="bottom"/>
          </w:tcPr>
          <w:p>
            <w:pPr>
              <w:ind w:left="1320"/>
              <w:spacing w:after="0"/>
              <w:rPr>
                <w:sz w:val="20"/>
                <w:szCs w:val="20"/>
                <w:color w:val="auto"/>
              </w:rPr>
            </w:pPr>
            <w:r>
              <w:rPr>
                <w:rFonts w:ascii="Times New Roman" w:cs="Times New Roman" w:eastAsia="Times New Roman" w:hAnsi="Times New Roman"/>
                <w:sz w:val="20"/>
                <w:szCs w:val="20"/>
                <w:color w:val="auto"/>
                <w:w w:val="98"/>
              </w:rPr>
              <w:t>...........................................................</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Name of /Director (print)</w:t>
            </w:r>
          </w:p>
        </w:tc>
        <w:tc>
          <w:tcPr>
            <w:tcW w:w="440" w:type="dxa"/>
            <w:vAlign w:val="bottom"/>
          </w:tcPr>
          <w:p>
            <w:pPr>
              <w:spacing w:after="0"/>
              <w:rPr>
                <w:sz w:val="22"/>
                <w:szCs w:val="22"/>
                <w:color w:val="auto"/>
              </w:rPr>
            </w:pPr>
          </w:p>
        </w:tc>
        <w:tc>
          <w:tcPr>
            <w:tcW w:w="42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Name of Director (print)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Cinemas Pty</w:t>
            </w:r>
          </w:p>
        </w:tc>
        <w:tc>
          <w:tcPr>
            <w:tcW w:w="55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073 808 643</w:t>
            </w:r>
          </w:p>
        </w:tc>
        <w:tc>
          <w:tcPr>
            <w:tcW w:w="76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w w:val="74"/>
              </w:rPr>
              <w:t>)</w:t>
            </w:r>
          </w:p>
        </w:tc>
        <w:tc>
          <w:tcPr>
            <w:tcW w:w="554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40" w:type="dxa"/>
            <w:vAlign w:val="bottom"/>
          </w:tcPr>
          <w:p>
            <w:pPr>
              <w:spacing w:after="0"/>
              <w:rPr>
                <w:sz w:val="19"/>
                <w:szCs w:val="19"/>
                <w:color w:val="auto"/>
              </w:rPr>
            </w:pP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760" w:type="dxa"/>
            <w:vAlign w:val="bottom"/>
          </w:tcPr>
          <w:p>
            <w:pPr>
              <w:spacing w:after="0"/>
              <w:rPr>
                <w:sz w:val="19"/>
                <w:szCs w:val="19"/>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760" w:type="dxa"/>
            <w:vAlign w:val="bottom"/>
          </w:tcPr>
          <w:p>
            <w:pPr>
              <w:spacing w:after="0"/>
              <w:rPr>
                <w:sz w:val="19"/>
                <w:szCs w:val="19"/>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760" w:type="dxa"/>
            <w:vAlign w:val="bottom"/>
          </w:tcPr>
          <w:p>
            <w:pPr>
              <w:spacing w:after="0"/>
              <w:rPr>
                <w:sz w:val="19"/>
                <w:szCs w:val="19"/>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760" w:type="dxa"/>
            <w:vAlign w:val="bottom"/>
          </w:tcPr>
          <w:p>
            <w:pPr>
              <w:spacing w:after="0"/>
              <w:rPr>
                <w:sz w:val="22"/>
                <w:szCs w:val="22"/>
                <w:color w:val="auto"/>
              </w:rPr>
            </w:pPr>
          </w:p>
        </w:tc>
        <w:tc>
          <w:tcPr>
            <w:tcW w:w="554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5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5">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0" w:name="page41"/>
    <w:bookmarkEnd w:id="40"/>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Cinemas ) Management Pty</w:t>
      </w:r>
    </w:p>
    <w:p>
      <w:pPr>
        <w:spacing w:after="0" w:line="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Ltd</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auto"/>
                <w:w w:val="89"/>
              </w:rPr>
              <w:t>)</w:t>
            </w:r>
          </w:p>
        </w:tc>
        <w:tc>
          <w:tcPr>
            <w:tcW w:w="5420" w:type="dxa"/>
            <w:vAlign w:val="bottom"/>
          </w:tcPr>
          <w:p>
            <w:pPr>
              <w:spacing w:after="0"/>
              <w:rPr>
                <w:sz w:val="19"/>
                <w:szCs w:val="19"/>
                <w:color w:val="auto"/>
              </w:rPr>
            </w:pPr>
          </w:p>
        </w:tc>
      </w:t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ACN 122 406 311</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229"/>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Ellen M. Cotter</w:t>
            </w:r>
          </w:p>
        </w:tc>
        <w:tc>
          <w:tcPr>
            <w:tcW w:w="5420" w:type="dxa"/>
            <w:vAlign w:val="bottom"/>
          </w:tcPr>
          <w:p>
            <w:pPr>
              <w:ind w:left="250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2"/>
              </w:rPr>
              <w:t>...........................................................</w:t>
            </w:r>
          </w:p>
        </w:tc>
        <w:tc>
          <w:tcPr>
            <w:tcW w:w="542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98"/>
              </w:rPr>
              <w:t>...........................................................</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100" w:type="dxa"/>
            <w:vAlign w:val="bottom"/>
          </w:tcPr>
          <w:p>
            <w:pPr>
              <w:spacing w:after="0"/>
              <w:rPr>
                <w:sz w:val="19"/>
                <w:szCs w:val="19"/>
                <w:color w:val="auto"/>
              </w:rPr>
            </w:pPr>
          </w:p>
        </w:tc>
        <w:tc>
          <w:tcPr>
            <w:tcW w:w="5420" w:type="dxa"/>
            <w:vAlign w:val="bottom"/>
          </w:tcPr>
          <w:p>
            <w:pPr>
              <w:ind w:left="250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Ellen M. Cotter</w:t>
            </w:r>
          </w:p>
        </w:tc>
        <w:tc>
          <w:tcPr>
            <w:tcW w:w="5420" w:type="dxa"/>
            <w:vAlign w:val="bottom"/>
          </w:tcPr>
          <w:p>
            <w:pPr>
              <w:ind w:left="250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2"/>
              </w:rPr>
              <w:t>...........................................................</w:t>
            </w:r>
          </w:p>
        </w:tc>
        <w:tc>
          <w:tcPr>
            <w:tcW w:w="542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98"/>
              </w:rPr>
              <w:t>...........................................................</w:t>
            </w:r>
          </w:p>
        </w:tc>
      </w:tr>
      <w:tr>
        <w:trPr>
          <w:trHeight w:val="258"/>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Name of /Director (print)</w:t>
            </w:r>
          </w:p>
        </w:tc>
        <w:tc>
          <w:tcPr>
            <w:tcW w:w="5420" w:type="dxa"/>
            <w:vAlign w:val="bottom"/>
          </w:tcPr>
          <w:p>
            <w:pPr>
              <w:ind w:left="2500"/>
              <w:spacing w:after="0"/>
              <w:rPr>
                <w:sz w:val="20"/>
                <w:szCs w:val="20"/>
                <w:color w:val="auto"/>
              </w:rPr>
            </w:pPr>
            <w:r>
              <w:rPr>
                <w:rFonts w:ascii="Times New Roman" w:cs="Times New Roman" w:eastAsia="Times New Roman" w:hAnsi="Times New Roman"/>
                <w:sz w:val="20"/>
                <w:szCs w:val="20"/>
                <w:color w:val="auto"/>
              </w:rPr>
              <w:t>Name of Director (print)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State Cinema Hobart</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Pty Ltd </w:t>
            </w:r>
            <w:r>
              <w:rPr>
                <w:rFonts w:ascii="Times New Roman" w:cs="Times New Roman" w:eastAsia="Times New Roman" w:hAnsi="Times New Roman"/>
                <w:sz w:val="20"/>
                <w:szCs w:val="20"/>
                <w:color w:val="auto"/>
              </w:rPr>
              <w:t>ACN 108 861 061</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w:t>
            </w:r>
          </w:p>
        </w:tc>
        <w:tc>
          <w:tcPr>
            <w:tcW w:w="4260" w:type="dxa"/>
            <w:vAlign w:val="bottom"/>
          </w:tcPr>
          <w:p>
            <w:pPr>
              <w:spacing w:after="0"/>
              <w:rPr>
                <w:sz w:val="20"/>
                <w:szCs w:val="20"/>
                <w:color w:val="auto"/>
              </w:rPr>
            </w:pPr>
          </w:p>
        </w:tc>
      </w:tr>
      <w:tr>
        <w:trPr>
          <w:trHeight w:val="230"/>
        </w:trPr>
        <w:tc>
          <w:tcPr>
            <w:tcW w:w="2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/s/ Ellen M. Cotter</w:t>
            </w:r>
          </w:p>
        </w:tc>
        <w:tc>
          <w:tcPr>
            <w:tcW w:w="420" w:type="dxa"/>
            <w:vAlign w:val="bottom"/>
          </w:tcPr>
          <w:p>
            <w:pPr>
              <w:spacing w:after="0"/>
              <w:rPr>
                <w:sz w:val="19"/>
                <w:szCs w:val="19"/>
                <w:color w:val="auto"/>
              </w:rPr>
            </w:pPr>
          </w:p>
        </w:tc>
        <w:tc>
          <w:tcPr>
            <w:tcW w:w="42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4260" w:type="dxa"/>
            <w:vAlign w:val="bottom"/>
          </w:tcPr>
          <w:p>
            <w:pPr>
              <w:ind w:left="1340"/>
              <w:spacing w:after="0"/>
              <w:rPr>
                <w:sz w:val="20"/>
                <w:szCs w:val="20"/>
                <w:color w:val="auto"/>
              </w:rPr>
            </w:pPr>
            <w:r>
              <w:rPr>
                <w:rFonts w:ascii="Times New Roman" w:cs="Times New Roman" w:eastAsia="Times New Roman" w:hAnsi="Times New Roman"/>
                <w:sz w:val="20"/>
                <w:szCs w:val="20"/>
                <w:color w:val="auto"/>
                <w:w w:val="98"/>
              </w:rPr>
              <w:t>...........................................................</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420" w:type="dxa"/>
            <w:vAlign w:val="bottom"/>
          </w:tcPr>
          <w:p>
            <w:pPr>
              <w:spacing w:after="0"/>
              <w:rPr>
                <w:sz w:val="19"/>
                <w:szCs w:val="19"/>
                <w:color w:val="auto"/>
              </w:rPr>
            </w:pPr>
          </w:p>
        </w:tc>
        <w:tc>
          <w:tcPr>
            <w:tcW w:w="42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Ellen M. Cotter</w:t>
            </w:r>
          </w:p>
        </w:tc>
        <w:tc>
          <w:tcPr>
            <w:tcW w:w="420" w:type="dxa"/>
            <w:vAlign w:val="bottom"/>
          </w:tcPr>
          <w:p>
            <w:pPr>
              <w:spacing w:after="0"/>
              <w:rPr>
                <w:sz w:val="19"/>
                <w:szCs w:val="19"/>
                <w:color w:val="auto"/>
              </w:rPr>
            </w:pPr>
          </w:p>
        </w:tc>
        <w:tc>
          <w:tcPr>
            <w:tcW w:w="42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4260" w:type="dxa"/>
            <w:vAlign w:val="bottom"/>
          </w:tcPr>
          <w:p>
            <w:pPr>
              <w:ind w:left="1340"/>
              <w:spacing w:after="0"/>
              <w:rPr>
                <w:sz w:val="20"/>
                <w:szCs w:val="20"/>
                <w:color w:val="auto"/>
              </w:rPr>
            </w:pPr>
            <w:r>
              <w:rPr>
                <w:rFonts w:ascii="Times New Roman" w:cs="Times New Roman" w:eastAsia="Times New Roman" w:hAnsi="Times New Roman"/>
                <w:sz w:val="20"/>
                <w:szCs w:val="20"/>
                <w:color w:val="auto"/>
                <w:w w:val="98"/>
              </w:rPr>
              <w:t>...........................................................</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Name of /Director (print)</w:t>
            </w:r>
          </w:p>
        </w:tc>
        <w:tc>
          <w:tcPr>
            <w:tcW w:w="420" w:type="dxa"/>
            <w:vAlign w:val="bottom"/>
          </w:tcPr>
          <w:p>
            <w:pPr>
              <w:spacing w:after="0"/>
              <w:rPr>
                <w:sz w:val="22"/>
                <w:szCs w:val="22"/>
                <w:color w:val="auto"/>
              </w:rPr>
            </w:pPr>
          </w:p>
        </w:tc>
        <w:tc>
          <w:tcPr>
            <w:tcW w:w="42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Name of Director (print)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Dandenong Pty</w:t>
            </w:r>
          </w:p>
        </w:tc>
        <w:tc>
          <w:tcPr>
            <w:tcW w:w="53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129 018 739</w:t>
            </w:r>
          </w:p>
        </w:tc>
        <w:tc>
          <w:tcPr>
            <w:tcW w:w="980" w:type="dxa"/>
            <w:vAlign w:val="bottom"/>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32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98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32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98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980" w:type="dxa"/>
            <w:vAlign w:val="bottom"/>
          </w:tcPr>
          <w:p>
            <w:pPr>
              <w:spacing w:after="0"/>
              <w:rPr>
                <w:sz w:val="19"/>
                <w:szCs w:val="19"/>
                <w:color w:val="auto"/>
              </w:rPr>
            </w:pPr>
          </w:p>
        </w:tc>
        <w:tc>
          <w:tcPr>
            <w:tcW w:w="532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32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980" w:type="dxa"/>
            <w:vAlign w:val="bottom"/>
          </w:tcPr>
          <w:p>
            <w:pPr>
              <w:spacing w:after="0"/>
              <w:rPr>
                <w:sz w:val="22"/>
                <w:szCs w:val="22"/>
                <w:color w:val="auto"/>
              </w:rPr>
            </w:pPr>
          </w:p>
        </w:tc>
        <w:tc>
          <w:tcPr>
            <w:tcW w:w="532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53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7">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1" w:name="page42"/>
    <w:bookmarkEnd w:id="41"/>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Elizabeth Pty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160" w:space="640"/>
            <w:col w:w="5219"/>
          </w:cols>
          <w:pgMar w:left="1440" w:top="126" w:right="1440" w:bottom="1440" w:gutter="0" w:footer="0" w:header="0"/>
        </w:sectPr>
      </w:pPr>
    </w:p>
    <w:p>
      <w:pPr>
        <w:ind w:left="200"/>
        <w:spacing w:after="0"/>
        <w:tabs>
          <w:tab w:leader="none" w:pos="262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114 582 099</w:t>
      </w:r>
      <w:r>
        <w:rPr>
          <w:sz w:val="20"/>
          <w:szCs w:val="20"/>
          <w:color w:val="auto"/>
        </w:rPr>
        <w:tab/>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Exhibition Pty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240" w:space="660"/>
            <w:col w:w="5119"/>
          </w:cols>
          <w:pgMar w:left="1440" w:top="126" w:right="1440" w:bottom="1440" w:gutter="0" w:footer="0" w:header="0"/>
          <w:type w:val="continuous"/>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103 529 782</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Licences Pty</w:t>
            </w:r>
          </w:p>
        </w:tc>
        <w:tc>
          <w:tcPr>
            <w:tcW w:w="55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089 544 605</w:t>
            </w:r>
          </w:p>
        </w:tc>
        <w:tc>
          <w:tcPr>
            <w:tcW w:w="74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556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740" w:type="dxa"/>
            <w:vAlign w:val="bottom"/>
          </w:tcPr>
          <w:p>
            <w:pPr>
              <w:spacing w:after="0"/>
              <w:rPr>
                <w:sz w:val="19"/>
                <w:szCs w:val="19"/>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740" w:type="dxa"/>
            <w:vAlign w:val="bottom"/>
          </w:tcPr>
          <w:p>
            <w:pPr>
              <w:spacing w:after="0"/>
              <w:rPr>
                <w:sz w:val="19"/>
                <w:szCs w:val="19"/>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740" w:type="dxa"/>
            <w:vAlign w:val="bottom"/>
          </w:tcPr>
          <w:p>
            <w:pPr>
              <w:spacing w:after="0"/>
              <w:rPr>
                <w:sz w:val="19"/>
                <w:szCs w:val="19"/>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29"/>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740" w:type="dxa"/>
            <w:vAlign w:val="bottom"/>
          </w:tcPr>
          <w:p>
            <w:pPr>
              <w:spacing w:after="0"/>
              <w:rPr>
                <w:sz w:val="22"/>
                <w:szCs w:val="22"/>
                <w:color w:val="auto"/>
              </w:rPr>
            </w:pPr>
          </w:p>
        </w:tc>
        <w:tc>
          <w:tcPr>
            <w:tcW w:w="55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5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2" w:name="page43"/>
    <w:bookmarkEnd w:id="42"/>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Maitland Pty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140" w:space="640"/>
            <w:col w:w="5239"/>
          </w:cols>
          <w:pgMar w:left="1440" w:top="126" w:right="1440" w:bottom="1440" w:gutter="0" w:footer="0" w:header="0"/>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126 697 461</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Melton Pty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320" w:space="640"/>
            <w:col w:w="5059"/>
          </w:cols>
          <w:pgMar w:left="1440" w:top="126" w:right="1440" w:bottom="1440" w:gutter="0" w:footer="0" w:header="0"/>
          <w:type w:val="continuous"/>
        </w:sectPr>
      </w:pPr>
    </w:p>
    <w:p>
      <w:pPr>
        <w:ind w:left="200"/>
        <w:spacing w:after="0"/>
        <w:tabs>
          <w:tab w:leader="none" w:pos="2280" w:val="left"/>
        </w:tabs>
        <w:rPr>
          <w:sz w:val="20"/>
          <w:szCs w:val="20"/>
          <w:color w:val="auto"/>
        </w:rPr>
      </w:pPr>
      <w:r>
        <w:rPr>
          <w:rFonts w:ascii="Times New Roman" w:cs="Times New Roman" w:eastAsia="Times New Roman" w:hAnsi="Times New Roman"/>
          <w:sz w:val="20"/>
          <w:szCs w:val="20"/>
          <w:color w:val="auto"/>
        </w:rPr>
        <w:t>ACN 109 074 517</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Properties Pty</w:t>
            </w:r>
          </w:p>
        </w:tc>
        <w:tc>
          <w:tcPr>
            <w:tcW w:w="5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071 195 429</w:t>
            </w: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540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900" w:type="dxa"/>
            <w:vAlign w:val="bottom"/>
          </w:tcPr>
          <w:p>
            <w:pPr>
              <w:spacing w:after="0"/>
              <w:rPr>
                <w:sz w:val="19"/>
                <w:szCs w:val="19"/>
                <w:color w:val="auto"/>
              </w:rPr>
            </w:pPr>
          </w:p>
        </w:tc>
        <w:tc>
          <w:tcPr>
            <w:tcW w:w="540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40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900" w:type="dxa"/>
            <w:vAlign w:val="bottom"/>
          </w:tcPr>
          <w:p>
            <w:pPr>
              <w:spacing w:after="0"/>
              <w:rPr>
                <w:sz w:val="19"/>
                <w:szCs w:val="19"/>
                <w:color w:val="auto"/>
              </w:rPr>
            </w:pPr>
          </w:p>
        </w:tc>
        <w:tc>
          <w:tcPr>
            <w:tcW w:w="540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900" w:type="dxa"/>
            <w:vAlign w:val="bottom"/>
          </w:tcPr>
          <w:p>
            <w:pPr>
              <w:spacing w:after="0"/>
              <w:rPr>
                <w:sz w:val="19"/>
                <w:szCs w:val="19"/>
                <w:color w:val="auto"/>
              </w:rPr>
            </w:pPr>
          </w:p>
        </w:tc>
        <w:tc>
          <w:tcPr>
            <w:tcW w:w="540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40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900" w:type="dxa"/>
            <w:vAlign w:val="bottom"/>
          </w:tcPr>
          <w:p>
            <w:pPr>
              <w:spacing w:after="0"/>
              <w:rPr>
                <w:sz w:val="22"/>
                <w:szCs w:val="22"/>
                <w:color w:val="auto"/>
              </w:rPr>
            </w:pPr>
          </w:p>
        </w:tc>
        <w:tc>
          <w:tcPr>
            <w:tcW w:w="540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5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3" w:name="page44"/>
    <w:bookmarkEnd w:id="43"/>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Properties</w:t>
      </w:r>
    </w:p>
    <w:p>
      <w:pPr>
        <w:spacing w:after="0" w:line="25" w:lineRule="exact"/>
        <w:rPr>
          <w:sz w:val="20"/>
          <w:szCs w:val="20"/>
          <w:color w:val="auto"/>
        </w:rPr>
      </w:pPr>
    </w:p>
    <w:p>
      <w:pPr>
        <w:ind w:left="200"/>
        <w:spacing w:after="0"/>
        <w:tabs>
          <w:tab w:leader="none" w:pos="2660" w:val="left"/>
        </w:tabs>
        <w:rPr>
          <w:sz w:val="20"/>
          <w:szCs w:val="20"/>
          <w:color w:val="auto"/>
        </w:rPr>
      </w:pPr>
      <w:r>
        <w:rPr>
          <w:rFonts w:ascii="Times New Roman" w:cs="Times New Roman" w:eastAsia="Times New Roman" w:hAnsi="Times New Roman"/>
          <w:sz w:val="20"/>
          <w:szCs w:val="20"/>
          <w:b w:val="1"/>
          <w:bCs w:val="1"/>
          <w:color w:val="auto"/>
        </w:rPr>
        <w:t>Indooroopilly Pty Ltd</w:t>
      </w:r>
      <w:r>
        <w:rPr>
          <w:sz w:val="20"/>
          <w:szCs w:val="20"/>
          <w:color w:val="auto"/>
        </w:rPr>
        <w:tab/>
      </w:r>
      <w:r>
        <w:rPr>
          <w:rFonts w:ascii="Times New Roman" w:cs="Times New Roman" w:eastAsia="Times New Roman" w:hAnsi="Times New Roman"/>
          <w:sz w:val="20"/>
          <w:szCs w:val="20"/>
          <w:color w:val="auto"/>
        </w:rPr>
        <w:t>)</w:t>
      </w:r>
    </w:p>
    <w:p>
      <w:pPr>
        <w:ind w:left="200"/>
        <w:spacing w:after="0"/>
        <w:tabs>
          <w:tab w:leader="none" w:pos="2280" w:val="left"/>
        </w:tabs>
        <w:rPr>
          <w:sz w:val="20"/>
          <w:szCs w:val="20"/>
          <w:color w:val="auto"/>
        </w:rPr>
      </w:pPr>
      <w:r>
        <w:rPr>
          <w:rFonts w:ascii="Times New Roman" w:cs="Times New Roman" w:eastAsia="Times New Roman" w:hAnsi="Times New Roman"/>
          <w:sz w:val="20"/>
          <w:szCs w:val="20"/>
          <w:color w:val="auto"/>
        </w:rPr>
        <w:t>ACN 121 284 884</w:t>
      </w:r>
      <w:r>
        <w:rPr>
          <w:sz w:val="20"/>
          <w:szCs w:val="20"/>
          <w:color w:val="auto"/>
        </w:rPr>
        <w:tab/>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3">
            <w:col w:w="3120" w:space="420"/>
            <w:col w:w="480" w:space="720"/>
            <w:col w:w="4279"/>
          </w:cols>
          <w:pgMar w:left="144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Properties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sectPr>
          <w:pgSz w:w="11900" w:h="16838" w:orient="portrait"/>
          <w:cols w:equalWidth="0" w:num="2">
            <w:col w:w="2900" w:space="640"/>
            <w:col w:w="5479"/>
          </w:cols>
          <w:pgMar w:left="1440" w:top="1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Taringa Pty Ltd </w:t>
      </w:r>
      <w:r>
        <w:rPr>
          <w:rFonts w:ascii="Times New Roman" w:cs="Times New Roman" w:eastAsia="Times New Roman" w:hAnsi="Times New Roman"/>
          <w:sz w:val="19"/>
          <w:szCs w:val="19"/>
          <w:color w:val="auto"/>
        </w:rPr>
        <w:t>ACN 128 819 483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3060" w:space="640"/>
            <w:col w:w="5319"/>
          </w:cols>
          <w:pgMar w:left="1440" w:top="126" w:right="1440" w:bottom="1440" w:gutter="0" w:footer="0" w:header="0"/>
          <w:type w:val="continuous"/>
        </w:sectPr>
      </w:pP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Property</w:t>
            </w:r>
          </w:p>
        </w:tc>
        <w:tc>
          <w:tcPr>
            <w:tcW w:w="5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Holdings Pty Ltd </w:t>
            </w:r>
            <w:r>
              <w:rPr>
                <w:rFonts w:ascii="Times New Roman" w:cs="Times New Roman" w:eastAsia="Times New Roman" w:hAnsi="Times New Roman"/>
                <w:sz w:val="20"/>
                <w:szCs w:val="20"/>
                <w:color w:val="auto"/>
              </w:rPr>
              <w:t>ACN 126 289 772</w:t>
            </w:r>
          </w:p>
        </w:tc>
        <w:tc>
          <w:tcPr>
            <w:tcW w:w="56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2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230"/>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56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6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56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56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6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56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32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r>
        <w:trPr>
          <w:trHeight w:val="20"/>
        </w:trPr>
        <w:tc>
          <w:tcPr>
            <w:tcW w:w="3200" w:type="dxa"/>
            <w:vAlign w:val="bottom"/>
            <w:tcBorders>
              <w:bottom w:val="single" w:sz="8" w:color="EEEEEE"/>
            </w:tcBorders>
          </w:tcPr>
          <w:p>
            <w:pPr>
              <w:spacing w:after="0" w:line="20" w:lineRule="exact"/>
              <w:rPr>
                <w:sz w:val="1"/>
                <w:szCs w:val="1"/>
                <w:color w:val="auto"/>
              </w:rPr>
            </w:pPr>
          </w:p>
        </w:tc>
        <w:tc>
          <w:tcPr>
            <w:tcW w:w="5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3">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4" w:name="page45"/>
    <w:bookmarkEnd w:id="44"/>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Rouse Hill Pty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240" w:space="660"/>
            <w:col w:w="5119"/>
          </w:cols>
          <w:pgMar w:left="1440" w:top="126" w:right="1440" w:bottom="1440" w:gutter="0" w:footer="0" w:header="0"/>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123 245 885</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Sunbury Pty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100" w:space="640"/>
            <w:col w:w="5279"/>
          </w:cols>
          <w:pgMar w:left="1440" w:top="126" w:right="1440" w:bottom="1440" w:gutter="0" w:footer="0" w:header="0"/>
          <w:type w:val="continuous"/>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109 074 571</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Rhodes Peninsula</w:t>
            </w:r>
          </w:p>
        </w:tc>
        <w:tc>
          <w:tcPr>
            <w:tcW w:w="5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Cinema Pty Ltd </w:t>
            </w:r>
            <w:r>
              <w:rPr>
                <w:rFonts w:ascii="Times New Roman" w:cs="Times New Roman" w:eastAsia="Times New Roman" w:hAnsi="Times New Roman"/>
                <w:sz w:val="20"/>
                <w:szCs w:val="20"/>
                <w:color w:val="auto"/>
              </w:rPr>
              <w:t>ACN 120 827 812</w:t>
            </w:r>
          </w:p>
        </w:tc>
        <w:tc>
          <w:tcPr>
            <w:tcW w:w="57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1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570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70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570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570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70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570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318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r>
        <w:trPr>
          <w:trHeight w:val="20"/>
        </w:trPr>
        <w:tc>
          <w:tcPr>
            <w:tcW w:w="3180" w:type="dxa"/>
            <w:vAlign w:val="bottom"/>
            <w:tcBorders>
              <w:bottom w:val="single" w:sz="8" w:color="EEEEEE"/>
            </w:tcBorders>
          </w:tcPr>
          <w:p>
            <w:pPr>
              <w:spacing w:after="0" w:line="20" w:lineRule="exact"/>
              <w:rPr>
                <w:sz w:val="1"/>
                <w:szCs w:val="1"/>
                <w:color w:val="auto"/>
              </w:rPr>
            </w:pPr>
          </w:p>
        </w:tc>
        <w:tc>
          <w:tcPr>
            <w:tcW w:w="5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5">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5" w:name="page46"/>
    <w:bookmarkEnd w:id="45"/>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Westlakes Cinema Pty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160" w:space="640"/>
            <w:col w:w="5219"/>
          </w:cols>
          <w:pgMar w:left="1440" w:top="126" w:right="1440" w:bottom="1440" w:gutter="0" w:footer="0" w:header="0"/>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108 531 308</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A.C.N. 143 633 096 Pty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220" w:space="640"/>
            <w:col w:w="5159"/>
          </w:cols>
          <w:pgMar w:left="1440" w:top="126" w:right="1440" w:bottom="1440" w:gutter="0" w:footer="0" w:header="0"/>
          <w:type w:val="continuous"/>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143 633 096</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Cannon Park</w:t>
            </w:r>
          </w:p>
        </w:tc>
        <w:tc>
          <w:tcPr>
            <w:tcW w:w="54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Pty Ltd </w:t>
            </w:r>
            <w:r>
              <w:rPr>
                <w:rFonts w:ascii="Times New Roman" w:cs="Times New Roman" w:eastAsia="Times New Roman" w:hAnsi="Times New Roman"/>
                <w:sz w:val="20"/>
                <w:szCs w:val="20"/>
                <w:color w:val="auto"/>
              </w:rPr>
              <w:t>ACN 609 837 569</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5480" w:type="dxa"/>
            <w:vAlign w:val="bottom"/>
          </w:tcPr>
          <w:p>
            <w:pPr>
              <w:spacing w:after="0"/>
              <w:rPr>
                <w:sz w:val="20"/>
                <w:szCs w:val="20"/>
                <w:color w:val="auto"/>
              </w:rPr>
            </w:pPr>
          </w:p>
        </w:tc>
      </w:tr>
      <w:tr>
        <w:trPr>
          <w:trHeight w:val="229"/>
        </w:trPr>
        <w:tc>
          <w:tcPr>
            <w:tcW w:w="2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230"/>
        </w:trPr>
        <w:tc>
          <w:tcPr>
            <w:tcW w:w="2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440" w:type="dxa"/>
            <w:vAlign w:val="bottom"/>
          </w:tcPr>
          <w:p>
            <w:pPr>
              <w:spacing w:after="0"/>
              <w:rPr>
                <w:sz w:val="19"/>
                <w:szCs w:val="19"/>
                <w:color w:val="auto"/>
              </w:rPr>
            </w:pPr>
          </w:p>
        </w:tc>
        <w:tc>
          <w:tcPr>
            <w:tcW w:w="548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400" w:type="dxa"/>
            <w:vAlign w:val="bottom"/>
            <w:gridSpan w:val="2"/>
          </w:tcPr>
          <w:p>
            <w:pPr>
              <w:jc w:val="right"/>
              <w:ind w:right="278"/>
              <w:spacing w:after="0"/>
              <w:rPr>
                <w:sz w:val="20"/>
                <w:szCs w:val="20"/>
                <w:color w:val="auto"/>
              </w:rPr>
            </w:pPr>
            <w:r>
              <w:rPr>
                <w:rFonts w:ascii="Times New Roman" w:cs="Times New Roman" w:eastAsia="Times New Roman" w:hAnsi="Times New Roman"/>
                <w:sz w:val="20"/>
                <w:szCs w:val="20"/>
                <w:color w:val="auto"/>
              </w:rPr>
              <w:t>...........................................................</w:t>
            </w:r>
          </w:p>
        </w:tc>
        <w:tc>
          <w:tcPr>
            <w:tcW w:w="548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440" w:type="dxa"/>
            <w:vAlign w:val="bottom"/>
          </w:tcPr>
          <w:p>
            <w:pPr>
              <w:spacing w:after="0"/>
              <w:rPr>
                <w:sz w:val="19"/>
                <w:szCs w:val="19"/>
                <w:color w:val="auto"/>
              </w:rPr>
            </w:pPr>
          </w:p>
        </w:tc>
        <w:tc>
          <w:tcPr>
            <w:tcW w:w="548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440" w:type="dxa"/>
            <w:vAlign w:val="bottom"/>
          </w:tcPr>
          <w:p>
            <w:pPr>
              <w:spacing w:after="0"/>
              <w:rPr>
                <w:sz w:val="19"/>
                <w:szCs w:val="19"/>
                <w:color w:val="auto"/>
              </w:rPr>
            </w:pPr>
          </w:p>
        </w:tc>
        <w:tc>
          <w:tcPr>
            <w:tcW w:w="548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400" w:type="dxa"/>
            <w:vAlign w:val="bottom"/>
            <w:gridSpan w:val="2"/>
          </w:tcPr>
          <w:p>
            <w:pPr>
              <w:jc w:val="right"/>
              <w:ind w:right="278"/>
              <w:spacing w:after="0"/>
              <w:rPr>
                <w:sz w:val="20"/>
                <w:szCs w:val="20"/>
                <w:color w:val="auto"/>
              </w:rPr>
            </w:pPr>
            <w:r>
              <w:rPr>
                <w:rFonts w:ascii="Times New Roman" w:cs="Times New Roman" w:eastAsia="Times New Roman" w:hAnsi="Times New Roman"/>
                <w:sz w:val="20"/>
                <w:szCs w:val="20"/>
                <w:color w:val="auto"/>
              </w:rPr>
              <w:t>...........................................................</w:t>
            </w:r>
          </w:p>
        </w:tc>
        <w:tc>
          <w:tcPr>
            <w:tcW w:w="548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440" w:type="dxa"/>
            <w:vAlign w:val="bottom"/>
          </w:tcPr>
          <w:p>
            <w:pPr>
              <w:spacing w:after="0"/>
              <w:rPr>
                <w:sz w:val="22"/>
                <w:szCs w:val="22"/>
                <w:color w:val="auto"/>
              </w:rPr>
            </w:pPr>
          </w:p>
        </w:tc>
        <w:tc>
          <w:tcPr>
            <w:tcW w:w="548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5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7">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6" w:name="page47"/>
    <w:bookmarkEnd w:id="46"/>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Angelika Anywhere Pty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280" w:space="640"/>
            <w:col w:w="5099"/>
          </w:cols>
          <w:pgMar w:left="1440" w:top="126" w:right="1440" w:bottom="1440" w:gutter="0" w:footer="0" w:header="0"/>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642 993 593</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Jindalee Pty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060" w:space="640"/>
            <w:col w:w="5319"/>
          </w:cols>
          <w:pgMar w:left="1440" w:top="126" w:right="1440" w:bottom="1440" w:gutter="0" w:footer="0" w:header="0"/>
          <w:type w:val="continuous"/>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629 483 914</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Devonport Pty</w:t>
            </w:r>
          </w:p>
        </w:tc>
        <w:tc>
          <w:tcPr>
            <w:tcW w:w="5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629 484 126</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920" w:type="dxa"/>
            <w:vAlign w:val="bottom"/>
          </w:tcPr>
          <w:p>
            <w:pPr>
              <w:spacing w:after="0"/>
              <w:rPr>
                <w:sz w:val="19"/>
                <w:szCs w:val="19"/>
                <w:color w:val="auto"/>
              </w:rPr>
            </w:pPr>
          </w:p>
        </w:tc>
        <w:tc>
          <w:tcPr>
            <w:tcW w:w="538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38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920" w:type="dxa"/>
            <w:vAlign w:val="bottom"/>
          </w:tcPr>
          <w:p>
            <w:pPr>
              <w:spacing w:after="0"/>
              <w:rPr>
                <w:sz w:val="19"/>
                <w:szCs w:val="19"/>
                <w:color w:val="auto"/>
              </w:rPr>
            </w:pPr>
          </w:p>
        </w:tc>
        <w:tc>
          <w:tcPr>
            <w:tcW w:w="538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920" w:type="dxa"/>
            <w:vAlign w:val="bottom"/>
          </w:tcPr>
          <w:p>
            <w:pPr>
              <w:spacing w:after="0"/>
              <w:rPr>
                <w:sz w:val="19"/>
                <w:szCs w:val="19"/>
                <w:color w:val="auto"/>
              </w:rPr>
            </w:pPr>
          </w:p>
        </w:tc>
        <w:tc>
          <w:tcPr>
            <w:tcW w:w="538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38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920" w:type="dxa"/>
            <w:vAlign w:val="bottom"/>
          </w:tcPr>
          <w:p>
            <w:pPr>
              <w:spacing w:after="0"/>
              <w:rPr>
                <w:sz w:val="22"/>
                <w:szCs w:val="22"/>
                <w:color w:val="auto"/>
              </w:rPr>
            </w:pPr>
          </w:p>
        </w:tc>
        <w:tc>
          <w:tcPr>
            <w:tcW w:w="538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3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7" w:name="page48"/>
    <w:bookmarkEnd w:id="47"/>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Altona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sectPr>
          <w:pgSz w:w="11900" w:h="16838" w:orient="portrait"/>
          <w:cols w:equalWidth="0" w:num="2">
            <w:col w:w="3280" w:space="660"/>
            <w:col w:w="5079"/>
          </w:cols>
          <w:pgMar w:left="1440" w:top="126" w:right="1440" w:bottom="1440" w:gutter="0" w:footer="0" w:header="0"/>
        </w:sectPr>
      </w:pPr>
    </w:p>
    <w:p>
      <w:pPr>
        <w:ind w:left="200"/>
        <w:spacing w:after="0"/>
        <w:tabs>
          <w:tab w:leader="none" w:pos="2280" w:val="left"/>
        </w:tabs>
        <w:rPr>
          <w:sz w:val="20"/>
          <w:szCs w:val="20"/>
          <w:color w:val="auto"/>
        </w:rPr>
      </w:pPr>
      <w:r>
        <w:rPr>
          <w:rFonts w:ascii="Times New Roman" w:cs="Times New Roman" w:eastAsia="Times New Roman" w:hAnsi="Times New Roman"/>
          <w:sz w:val="20"/>
          <w:szCs w:val="20"/>
          <w:color w:val="auto"/>
        </w:rPr>
        <w:t>ACN 634 384 311</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South City Square Pty Ltd </w:t>
      </w:r>
      <w:r>
        <w:rPr>
          <w:rFonts w:ascii="Times New Roman" w:cs="Times New Roman" w:eastAsia="Times New Roman" w:hAnsi="Times New Roman"/>
          <w:sz w:val="19"/>
          <w:szCs w:val="19"/>
          <w:color w:val="auto"/>
        </w:rPr>
        <w:t>ACN 616 892 936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9" w:lineRule="exact"/>
        <w:rPr>
          <w:sz w:val="20"/>
          <w:szCs w:val="20"/>
          <w:color w:val="auto"/>
        </w:rPr>
      </w:pPr>
    </w:p>
    <w:p>
      <w:pPr>
        <w:sectPr>
          <w:pgSz w:w="11900" w:h="16838" w:orient="portrait"/>
          <w:cols w:equalWidth="0" w:num="2">
            <w:col w:w="3000" w:space="580"/>
            <w:col w:w="5439"/>
          </w:cols>
          <w:pgMar w:left="1440" w:top="126" w:right="1440" w:bottom="1440" w:gutter="0" w:footer="0" w:header="0"/>
          <w:type w:val="continuous"/>
        </w:sectPr>
      </w:pP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Traralgon Pty</w:t>
            </w:r>
          </w:p>
        </w:tc>
        <w:tc>
          <w:tcPr>
            <w:tcW w:w="54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618 457 202</w:t>
            </w:r>
          </w:p>
        </w:tc>
        <w:tc>
          <w:tcPr>
            <w:tcW w:w="88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w w:val="74"/>
              </w:rPr>
              <w:t>)</w:t>
            </w:r>
          </w:p>
        </w:tc>
        <w:tc>
          <w:tcPr>
            <w:tcW w:w="542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880" w:type="dxa"/>
            <w:vAlign w:val="bottom"/>
          </w:tcPr>
          <w:p>
            <w:pPr>
              <w:spacing w:after="0"/>
              <w:rPr>
                <w:sz w:val="19"/>
                <w:szCs w:val="19"/>
                <w:color w:val="auto"/>
              </w:rPr>
            </w:pPr>
          </w:p>
        </w:tc>
        <w:tc>
          <w:tcPr>
            <w:tcW w:w="54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880" w:type="dxa"/>
            <w:vAlign w:val="bottom"/>
          </w:tcPr>
          <w:p>
            <w:pPr>
              <w:spacing w:after="0"/>
              <w:rPr>
                <w:sz w:val="19"/>
                <w:szCs w:val="19"/>
                <w:color w:val="auto"/>
              </w:rPr>
            </w:pPr>
          </w:p>
        </w:tc>
        <w:tc>
          <w:tcPr>
            <w:tcW w:w="54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880" w:type="dxa"/>
            <w:vAlign w:val="bottom"/>
          </w:tcPr>
          <w:p>
            <w:pPr>
              <w:spacing w:after="0"/>
              <w:rPr>
                <w:sz w:val="19"/>
                <w:szCs w:val="19"/>
                <w:color w:val="auto"/>
              </w:rPr>
            </w:pPr>
          </w:p>
        </w:tc>
        <w:tc>
          <w:tcPr>
            <w:tcW w:w="54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880" w:type="dxa"/>
            <w:vAlign w:val="bottom"/>
          </w:tcPr>
          <w:p>
            <w:pPr>
              <w:spacing w:after="0"/>
              <w:rPr>
                <w:sz w:val="22"/>
                <w:szCs w:val="22"/>
                <w:color w:val="auto"/>
              </w:rPr>
            </w:pPr>
          </w:p>
        </w:tc>
        <w:tc>
          <w:tcPr>
            <w:tcW w:w="54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548"/>
        </w:trPr>
        <w:tc>
          <w:tcPr>
            <w:tcW w:w="2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5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8" w:name="page49"/>
    <w:bookmarkEnd w:id="48"/>
    <w:p>
      <w:pPr>
        <w:ind w:left="200"/>
        <w:spacing w:after="0"/>
        <w:rPr>
          <w:sz w:val="20"/>
          <w:szCs w:val="20"/>
          <w:color w:val="auto"/>
        </w:rPr>
      </w:pPr>
      <w:r>
        <w:rPr>
          <w:rFonts w:ascii="Times New Roman" w:cs="Times New Roman" w:eastAsia="Times New Roman" w:hAnsi="Times New Roman"/>
          <w:sz w:val="19"/>
          <w:szCs w:val="19"/>
          <w:b w:val="1"/>
          <w:bCs w:val="1"/>
          <w:color w:val="auto"/>
        </w:rPr>
        <w:t xml:space="preserve">Executed </w:t>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b w:val="1"/>
          <w:bCs w:val="1"/>
          <w:color w:val="auto"/>
        </w:rPr>
        <w:t xml:space="preserve"> Reading Burwood Pty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ectPr>
          <w:pgSz w:w="11900" w:h="16838" w:orient="portrait"/>
          <w:cols w:equalWidth="0" w:num="2">
            <w:col w:w="3140" w:space="640"/>
            <w:col w:w="5239"/>
          </w:cols>
          <w:pgMar w:left="1440" w:top="126" w:right="1440" w:bottom="1440" w:gutter="0" w:footer="0" w:header="0"/>
        </w:sectPr>
      </w:pPr>
    </w:p>
    <w:p>
      <w:pPr>
        <w:ind w:left="200"/>
        <w:spacing w:after="0"/>
        <w:tabs>
          <w:tab w:leader="none" w:pos="2640" w:val="left"/>
        </w:tabs>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619 050 396</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6" w:right="1440" w:bottom="1440" w:gutter="0" w:footer="0" w:header="0"/>
          <w:type w:val="continuous"/>
        </w:sectPr>
      </w:pP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Director</w:t>
      </w:r>
    </w:p>
    <w:p>
      <w:pPr>
        <w:ind w:left="200"/>
        <w:spacing w:after="0"/>
        <w:rPr>
          <w:sz w:val="20"/>
          <w:szCs w:val="20"/>
          <w:color w:val="auto"/>
        </w:rPr>
      </w:pPr>
      <w:r>
        <w:rPr>
          <w:rFonts w:ascii="Times New Roman" w:cs="Times New Roman" w:eastAsia="Times New Roman" w:hAnsi="Times New Roman"/>
          <w:sz w:val="20"/>
          <w:szCs w:val="20"/>
          <w:color w:val="auto"/>
        </w:rPr>
        <w:t>Ellen M. Cotter</w:t>
      </w:r>
    </w:p>
    <w:p>
      <w:pPr>
        <w:ind w:left="200"/>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rPr>
          <w:sz w:val="20"/>
          <w:szCs w:val="20"/>
          <w:color w:val="auto"/>
        </w:rPr>
      </w:pPr>
      <w:r>
        <w:rPr>
          <w:rFonts w:ascii="Times New Roman" w:cs="Times New Roman" w:eastAsia="Times New Roman" w:hAnsi="Times New Roman"/>
          <w:sz w:val="20"/>
          <w:szCs w:val="20"/>
          <w:color w:val="auto"/>
        </w:rPr>
        <w:t>Andrzej Matyczynski</w:t>
      </w: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Director (print)</w:t>
      </w:r>
    </w:p>
    <w:p>
      <w:pPr>
        <w:spacing w:after="0" w:line="200" w:lineRule="exact"/>
        <w:rPr>
          <w:sz w:val="20"/>
          <w:szCs w:val="20"/>
          <w:color w:val="auto"/>
        </w:rPr>
      </w:pPr>
    </w:p>
    <w:p>
      <w:pPr>
        <w:sectPr>
          <w:pgSz w:w="11900" w:h="16838" w:orient="portrait"/>
          <w:cols w:equalWidth="0" w:num="2">
            <w:col w:w="4020" w:space="720"/>
            <w:col w:w="4279"/>
          </w:cols>
          <w:pgMar w:left="144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Reading Alphington Pty</w:t>
            </w:r>
          </w:p>
        </w:tc>
        <w:tc>
          <w:tcPr>
            <w:tcW w:w="5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Ltd </w:t>
            </w:r>
            <w:r>
              <w:rPr>
                <w:rFonts w:ascii="Times New Roman" w:cs="Times New Roman" w:eastAsia="Times New Roman" w:hAnsi="Times New Roman"/>
                <w:sz w:val="20"/>
                <w:szCs w:val="20"/>
                <w:color w:val="auto"/>
              </w:rPr>
              <w:t>ACN 633 008 401</w:t>
            </w:r>
          </w:p>
        </w:tc>
        <w:tc>
          <w:tcPr>
            <w:tcW w:w="1040" w:type="dxa"/>
            <w:vAlign w:val="bottom"/>
          </w:tcPr>
          <w:p>
            <w:pPr>
              <w:jc w:val="right"/>
              <w:ind w:right="898"/>
              <w:spacing w:after="0"/>
              <w:rPr>
                <w:sz w:val="20"/>
                <w:szCs w:val="20"/>
                <w:color w:val="auto"/>
              </w:rPr>
            </w:pPr>
            <w:r>
              <w:rPr>
                <w:rFonts w:ascii="Times New Roman" w:cs="Times New Roman" w:eastAsia="Times New Roman" w:hAnsi="Times New Roman"/>
                <w:sz w:val="16"/>
                <w:szCs w:val="16"/>
                <w:color w:val="auto"/>
                <w:w w:val="74"/>
              </w:rPr>
              <w:t>)</w:t>
            </w:r>
          </w:p>
        </w:tc>
        <w:tc>
          <w:tcPr>
            <w:tcW w:w="526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Ellen M. Cotter</w:t>
            </w:r>
          </w:p>
        </w:tc>
        <w:tc>
          <w:tcPr>
            <w:tcW w:w="1040" w:type="dxa"/>
            <w:vAlign w:val="bottom"/>
          </w:tcPr>
          <w:p>
            <w:pPr>
              <w:spacing w:after="0"/>
              <w:rPr>
                <w:sz w:val="19"/>
                <w:szCs w:val="19"/>
                <w:color w:val="auto"/>
              </w:rPr>
            </w:pPr>
          </w:p>
        </w:tc>
        <w:tc>
          <w:tcPr>
            <w:tcW w:w="52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/s/ Andrzej Matyczynski</w:t>
            </w:r>
          </w:p>
        </w:tc>
      </w:tr>
      <w:tr>
        <w:trPr>
          <w:trHeight w:val="230"/>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040" w:type="dxa"/>
            <w:vAlign w:val="bottom"/>
          </w:tcPr>
          <w:p>
            <w:pPr>
              <w:spacing w:after="0"/>
              <w:rPr>
                <w:sz w:val="19"/>
                <w:szCs w:val="19"/>
                <w:color w:val="auto"/>
              </w:rPr>
            </w:pPr>
          </w:p>
        </w:tc>
        <w:tc>
          <w:tcPr>
            <w:tcW w:w="52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Ellen M. Cotter</w:t>
            </w:r>
          </w:p>
        </w:tc>
        <w:tc>
          <w:tcPr>
            <w:tcW w:w="1040" w:type="dxa"/>
            <w:vAlign w:val="bottom"/>
          </w:tcPr>
          <w:p>
            <w:pPr>
              <w:spacing w:after="0"/>
              <w:rPr>
                <w:sz w:val="19"/>
                <w:szCs w:val="19"/>
                <w:color w:val="auto"/>
              </w:rPr>
            </w:pPr>
          </w:p>
        </w:tc>
        <w:tc>
          <w:tcPr>
            <w:tcW w:w="52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Andrzej Matyczynski</w:t>
            </w:r>
          </w:p>
        </w:tc>
      </w:tr>
      <w:tr>
        <w:trPr>
          <w:trHeight w:val="230"/>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/Director (print)</w:t>
            </w:r>
          </w:p>
        </w:tc>
        <w:tc>
          <w:tcPr>
            <w:tcW w:w="1040" w:type="dxa"/>
            <w:vAlign w:val="bottom"/>
          </w:tcPr>
          <w:p>
            <w:pPr>
              <w:spacing w:after="0"/>
              <w:rPr>
                <w:sz w:val="22"/>
                <w:szCs w:val="22"/>
                <w:color w:val="auto"/>
              </w:rPr>
            </w:pPr>
          </w:p>
        </w:tc>
        <w:tc>
          <w:tcPr>
            <w:tcW w:w="52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Name of Director (print)</w:t>
            </w:r>
          </w:p>
        </w:tc>
      </w:tr>
      <w:tr>
        <w:trPr>
          <w:trHeight w:val="885"/>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National Australia Bank </w:t>
            </w:r>
            <w:r>
              <w:rPr>
                <w:rFonts w:ascii="Times New Roman" w:cs="Times New Roman" w:eastAsia="Times New Roman" w:hAnsi="Times New Roman"/>
                <w:sz w:val="20"/>
                <w:szCs w:val="20"/>
                <w:color w:val="auto"/>
              </w:rPr>
              <w:t>)</w:t>
            </w:r>
          </w:p>
        </w:tc>
        <w:tc>
          <w:tcPr>
            <w:tcW w:w="5260" w:type="dxa"/>
            <w:vAlign w:val="bottom"/>
          </w:tcPr>
          <w:p>
            <w:pPr>
              <w:spacing w:after="0"/>
              <w:rPr>
                <w:sz w:val="24"/>
                <w:szCs w:val="24"/>
                <w:color w:val="auto"/>
              </w:rPr>
            </w:pPr>
          </w:p>
        </w:tc>
      </w:tr>
      <w:tr>
        <w:trPr>
          <w:trHeight w:val="233"/>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Limited </w:t>
            </w:r>
            <w:r>
              <w:rPr>
                <w:rFonts w:ascii="Times New Roman" w:cs="Times New Roman" w:eastAsia="Times New Roman" w:hAnsi="Times New Roman"/>
                <w:sz w:val="20"/>
                <w:szCs w:val="20"/>
                <w:color w:val="auto"/>
              </w:rPr>
              <w:t>ABN 12 004 044 937 by its )</w:t>
            </w:r>
          </w:p>
        </w:tc>
        <w:tc>
          <w:tcPr>
            <w:tcW w:w="5260" w:type="dxa"/>
            <w:vAlign w:val="bottom"/>
          </w:tcPr>
          <w:p>
            <w:pPr>
              <w:spacing w:after="0"/>
              <w:rPr>
                <w:sz w:val="20"/>
                <w:szCs w:val="20"/>
                <w:color w:val="auto"/>
              </w:rPr>
            </w:pPr>
          </w:p>
        </w:tc>
      </w:tr>
      <w:tr>
        <w:trPr>
          <w:trHeight w:val="229"/>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Attorney who holds the position of Level )</w:t>
            </w:r>
          </w:p>
        </w:tc>
        <w:tc>
          <w:tcPr>
            <w:tcW w:w="5260" w:type="dxa"/>
            <w:vAlign w:val="bottom"/>
          </w:tcPr>
          <w:p>
            <w:pPr>
              <w:spacing w:after="0"/>
              <w:rPr>
                <w:sz w:val="19"/>
                <w:szCs w:val="19"/>
                <w:color w:val="auto"/>
              </w:rPr>
            </w:pP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 Attorney under Power of Attorney )</w:t>
            </w:r>
          </w:p>
        </w:tc>
        <w:tc>
          <w:tcPr>
            <w:tcW w:w="5260" w:type="dxa"/>
            <w:vAlign w:val="bottom"/>
          </w:tcPr>
          <w:p>
            <w:pPr>
              <w:spacing w:after="0"/>
              <w:rPr>
                <w:sz w:val="19"/>
                <w:szCs w:val="19"/>
                <w:color w:val="auto"/>
              </w:rPr>
            </w:pPr>
          </w:p>
        </w:tc>
      </w:tr>
      <w:tr>
        <w:trPr>
          <w:trHeight w:val="258"/>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1/3/2007 in the presence of: )</w:t>
            </w:r>
          </w:p>
        </w:tc>
        <w:tc>
          <w:tcPr>
            <w:tcW w:w="5260" w:type="dxa"/>
            <w:vAlign w:val="bottom"/>
          </w:tcPr>
          <w:p>
            <w:pPr>
              <w:spacing w:after="0"/>
              <w:rPr>
                <w:sz w:val="22"/>
                <w:szCs w:val="22"/>
                <w:color w:val="auto"/>
              </w:rPr>
            </w:pPr>
          </w:p>
        </w:tc>
      </w:tr>
      <w:tr>
        <w:trPr>
          <w:trHeight w:val="660"/>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Witness</w:t>
            </w:r>
          </w:p>
        </w:tc>
        <w:tc>
          <w:tcPr>
            <w:tcW w:w="1040" w:type="dxa"/>
            <w:vAlign w:val="bottom"/>
          </w:tcPr>
          <w:p>
            <w:pPr>
              <w:spacing w:after="0"/>
              <w:rPr>
                <w:sz w:val="19"/>
                <w:szCs w:val="19"/>
                <w:color w:val="auto"/>
              </w:rPr>
            </w:pPr>
          </w:p>
        </w:tc>
        <w:tc>
          <w:tcPr>
            <w:tcW w:w="526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Attorney</w:t>
            </w:r>
          </w:p>
        </w:tc>
      </w:tr>
      <w:tr>
        <w:trPr>
          <w:trHeight w:val="229"/>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26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 of Witness (print)</w:t>
            </w:r>
          </w:p>
        </w:tc>
        <w:tc>
          <w:tcPr>
            <w:tcW w:w="1040" w:type="dxa"/>
            <w:vAlign w:val="bottom"/>
          </w:tcPr>
          <w:p>
            <w:pPr>
              <w:spacing w:after="0"/>
              <w:rPr>
                <w:sz w:val="22"/>
                <w:szCs w:val="22"/>
                <w:color w:val="auto"/>
              </w:rPr>
            </w:pPr>
          </w:p>
        </w:tc>
        <w:tc>
          <w:tcPr>
            <w:tcW w:w="526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 of Attorney (print)</w:t>
            </w:r>
          </w:p>
        </w:tc>
      </w:tr>
      <w:tr>
        <w:trPr>
          <w:trHeight w:val="777"/>
        </w:trPr>
        <w:tc>
          <w:tcPr>
            <w:tcW w:w="2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5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3">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9" w:name="page50"/>
    <w:bookmarkEnd w:id="49"/>
    <w:p>
      <w:pPr>
        <w:ind w:left="80"/>
        <w:spacing w:after="0"/>
        <w:rPr>
          <w:sz w:val="20"/>
          <w:szCs w:val="20"/>
          <w:color w:val="auto"/>
        </w:rPr>
      </w:pPr>
      <w:r>
        <w:rPr>
          <w:rFonts w:ascii="Times New Roman" w:cs="Times New Roman" w:eastAsia="Times New Roman" w:hAnsi="Times New Roman"/>
          <w:sz w:val="29"/>
          <w:szCs w:val="29"/>
          <w:color w:val="auto"/>
        </w:rPr>
        <w:t>Annexure</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color w:val="auto"/>
        </w:rPr>
        <w:t>Amended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212090</wp:posOffset>
            </wp:positionV>
            <wp:extent cx="566610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4">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jc w:val="right"/>
        <w:ind w:right="1639"/>
        <w:spacing w:after="0"/>
        <w:rPr>
          <w:sz w:val="20"/>
          <w:szCs w:val="20"/>
          <w:color w:val="auto"/>
        </w:rPr>
      </w:pPr>
      <w:r>
        <w:rPr>
          <w:rFonts w:ascii="Times New Roman" w:cs="Times New Roman" w:eastAsia="Times New Roman" w:hAnsi="Times New Roman"/>
          <w:sz w:val="15"/>
          <w:szCs w:val="15"/>
          <w:color w:val="auto"/>
        </w:rPr>
        <w:t>567 Collins Street, Melbourne VIC 3000, Australia</w:t>
      </w:r>
    </w:p>
    <w:p>
      <w:pPr>
        <w:jc w:val="right"/>
        <w:ind w:right="1639"/>
        <w:spacing w:after="0" w:line="233" w:lineRule="auto"/>
        <w:rPr>
          <w:sz w:val="20"/>
          <w:szCs w:val="20"/>
          <w:color w:val="auto"/>
        </w:rPr>
      </w:pPr>
      <w:r>
        <w:rPr>
          <w:rFonts w:ascii="Times New Roman" w:cs="Times New Roman" w:eastAsia="Times New Roman" w:hAnsi="Times New Roman"/>
          <w:sz w:val="15"/>
          <w:szCs w:val="15"/>
          <w:color w:val="auto"/>
        </w:rPr>
        <w:t>GPO Box 9925, Melbourne VIC 3001, Australia</w:t>
      </w:r>
    </w:p>
    <w:p>
      <w:pPr>
        <w:jc w:val="right"/>
        <w:ind w:right="1639"/>
        <w:spacing w:after="0" w:line="225" w:lineRule="auto"/>
        <w:rPr>
          <w:sz w:val="20"/>
          <w:szCs w:val="20"/>
          <w:color w:val="auto"/>
        </w:rPr>
      </w:pPr>
      <w:r>
        <w:rPr>
          <w:rFonts w:ascii="Times New Roman" w:cs="Times New Roman" w:eastAsia="Times New Roman" w:hAnsi="Times New Roman"/>
          <w:sz w:val="15"/>
          <w:szCs w:val="15"/>
          <w:color w:val="auto"/>
        </w:rPr>
        <w:t>Tel +61 3 9672 3000</w:t>
      </w:r>
    </w:p>
    <w:p>
      <w:pPr>
        <w:jc w:val="right"/>
        <w:ind w:right="1639"/>
        <w:spacing w:after="0" w:line="225" w:lineRule="auto"/>
        <w:rPr>
          <w:sz w:val="20"/>
          <w:szCs w:val="20"/>
          <w:color w:val="auto"/>
        </w:rPr>
      </w:pPr>
      <w:r>
        <w:rPr>
          <w:rFonts w:ascii="Times New Roman" w:cs="Times New Roman" w:eastAsia="Times New Roman" w:hAnsi="Times New Roman"/>
          <w:sz w:val="15"/>
          <w:szCs w:val="15"/>
          <w:color w:val="auto"/>
        </w:rPr>
        <w:t>Fax +61 3 9672 3010</w:t>
      </w:r>
    </w:p>
    <w:p>
      <w:pPr>
        <w:spacing w:after="0" w:line="1"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15"/>
          <w:szCs w:val="15"/>
          <w:color w:val="auto"/>
        </w:rPr>
        <w:t>www.corrs.com.au</w:t>
      </w:r>
    </w:p>
    <w:p>
      <w:pPr>
        <w:spacing w:after="0" w:line="200" w:lineRule="exact"/>
        <w:rPr>
          <w:sz w:val="20"/>
          <w:szCs w:val="20"/>
          <w:color w:val="auto"/>
        </w:rPr>
      </w:pPr>
    </w:p>
    <w:p>
      <w:pPr>
        <w:spacing w:after="0" w:line="23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5"/>
          <w:szCs w:val="15"/>
          <w:color w:val="auto"/>
        </w:rPr>
        <w:t>Sydney</w:t>
      </w:r>
    </w:p>
    <w:p>
      <w:pPr>
        <w:jc w:val="right"/>
        <w:ind w:right="79"/>
        <w:spacing w:after="0" w:line="233" w:lineRule="auto"/>
        <w:rPr>
          <w:sz w:val="20"/>
          <w:szCs w:val="20"/>
          <w:color w:val="auto"/>
        </w:rPr>
      </w:pPr>
      <w:r>
        <w:rPr>
          <w:rFonts w:ascii="Times New Roman" w:cs="Times New Roman" w:eastAsia="Times New Roman" w:hAnsi="Times New Roman"/>
          <w:sz w:val="15"/>
          <w:szCs w:val="15"/>
          <w:color w:val="auto"/>
        </w:rPr>
        <w:t>Melbourne</w:t>
      </w:r>
    </w:p>
    <w:p>
      <w:pPr>
        <w:jc w:val="right"/>
        <w:ind w:right="79"/>
        <w:spacing w:after="0" w:line="225" w:lineRule="auto"/>
        <w:rPr>
          <w:sz w:val="20"/>
          <w:szCs w:val="20"/>
          <w:color w:val="auto"/>
        </w:rPr>
      </w:pPr>
      <w:r>
        <w:rPr>
          <w:rFonts w:ascii="Times New Roman" w:cs="Times New Roman" w:eastAsia="Times New Roman" w:hAnsi="Times New Roman"/>
          <w:sz w:val="15"/>
          <w:szCs w:val="15"/>
          <w:color w:val="auto"/>
        </w:rPr>
        <w:t>Brisbane</w:t>
      </w:r>
    </w:p>
    <w:p>
      <w:pPr>
        <w:jc w:val="right"/>
        <w:ind w:right="79"/>
        <w:spacing w:after="0" w:line="225" w:lineRule="auto"/>
        <w:rPr>
          <w:sz w:val="20"/>
          <w:szCs w:val="20"/>
          <w:color w:val="auto"/>
        </w:rPr>
      </w:pPr>
      <w:r>
        <w:rPr>
          <w:rFonts w:ascii="Times New Roman" w:cs="Times New Roman" w:eastAsia="Times New Roman" w:hAnsi="Times New Roman"/>
          <w:sz w:val="15"/>
          <w:szCs w:val="15"/>
          <w:color w:val="auto"/>
        </w:rPr>
        <w:t>Perth</w:t>
      </w:r>
    </w:p>
    <w:p>
      <w:pPr>
        <w:spacing w:after="0" w:line="1"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5"/>
          <w:szCs w:val="15"/>
          <w:color w:val="auto"/>
        </w:rPr>
        <w:t>Port Moresby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Annexure A – Amended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13970</wp:posOffset>
            </wp:positionV>
            <wp:extent cx="56235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69" w:lineRule="exact"/>
        <w:rPr>
          <w:sz w:val="20"/>
          <w:szCs w:val="20"/>
          <w:color w:val="auto"/>
        </w:rPr>
      </w:pPr>
    </w:p>
    <w:p>
      <w:pPr>
        <w:ind w:left="80" w:right="3759"/>
        <w:spacing w:after="0" w:line="343" w:lineRule="auto"/>
        <w:rPr>
          <w:sz w:val="20"/>
          <w:szCs w:val="20"/>
          <w:color w:val="auto"/>
        </w:rPr>
      </w:pPr>
      <w:r>
        <w:rPr>
          <w:rFonts w:ascii="Times New Roman" w:cs="Times New Roman" w:eastAsia="Times New Roman" w:hAnsi="Times New Roman"/>
          <w:sz w:val="32"/>
          <w:szCs w:val="32"/>
          <w:color w:val="auto"/>
        </w:rPr>
        <w:t>National Australia Bank Limited Reading Entertainment Australia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-349885</wp:posOffset>
            </wp:positionV>
            <wp:extent cx="56235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-41275</wp:posOffset>
            </wp:positionV>
            <wp:extent cx="56235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25" w:lineRule="exact"/>
        <w:rPr>
          <w:sz w:val="20"/>
          <w:szCs w:val="20"/>
          <w:color w:val="auto"/>
        </w:rPr>
      </w:pPr>
    </w:p>
    <w:p>
      <w:pPr>
        <w:ind w:left="80" w:right="3519"/>
        <w:spacing w:after="0" w:line="253" w:lineRule="auto"/>
        <w:rPr>
          <w:sz w:val="20"/>
          <w:szCs w:val="20"/>
          <w:color w:val="auto"/>
        </w:rPr>
      </w:pPr>
      <w:r>
        <w:rPr>
          <w:rFonts w:ascii="Times New Roman" w:cs="Times New Roman" w:eastAsia="Times New Roman" w:hAnsi="Times New Roman"/>
          <w:sz w:val="72"/>
          <w:szCs w:val="72"/>
          <w:color w:val="auto"/>
        </w:rPr>
        <w:t>Corporate Markets Loan &amp; Bank Guarantee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287020</wp:posOffset>
            </wp:positionV>
            <wp:extent cx="566610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8">
                      <a:extLst>
                        <a:ext uri="{28A0092B-C50C-407E-A947-70E740481C1C}"/>
                      </a:extLst>
                    </a:blip>
                    <a:srcRect/>
                    <a:stretch>
                      <a:fillRect/>
                    </a:stretch>
                  </pic:blipFill>
                  <pic:spPr bwMode="auto">
                    <a:xfrm>
                      <a:off x="0" y="0"/>
                      <a:ext cx="5666105" cy="508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51" w:name="page52"/>
    <w:bookmarkEnd w:id="51"/>
    <w:p>
      <w:pPr>
        <w:ind w:left="80"/>
        <w:spacing w:after="0"/>
        <w:rPr>
          <w:sz w:val="20"/>
          <w:szCs w:val="20"/>
          <w:color w:val="auto"/>
        </w:rPr>
      </w:pPr>
      <w:r>
        <w:rPr>
          <w:rFonts w:ascii="Times New Roman" w:cs="Times New Roman" w:eastAsia="Times New Roman" w:hAnsi="Times New Roman"/>
          <w:sz w:val="32"/>
          <w:szCs w:val="32"/>
          <w:color w:val="auto"/>
        </w:rPr>
        <w:t>Contents</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0000EE"/>
              </w:rPr>
              <w:t>1</w:t>
            </w:r>
          </w:p>
        </w:tc>
        <w:tc>
          <w:tcPr>
            <w:tcW w:w="6700" w:type="dxa"/>
            <w:vAlign w:val="bottom"/>
            <w:gridSpan w:val="33"/>
          </w:tcPr>
          <w:p>
            <w:pPr>
              <w:spacing w:after="0"/>
              <w:rPr>
                <w:sz w:val="20"/>
                <w:szCs w:val="20"/>
                <w:color w:val="auto"/>
              </w:rPr>
            </w:pPr>
            <w:r>
              <w:rPr>
                <w:rFonts w:ascii="Times New Roman" w:cs="Times New Roman" w:eastAsia="Times New Roman" w:hAnsi="Times New Roman"/>
                <w:sz w:val="20"/>
                <w:szCs w:val="20"/>
                <w:b w:val="1"/>
                <w:bCs w:val="1"/>
                <w:color w:val="0000EE"/>
              </w:rPr>
              <w:t>Interpretation</w:t>
            </w:r>
          </w:p>
        </w:tc>
        <w:tc>
          <w:tcPr>
            <w:tcW w:w="146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 w:type="dxa"/>
            <w:vAlign w:val="bottom"/>
            <w:gridSpan w:val="3"/>
          </w:tcPr>
          <w:p>
            <w:pPr>
              <w:spacing w:after="0"/>
              <w:rPr>
                <w:sz w:val="15"/>
                <w:szCs w:val="15"/>
                <w:color w:val="auto"/>
              </w:rPr>
            </w:pPr>
          </w:p>
        </w:tc>
        <w:tc>
          <w:tcPr>
            <w:tcW w:w="2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20"/>
                <w:szCs w:val="20"/>
                <w:color w:val="0000EE"/>
                <w:w w:val="87"/>
              </w:rPr>
              <w:t>1.</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20"/>
                <w:szCs w:val="20"/>
                <w:color w:val="0000EE"/>
                <w:w w:val="97"/>
              </w:rPr>
              <w:t>Definitions</w:t>
            </w:r>
          </w:p>
        </w:tc>
        <w:tc>
          <w:tcPr>
            <w:tcW w:w="4920" w:type="dxa"/>
            <w:vAlign w:val="bottom"/>
            <w:gridSpan w:val="21"/>
          </w:tcPr>
          <w:p>
            <w:pPr>
              <w:spacing w:after="0"/>
              <w:rPr>
                <w:sz w:val="15"/>
                <w:szCs w:val="15"/>
                <w:color w:val="auto"/>
              </w:rPr>
            </w:pPr>
          </w:p>
        </w:tc>
        <w:tc>
          <w:tcPr>
            <w:tcW w:w="146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1.</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0000EE"/>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EE"/>
                <w:w w:val="98"/>
              </w:rPr>
              <w:t>Construction</w:t>
            </w:r>
          </w:p>
        </w:tc>
        <w:tc>
          <w:tcPr>
            <w:tcW w:w="4780" w:type="dxa"/>
            <w:vAlign w:val="bottom"/>
            <w:gridSpan w:val="18"/>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1.</w:t>
            </w:r>
            <w:r>
              <w:rPr>
                <w:rFonts w:ascii="Times New Roman" w:cs="Times New Roman" w:eastAsia="Times New Roman" w:hAnsi="Times New Roman"/>
                <w:sz w:val="20"/>
                <w:szCs w:val="20"/>
                <w:u w:val="single" w:color="auto"/>
                <w:color w:val="0000EE"/>
                <w:w w:val="87"/>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0000EE"/>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EE"/>
                <w:w w:val="97"/>
              </w:rPr>
              <w:t>Headings</w:t>
            </w:r>
          </w:p>
        </w:tc>
        <w:tc>
          <w:tcPr>
            <w:tcW w:w="5060" w:type="dxa"/>
            <w:vAlign w:val="bottom"/>
            <w:gridSpan w:val="22"/>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1.</w:t>
            </w:r>
            <w:r>
              <w:rPr>
                <w:rFonts w:ascii="Times New Roman" w:cs="Times New Roman" w:eastAsia="Times New Roman" w:hAnsi="Times New Roman"/>
                <w:sz w:val="20"/>
                <w:szCs w:val="20"/>
                <w:u w:val="single" w:color="auto"/>
                <w:color w:val="0000EE"/>
                <w:w w:val="87"/>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Corporations Act, GST and Accounting Standards</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vMerge w:val="continue"/>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1.</w:t>
            </w:r>
            <w:r>
              <w:rPr>
                <w:rFonts w:ascii="Times New Roman" w:cs="Times New Roman" w:eastAsia="Times New Roman" w:hAnsi="Times New Roman"/>
                <w:sz w:val="20"/>
                <w:szCs w:val="20"/>
                <w:u w:val="single" w:color="auto"/>
                <w:color w:val="0000EE"/>
                <w:w w:val="87"/>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Borders>
              <w:bottom w:val="single" w:sz="8" w:color="0000EE"/>
            </w:tcBorders>
            <w:gridSpan w:val="27"/>
          </w:tcPr>
          <w:p>
            <w:pPr>
              <w:spacing w:after="0" w:line="209" w:lineRule="exact"/>
              <w:rPr>
                <w:sz w:val="20"/>
                <w:szCs w:val="20"/>
                <w:color w:val="auto"/>
              </w:rPr>
            </w:pPr>
            <w:r>
              <w:rPr>
                <w:rFonts w:ascii="Times New Roman" w:cs="Times New Roman" w:eastAsia="Times New Roman" w:hAnsi="Times New Roman"/>
                <w:sz w:val="20"/>
                <w:szCs w:val="20"/>
                <w:color w:val="0000EE"/>
                <w:w w:val="98"/>
              </w:rPr>
              <w:t>Subsisting Events of Default and Potential Events of Default</w:t>
            </w:r>
          </w:p>
        </w:tc>
        <w:tc>
          <w:tcPr>
            <w:tcW w:w="10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1.</w:t>
            </w:r>
            <w:r>
              <w:rPr>
                <w:rFonts w:ascii="Times New Roman" w:cs="Times New Roman" w:eastAsia="Times New Roman" w:hAnsi="Times New Roman"/>
                <w:sz w:val="20"/>
                <w:szCs w:val="20"/>
                <w:u w:val="single" w:color="auto"/>
                <w:color w:val="0000EE"/>
                <w:w w:val="87"/>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0000EE"/>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EE"/>
                <w:w w:val="97"/>
              </w:rPr>
              <w:t>Not used</w:t>
            </w:r>
          </w:p>
        </w:tc>
        <w:tc>
          <w:tcPr>
            <w:tcW w:w="5100" w:type="dxa"/>
            <w:vAlign w:val="bottom"/>
            <w:gridSpan w:val="23"/>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1.</w:t>
            </w:r>
            <w:r>
              <w:rPr>
                <w:rFonts w:ascii="Times New Roman" w:cs="Times New Roman" w:eastAsia="Times New Roman" w:hAnsi="Times New Roman"/>
                <w:sz w:val="20"/>
                <w:szCs w:val="20"/>
                <w:u w:val="single" w:color="auto"/>
                <w:color w:val="0000EE"/>
                <w:w w:val="87"/>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0000EE"/>
            </w:tcBorders>
            <w:gridSpan w:val="12"/>
          </w:tcPr>
          <w:p>
            <w:pPr>
              <w:spacing w:after="0" w:line="209" w:lineRule="exact"/>
              <w:rPr>
                <w:sz w:val="20"/>
                <w:szCs w:val="20"/>
                <w:color w:val="auto"/>
              </w:rPr>
            </w:pPr>
            <w:r>
              <w:rPr>
                <w:rFonts w:ascii="Times New Roman" w:cs="Times New Roman" w:eastAsia="Times New Roman" w:hAnsi="Times New Roman"/>
                <w:sz w:val="20"/>
                <w:szCs w:val="20"/>
                <w:color w:val="0000EE"/>
                <w:w w:val="98"/>
              </w:rPr>
              <w:t>Inconsistency</w:t>
            </w:r>
          </w:p>
        </w:tc>
        <w:tc>
          <w:tcPr>
            <w:tcW w:w="4720" w:type="dxa"/>
            <w:vAlign w:val="bottom"/>
            <w:gridSpan w:val="16"/>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ind w:left="120"/>
              <w:spacing w:after="0" w:line="209" w:lineRule="exact"/>
              <w:rPr>
                <w:sz w:val="20"/>
                <w:szCs w:val="20"/>
                <w:color w:val="auto"/>
              </w:rPr>
            </w:pPr>
            <w:r>
              <w:rPr>
                <w:rFonts w:ascii="Times New Roman" w:cs="Times New Roman" w:eastAsia="Times New Roman" w:hAnsi="Times New Roman"/>
                <w:sz w:val="20"/>
                <w:szCs w:val="20"/>
                <w:b w:val="1"/>
                <w:bCs w:val="1"/>
                <w:color w:val="0000EE"/>
              </w:rPr>
              <w:t>2</w:t>
            </w:r>
          </w:p>
        </w:tc>
        <w:tc>
          <w:tcPr>
            <w:tcW w:w="6700" w:type="dxa"/>
            <w:vAlign w:val="bottom"/>
            <w:gridSpan w:val="33"/>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Consideration</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 w:type="dxa"/>
            <w:vAlign w:val="bottom"/>
            <w:gridSpan w:val="3"/>
          </w:tcPr>
          <w:p>
            <w:pPr>
              <w:ind w:left="120"/>
              <w:spacing w:after="0" w:line="183" w:lineRule="exact"/>
              <w:rPr>
                <w:sz w:val="20"/>
                <w:szCs w:val="20"/>
                <w:color w:val="auto"/>
              </w:rPr>
            </w:pPr>
            <w:r>
              <w:rPr>
                <w:rFonts w:ascii="Times New Roman" w:cs="Times New Roman" w:eastAsia="Times New Roman" w:hAnsi="Times New Roman"/>
                <w:sz w:val="20"/>
                <w:szCs w:val="20"/>
                <w:b w:val="1"/>
                <w:bCs w:val="1"/>
                <w:color w:val="0000EE"/>
              </w:rPr>
              <w:t>3</w:t>
            </w:r>
          </w:p>
        </w:tc>
        <w:tc>
          <w:tcPr>
            <w:tcW w:w="6700" w:type="dxa"/>
            <w:vAlign w:val="bottom"/>
            <w:gridSpan w:val="33"/>
          </w:tcPr>
          <w:p>
            <w:pPr>
              <w:spacing w:after="0" w:line="183" w:lineRule="exact"/>
              <w:rPr>
                <w:sz w:val="20"/>
                <w:szCs w:val="20"/>
                <w:color w:val="auto"/>
              </w:rPr>
            </w:pPr>
            <w:r>
              <w:rPr>
                <w:rFonts w:ascii="Times New Roman" w:cs="Times New Roman" w:eastAsia="Times New Roman" w:hAnsi="Times New Roman"/>
                <w:sz w:val="20"/>
                <w:szCs w:val="20"/>
                <w:b w:val="1"/>
                <w:bCs w:val="1"/>
                <w:color w:val="0000EE"/>
              </w:rPr>
              <w:t>Conditions precedent</w:t>
            </w:r>
          </w:p>
        </w:tc>
        <w:tc>
          <w:tcPr>
            <w:tcW w:w="146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 w:type="dxa"/>
            <w:vAlign w:val="bottom"/>
            <w:gridSpan w:val="3"/>
          </w:tcPr>
          <w:p>
            <w:pPr>
              <w:spacing w:after="0"/>
              <w:rPr>
                <w:sz w:val="15"/>
                <w:szCs w:val="15"/>
                <w:color w:val="auto"/>
              </w:rPr>
            </w:pPr>
          </w:p>
        </w:tc>
        <w:tc>
          <w:tcPr>
            <w:tcW w:w="2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20"/>
                <w:szCs w:val="20"/>
                <w:color w:val="0000EE"/>
                <w:w w:val="87"/>
              </w:rPr>
              <w:t>3.</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20"/>
                <w:szCs w:val="20"/>
                <w:color w:val="0000EE"/>
                <w:w w:val="97"/>
              </w:rPr>
              <w:t>Not used</w:t>
            </w:r>
          </w:p>
        </w:tc>
        <w:tc>
          <w:tcPr>
            <w:tcW w:w="5100" w:type="dxa"/>
            <w:vAlign w:val="bottom"/>
            <w:gridSpan w:val="23"/>
          </w:tcPr>
          <w:p>
            <w:pPr>
              <w:spacing w:after="0"/>
              <w:rPr>
                <w:sz w:val="15"/>
                <w:szCs w:val="15"/>
                <w:color w:val="auto"/>
              </w:rPr>
            </w:pPr>
          </w:p>
        </w:tc>
        <w:tc>
          <w:tcPr>
            <w:tcW w:w="146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3.</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Conditions precedent to Advances and Drawings</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0000EE"/>
              </w:rPr>
              <w:t>4</w:t>
            </w: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vMerge w:val="continue"/>
          </w:tcPr>
          <w:p>
            <w:pPr>
              <w:spacing w:after="0"/>
              <w:rPr>
                <w:sz w:val="18"/>
                <w:szCs w:val="18"/>
                <w:color w:val="auto"/>
              </w:rPr>
            </w:pPr>
          </w:p>
        </w:tc>
        <w:tc>
          <w:tcPr>
            <w:tcW w:w="88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Facility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 w:type="dxa"/>
            <w:vAlign w:val="bottom"/>
            <w:gridSpan w:val="3"/>
          </w:tcPr>
          <w:p>
            <w:pPr>
              <w:spacing w:after="0"/>
              <w:rPr>
                <w:sz w:val="15"/>
                <w:szCs w:val="15"/>
                <w:color w:val="auto"/>
              </w:rPr>
            </w:pPr>
          </w:p>
        </w:tc>
        <w:tc>
          <w:tcPr>
            <w:tcW w:w="2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20" w:type="dxa"/>
            <w:vAlign w:val="bottom"/>
            <w:gridSpan w:val="28"/>
          </w:tcPr>
          <w:p>
            <w:pPr>
              <w:spacing w:after="0" w:line="183" w:lineRule="exact"/>
              <w:rPr>
                <w:sz w:val="20"/>
                <w:szCs w:val="20"/>
                <w:color w:val="auto"/>
              </w:rPr>
            </w:pPr>
            <w:r>
              <w:rPr>
                <w:rFonts w:ascii="Times New Roman" w:cs="Times New Roman" w:eastAsia="Times New Roman" w:hAnsi="Times New Roman"/>
                <w:sz w:val="20"/>
                <w:szCs w:val="20"/>
                <w:color w:val="0000EE"/>
              </w:rPr>
              <w:t>Nature</w:t>
            </w:r>
          </w:p>
        </w:tc>
        <w:tc>
          <w:tcPr>
            <w:tcW w:w="146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vMerge w:val="continue"/>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Purpose</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Borders>
              <w:bottom w:val="single" w:sz="8" w:color="0000EE"/>
            </w:tcBorders>
            <w:gridSpan w:val="20"/>
          </w:tcPr>
          <w:p>
            <w:pPr>
              <w:spacing w:after="0" w:line="209" w:lineRule="exact"/>
              <w:rPr>
                <w:sz w:val="20"/>
                <w:szCs w:val="20"/>
                <w:color w:val="auto"/>
              </w:rPr>
            </w:pPr>
            <w:r>
              <w:rPr>
                <w:rFonts w:ascii="Times New Roman" w:cs="Times New Roman" w:eastAsia="Times New Roman" w:hAnsi="Times New Roman"/>
                <w:sz w:val="20"/>
                <w:szCs w:val="20"/>
                <w:color w:val="0000EE"/>
                <w:w w:val="99"/>
              </w:rPr>
              <w:t>Advances and Drawings</w:t>
            </w:r>
          </w:p>
        </w:tc>
        <w:tc>
          <w:tcPr>
            <w:tcW w:w="3860" w:type="dxa"/>
            <w:vAlign w:val="bottom"/>
            <w:gridSpan w:val="8"/>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Funding Notices</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0000EE"/>
              <w:bottom w:val="single" w:sz="8" w:color="0000EE"/>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EE"/>
                <w:w w:val="97"/>
              </w:rPr>
              <w:t>Not used</w:t>
            </w:r>
          </w:p>
        </w:tc>
        <w:tc>
          <w:tcPr>
            <w:tcW w:w="600" w:type="dxa"/>
            <w:vAlign w:val="bottom"/>
            <w:tcBorders>
              <w:top w:val="single" w:sz="8" w:color="0000EE"/>
            </w:tcBorders>
            <w:gridSpan w:val="9"/>
          </w:tcPr>
          <w:p>
            <w:pPr>
              <w:spacing w:after="0"/>
              <w:rPr>
                <w:sz w:val="18"/>
                <w:szCs w:val="18"/>
                <w:color w:val="auto"/>
              </w:rPr>
            </w:pPr>
          </w:p>
        </w:tc>
        <w:tc>
          <w:tcPr>
            <w:tcW w:w="4500" w:type="dxa"/>
            <w:vAlign w:val="bottom"/>
            <w:gridSpan w:val="14"/>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gridSpan w:val="3"/>
          </w:tcPr>
          <w:p>
            <w:pPr>
              <w:spacing w:after="0"/>
              <w:rPr>
                <w:sz w:val="20"/>
                <w:szCs w:val="20"/>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7"/>
              </w:rPr>
              <w:t>Not used</w:t>
            </w:r>
          </w:p>
        </w:tc>
        <w:tc>
          <w:tcPr>
            <w:tcW w:w="5100" w:type="dxa"/>
            <w:vAlign w:val="bottom"/>
            <w:gridSpan w:val="23"/>
          </w:tcPr>
          <w:p>
            <w:pPr>
              <w:spacing w:after="0"/>
              <w:rPr>
                <w:sz w:val="20"/>
                <w:szCs w:val="20"/>
                <w:color w:val="auto"/>
              </w:rPr>
            </w:pPr>
          </w:p>
        </w:tc>
        <w:tc>
          <w:tcPr>
            <w:tcW w:w="1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0000EE"/>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EE"/>
                <w:w w:val="97"/>
              </w:rPr>
              <w:t>Not used</w:t>
            </w:r>
          </w:p>
        </w:tc>
        <w:tc>
          <w:tcPr>
            <w:tcW w:w="5100" w:type="dxa"/>
            <w:vAlign w:val="bottom"/>
            <w:gridSpan w:val="23"/>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Bank Guarantee Facilities</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Borders>
              <w:top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4.</w:t>
            </w:r>
            <w:r>
              <w:rPr>
                <w:rFonts w:ascii="Times New Roman" w:cs="Times New Roman" w:eastAsia="Times New Roman" w:hAnsi="Times New Roman"/>
                <w:sz w:val="20"/>
                <w:szCs w:val="20"/>
                <w:u w:val="single" w:color="auto"/>
                <w:color w:val="0000EE"/>
                <w:w w:val="87"/>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Borders>
              <w:top w:val="single" w:sz="8" w:color="0000EE"/>
            </w:tcBorders>
            <w:gridSpan w:val="21"/>
          </w:tcPr>
          <w:p>
            <w:pPr>
              <w:spacing w:after="0" w:line="209" w:lineRule="exact"/>
              <w:rPr>
                <w:sz w:val="20"/>
                <w:szCs w:val="20"/>
                <w:color w:val="auto"/>
              </w:rPr>
            </w:pPr>
            <w:r>
              <w:rPr>
                <w:rFonts w:ascii="Times New Roman" w:cs="Times New Roman" w:eastAsia="Times New Roman" w:hAnsi="Times New Roman"/>
                <w:sz w:val="20"/>
                <w:szCs w:val="20"/>
                <w:color w:val="0000EE"/>
              </w:rPr>
              <w:t>Cancellation</w:t>
            </w:r>
          </w:p>
        </w:tc>
        <w:tc>
          <w:tcPr>
            <w:tcW w:w="3760" w:type="dxa"/>
            <w:vAlign w:val="bottom"/>
            <w:gridSpan w:val="7"/>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34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1"/>
              </w:rPr>
              <w:t>4.</w:t>
            </w:r>
            <w:r>
              <w:rPr>
                <w:rFonts w:ascii="Times New Roman" w:cs="Times New Roman" w:eastAsia="Times New Roman" w:hAnsi="Times New Roman"/>
                <w:sz w:val="20"/>
                <w:szCs w:val="20"/>
                <w:u w:val="single" w:color="auto"/>
                <w:color w:val="0000EE"/>
                <w:w w:val="91"/>
              </w:rPr>
              <w:t>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0000EE"/>
            </w:tcBorders>
            <w:gridSpan w:val="15"/>
          </w:tcPr>
          <w:p>
            <w:pPr>
              <w:spacing w:after="0" w:line="209" w:lineRule="exact"/>
              <w:rPr>
                <w:sz w:val="20"/>
                <w:szCs w:val="20"/>
                <w:color w:val="auto"/>
              </w:rPr>
            </w:pPr>
            <w:r>
              <w:rPr>
                <w:rFonts w:ascii="Times New Roman" w:cs="Times New Roman" w:eastAsia="Times New Roman" w:hAnsi="Times New Roman"/>
                <w:sz w:val="20"/>
                <w:szCs w:val="20"/>
                <w:color w:val="0000EE"/>
                <w:w w:val="98"/>
              </w:rPr>
              <w:t>Market disruption</w:t>
            </w:r>
          </w:p>
        </w:tc>
        <w:tc>
          <w:tcPr>
            <w:tcW w:w="4280" w:type="dxa"/>
            <w:vAlign w:val="bottom"/>
            <w:gridSpan w:val="12"/>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1"/>
              </w:rPr>
              <w:t>4.</w:t>
            </w:r>
            <w:r>
              <w:rPr>
                <w:rFonts w:ascii="Times New Roman" w:cs="Times New Roman" w:eastAsia="Times New Roman" w:hAnsi="Times New Roman"/>
                <w:sz w:val="20"/>
                <w:szCs w:val="20"/>
                <w:u w:val="single" w:color="auto"/>
                <w:color w:val="0000EE"/>
                <w:w w:val="91"/>
              </w:rPr>
              <w:t>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gridSpan w:val="27"/>
          </w:tcPr>
          <w:p>
            <w:pPr>
              <w:spacing w:after="0" w:line="209" w:lineRule="exact"/>
              <w:rPr>
                <w:sz w:val="20"/>
                <w:szCs w:val="20"/>
                <w:color w:val="auto"/>
              </w:rPr>
            </w:pPr>
            <w:r>
              <w:rPr>
                <w:rFonts w:ascii="Times New Roman" w:cs="Times New Roman" w:eastAsia="Times New Roman" w:hAnsi="Times New Roman"/>
                <w:sz w:val="20"/>
                <w:szCs w:val="20"/>
                <w:color w:val="0000EE"/>
              </w:rPr>
              <w:t>Alternative basis of interest or funding</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340" w:type="dxa"/>
            <w:vAlign w:val="bottom"/>
            <w:tcBorders>
              <w:top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1"/>
              </w:rPr>
              <w:t>4.</w:t>
            </w:r>
            <w:r>
              <w:rPr>
                <w:rFonts w:ascii="Times New Roman" w:cs="Times New Roman" w:eastAsia="Times New Roman" w:hAnsi="Times New Roman"/>
                <w:sz w:val="20"/>
                <w:szCs w:val="20"/>
                <w:u w:val="single" w:color="auto"/>
                <w:color w:val="0000EE"/>
                <w:w w:val="91"/>
              </w:rPr>
              <w:t>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tcBorders>
              <w:top w:val="single" w:sz="8" w:color="0000EE"/>
            </w:tcBorders>
            <w:gridSpan w:val="22"/>
          </w:tcPr>
          <w:p>
            <w:pPr>
              <w:spacing w:after="0" w:line="209" w:lineRule="exact"/>
              <w:rPr>
                <w:sz w:val="20"/>
                <w:szCs w:val="20"/>
                <w:color w:val="auto"/>
              </w:rPr>
            </w:pPr>
            <w:r>
              <w:rPr>
                <w:rFonts w:ascii="Times New Roman" w:cs="Times New Roman" w:eastAsia="Times New Roman" w:hAnsi="Times New Roman"/>
                <w:sz w:val="20"/>
                <w:szCs w:val="20"/>
                <w:color w:val="0000EE"/>
              </w:rPr>
              <w:t>Pricing Review Events</w:t>
            </w:r>
          </w:p>
        </w:tc>
        <w:tc>
          <w:tcPr>
            <w:tcW w:w="2660" w:type="dxa"/>
            <w:vAlign w:val="bottom"/>
            <w:gridSpan w:val="5"/>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1"/>
              </w:rPr>
              <w:t>4.</w:t>
            </w:r>
            <w:r>
              <w:rPr>
                <w:rFonts w:ascii="Times New Roman" w:cs="Times New Roman" w:eastAsia="Times New Roman" w:hAnsi="Times New Roman"/>
                <w:sz w:val="20"/>
                <w:szCs w:val="20"/>
                <w:u w:val="single" w:color="auto"/>
                <w:color w:val="0000EE"/>
                <w:w w:val="91"/>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gridSpan w:val="27"/>
          </w:tcPr>
          <w:p>
            <w:pPr>
              <w:spacing w:after="0" w:line="209" w:lineRule="exact"/>
              <w:rPr>
                <w:sz w:val="20"/>
                <w:szCs w:val="20"/>
                <w:color w:val="auto"/>
              </w:rPr>
            </w:pPr>
            <w:r>
              <w:rPr>
                <w:rFonts w:ascii="Times New Roman" w:cs="Times New Roman" w:eastAsia="Times New Roman" w:hAnsi="Times New Roman"/>
                <w:sz w:val="20"/>
                <w:szCs w:val="20"/>
                <w:color w:val="0000EE"/>
              </w:rPr>
              <w:t>Consequences of a Pricing Review</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0000EE"/>
              </w:rPr>
              <w:t>5</w:t>
            </w: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vMerge w:val="continue"/>
          </w:tcPr>
          <w:p>
            <w:pPr>
              <w:spacing w:after="0"/>
              <w:rPr>
                <w:sz w:val="18"/>
                <w:szCs w:val="18"/>
                <w:color w:val="auto"/>
              </w:rPr>
            </w:pPr>
          </w:p>
        </w:tc>
        <w:tc>
          <w:tcPr>
            <w:tcW w:w="88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Payments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 w:type="dxa"/>
            <w:vAlign w:val="bottom"/>
            <w:gridSpan w:val="3"/>
          </w:tcPr>
          <w:p>
            <w:pPr>
              <w:spacing w:after="0"/>
              <w:rPr>
                <w:sz w:val="15"/>
                <w:szCs w:val="15"/>
                <w:color w:val="auto"/>
              </w:rPr>
            </w:pPr>
          </w:p>
        </w:tc>
        <w:tc>
          <w:tcPr>
            <w:tcW w:w="2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20"/>
                <w:szCs w:val="20"/>
                <w:color w:val="0000EE"/>
                <w:w w:val="87"/>
              </w:rPr>
              <w:t>5.</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20"/>
                <w:szCs w:val="20"/>
                <w:color w:val="0000EE"/>
                <w:w w:val="97"/>
              </w:rPr>
              <w:t>Not used</w:t>
            </w:r>
          </w:p>
        </w:tc>
        <w:tc>
          <w:tcPr>
            <w:tcW w:w="5100" w:type="dxa"/>
            <w:vAlign w:val="bottom"/>
            <w:gridSpan w:val="23"/>
          </w:tcPr>
          <w:p>
            <w:pPr>
              <w:spacing w:after="0"/>
              <w:rPr>
                <w:sz w:val="15"/>
                <w:szCs w:val="15"/>
                <w:color w:val="auto"/>
              </w:rPr>
            </w:pPr>
          </w:p>
        </w:tc>
        <w:tc>
          <w:tcPr>
            <w:tcW w:w="146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5.</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Voluntary prepayments</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5.</w:t>
            </w:r>
            <w:r>
              <w:rPr>
                <w:rFonts w:ascii="Times New Roman" w:cs="Times New Roman" w:eastAsia="Times New Roman" w:hAnsi="Times New Roman"/>
                <w:sz w:val="20"/>
                <w:szCs w:val="20"/>
                <w:u w:val="single" w:color="auto"/>
                <w:color w:val="0000EE"/>
                <w:w w:val="87"/>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Borders>
              <w:bottom w:val="single" w:sz="8" w:color="0000EE"/>
            </w:tcBorders>
            <w:gridSpan w:val="24"/>
          </w:tcPr>
          <w:p>
            <w:pPr>
              <w:spacing w:after="0" w:line="209" w:lineRule="exact"/>
              <w:rPr>
                <w:sz w:val="20"/>
                <w:szCs w:val="20"/>
                <w:color w:val="auto"/>
              </w:rPr>
            </w:pPr>
            <w:r>
              <w:rPr>
                <w:rFonts w:ascii="Times New Roman" w:cs="Times New Roman" w:eastAsia="Times New Roman" w:hAnsi="Times New Roman"/>
                <w:sz w:val="20"/>
                <w:szCs w:val="20"/>
                <w:color w:val="0000EE"/>
                <w:w w:val="98"/>
              </w:rPr>
              <w:t>Indemnity in respect of Bank Guarantees</w:t>
            </w:r>
          </w:p>
        </w:tc>
        <w:tc>
          <w:tcPr>
            <w:tcW w:w="2560" w:type="dxa"/>
            <w:vAlign w:val="bottom"/>
            <w:gridSpan w:val="4"/>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5.</w:t>
            </w:r>
            <w:r>
              <w:rPr>
                <w:rFonts w:ascii="Times New Roman" w:cs="Times New Roman" w:eastAsia="Times New Roman" w:hAnsi="Times New Roman"/>
                <w:sz w:val="20"/>
                <w:szCs w:val="20"/>
                <w:u w:val="single" w:color="auto"/>
                <w:color w:val="0000EE"/>
                <w:w w:val="87"/>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Borders>
              <w:bottom w:val="single" w:sz="8" w:color="0000EE"/>
            </w:tcBorders>
            <w:gridSpan w:val="19"/>
          </w:tcPr>
          <w:p>
            <w:pPr>
              <w:spacing w:after="0" w:line="209" w:lineRule="exact"/>
              <w:rPr>
                <w:sz w:val="20"/>
                <w:szCs w:val="20"/>
                <w:color w:val="auto"/>
              </w:rPr>
            </w:pPr>
            <w:r>
              <w:rPr>
                <w:rFonts w:ascii="Times New Roman" w:cs="Times New Roman" w:eastAsia="Times New Roman" w:hAnsi="Times New Roman"/>
                <w:sz w:val="20"/>
                <w:szCs w:val="20"/>
                <w:color w:val="0000EE"/>
                <w:w w:val="98"/>
              </w:rPr>
              <w:t>Mandatory prepayments</w:t>
            </w:r>
          </w:p>
        </w:tc>
        <w:tc>
          <w:tcPr>
            <w:tcW w:w="3880" w:type="dxa"/>
            <w:vAlign w:val="bottom"/>
            <w:gridSpan w:val="9"/>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3"/>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5.</w:t>
            </w:r>
            <w:r>
              <w:rPr>
                <w:rFonts w:ascii="Times New Roman" w:cs="Times New Roman" w:eastAsia="Times New Roman" w:hAnsi="Times New Roman"/>
                <w:sz w:val="20"/>
                <w:szCs w:val="20"/>
                <w:u w:val="single" w:color="auto"/>
                <w:color w:val="0000EE"/>
                <w:w w:val="87"/>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Repayment</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Borders>
              <w:top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5.</w:t>
            </w:r>
            <w:r>
              <w:rPr>
                <w:rFonts w:ascii="Times New Roman" w:cs="Times New Roman" w:eastAsia="Times New Roman" w:hAnsi="Times New Roman"/>
                <w:sz w:val="20"/>
                <w:szCs w:val="20"/>
                <w:u w:val="single" w:color="auto"/>
                <w:color w:val="0000EE"/>
                <w:w w:val="87"/>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0000EE"/>
            </w:tcBorders>
            <w:gridSpan w:val="7"/>
          </w:tcPr>
          <w:p>
            <w:pPr>
              <w:spacing w:after="0" w:line="209" w:lineRule="exact"/>
              <w:rPr>
                <w:sz w:val="20"/>
                <w:szCs w:val="20"/>
                <w:color w:val="auto"/>
              </w:rPr>
            </w:pPr>
            <w:r>
              <w:rPr>
                <w:rFonts w:ascii="Times New Roman" w:cs="Times New Roman" w:eastAsia="Times New Roman" w:hAnsi="Times New Roman"/>
                <w:sz w:val="20"/>
                <w:szCs w:val="20"/>
                <w:color w:val="0000EE"/>
              </w:rPr>
              <w:t>Tranches</w:t>
            </w:r>
          </w:p>
        </w:tc>
        <w:tc>
          <w:tcPr>
            <w:tcW w:w="4920" w:type="dxa"/>
            <w:vAlign w:val="bottom"/>
            <w:gridSpan w:val="21"/>
          </w:tcPr>
          <w:p>
            <w:pPr>
              <w:spacing w:after="0"/>
              <w:rPr>
                <w:sz w:val="18"/>
                <w:szCs w:val="18"/>
                <w:color w:val="auto"/>
              </w:rPr>
            </w:pP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0000EE"/>
              </w:rPr>
              <w:t>6</w:t>
            </w:r>
          </w:p>
        </w:tc>
        <w:tc>
          <w:tcPr>
            <w:tcW w:w="24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6700" w:type="dxa"/>
            <w:vAlign w:val="bottom"/>
            <w:gridSpan w:val="33"/>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Interest and fees</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 w:type="dxa"/>
            <w:vAlign w:val="bottom"/>
            <w:gridSpan w:val="3"/>
          </w:tcPr>
          <w:p>
            <w:pPr>
              <w:spacing w:after="0"/>
              <w:rPr>
                <w:sz w:val="15"/>
                <w:szCs w:val="15"/>
                <w:color w:val="auto"/>
              </w:rPr>
            </w:pPr>
          </w:p>
        </w:tc>
        <w:tc>
          <w:tcPr>
            <w:tcW w:w="2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0000EE"/>
                <w:w w:val="87"/>
              </w:rPr>
              <w:t>6.</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20" w:type="dxa"/>
            <w:vAlign w:val="bottom"/>
            <w:gridSpan w:val="28"/>
          </w:tcPr>
          <w:p>
            <w:pPr>
              <w:spacing w:after="0" w:line="183" w:lineRule="exact"/>
              <w:rPr>
                <w:sz w:val="20"/>
                <w:szCs w:val="20"/>
                <w:color w:val="auto"/>
              </w:rPr>
            </w:pPr>
            <w:r>
              <w:rPr>
                <w:rFonts w:ascii="Times New Roman" w:cs="Times New Roman" w:eastAsia="Times New Roman" w:hAnsi="Times New Roman"/>
                <w:sz w:val="20"/>
                <w:szCs w:val="20"/>
                <w:color w:val="0000EE"/>
              </w:rPr>
              <w:t>Pricing Periods</w:t>
            </w:r>
          </w:p>
        </w:tc>
        <w:tc>
          <w:tcPr>
            <w:tcW w:w="146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6.</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Payment and rate</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7"/>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6.</w:t>
            </w:r>
            <w:r>
              <w:rPr>
                <w:rFonts w:ascii="Times New Roman" w:cs="Times New Roman" w:eastAsia="Times New Roman" w:hAnsi="Times New Roman"/>
                <w:sz w:val="20"/>
                <w:szCs w:val="20"/>
                <w:u w:val="single" w:color="auto"/>
                <w:color w:val="0000EE"/>
                <w:w w:val="87"/>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Computation of interest</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7"/>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vMerge w:val="continue"/>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6.</w:t>
            </w:r>
            <w:r>
              <w:rPr>
                <w:rFonts w:ascii="Times New Roman" w:cs="Times New Roman" w:eastAsia="Times New Roman" w:hAnsi="Times New Roman"/>
                <w:sz w:val="20"/>
                <w:szCs w:val="20"/>
                <w:u w:val="single" w:color="auto"/>
                <w:color w:val="0000EE"/>
                <w:w w:val="87"/>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Borders>
              <w:bottom w:val="single" w:sz="8" w:color="0000EE"/>
            </w:tcBorders>
            <w:gridSpan w:val="20"/>
          </w:tcPr>
          <w:p>
            <w:pPr>
              <w:spacing w:after="0" w:line="209" w:lineRule="exact"/>
              <w:rPr>
                <w:sz w:val="20"/>
                <w:szCs w:val="20"/>
                <w:color w:val="auto"/>
              </w:rPr>
            </w:pPr>
            <w:r>
              <w:rPr>
                <w:rFonts w:ascii="Times New Roman" w:cs="Times New Roman" w:eastAsia="Times New Roman" w:hAnsi="Times New Roman"/>
                <w:sz w:val="20"/>
                <w:szCs w:val="20"/>
                <w:color w:val="0000EE"/>
                <w:w w:val="98"/>
              </w:rPr>
              <w:t>Capitalisation of interest</w:t>
            </w:r>
          </w:p>
        </w:tc>
        <w:tc>
          <w:tcPr>
            <w:tcW w:w="3860" w:type="dxa"/>
            <w:vAlign w:val="bottom"/>
            <w:gridSpan w:val="8"/>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3"/>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6.</w:t>
            </w:r>
            <w:r>
              <w:rPr>
                <w:rFonts w:ascii="Times New Roman" w:cs="Times New Roman" w:eastAsia="Times New Roman" w:hAnsi="Times New Roman"/>
                <w:sz w:val="20"/>
                <w:szCs w:val="20"/>
                <w:u w:val="single" w:color="auto"/>
                <w:color w:val="0000EE"/>
                <w:w w:val="87"/>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Merger</w:t>
            </w:r>
          </w:p>
        </w:tc>
        <w:tc>
          <w:tcPr>
            <w:tcW w:w="146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740" w:type="dxa"/>
            <w:vAlign w:val="bottom"/>
            <w:gridSpan w:val="17"/>
          </w:tcPr>
          <w:p>
            <w:pPr>
              <w:spacing w:after="0" w:line="20" w:lineRule="exact"/>
              <w:rPr>
                <w:sz w:val="1"/>
                <w:szCs w:val="1"/>
                <w:color w:val="auto"/>
              </w:rPr>
            </w:pPr>
          </w:p>
        </w:tc>
        <w:tc>
          <w:tcPr>
            <w:tcW w:w="14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continue"/>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6.</w:t>
            </w:r>
            <w:r>
              <w:rPr>
                <w:rFonts w:ascii="Times New Roman" w:cs="Times New Roman" w:eastAsia="Times New Roman" w:hAnsi="Times New Roman"/>
                <w:sz w:val="20"/>
                <w:szCs w:val="20"/>
                <w:u w:val="single" w:color="auto"/>
                <w:color w:val="0000EE"/>
                <w:w w:val="87"/>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20" w:type="dxa"/>
            <w:vAlign w:val="bottom"/>
            <w:gridSpan w:val="28"/>
          </w:tcPr>
          <w:p>
            <w:pPr>
              <w:spacing w:after="0" w:line="209" w:lineRule="exact"/>
              <w:rPr>
                <w:sz w:val="20"/>
                <w:szCs w:val="20"/>
                <w:color w:val="auto"/>
              </w:rPr>
            </w:pPr>
            <w:r>
              <w:rPr>
                <w:rFonts w:ascii="Times New Roman" w:cs="Times New Roman" w:eastAsia="Times New Roman" w:hAnsi="Times New Roman"/>
                <w:sz w:val="20"/>
                <w:szCs w:val="20"/>
                <w:color w:val="0000EE"/>
              </w:rPr>
              <w:t>Reset Margin</w:t>
            </w: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-38100</wp:posOffset>
            </wp:positionV>
            <wp:extent cx="3365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9">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-38100</wp:posOffset>
            </wp:positionV>
            <wp:extent cx="3365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0">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tbl>
      <w:tblPr>
        <w:tblLayout w:type="fixed"/>
        <w:tblInd w:w="80" w:type="dxa"/>
        <w:tblCellMar>
          <w:top w:w="0" w:type="dxa"/>
          <w:left w:w="0" w:type="dxa"/>
          <w:bottom w:w="0" w:type="dxa"/>
          <w:right w:w="0" w:type="dxa"/>
        </w:tblCellMar>
      </w:tblPr>
      <w:tr>
        <w:trPr>
          <w:trHeight w:val="230"/>
        </w:trPr>
        <w:tc>
          <w:tcPr>
            <w:tcW w:w="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EE"/>
              </w:rPr>
              <w:t>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0000EE"/>
              </w:rPr>
              <w:t>Payments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20"/>
                <w:szCs w:val="20"/>
                <w:color w:val="0000EE"/>
                <w:w w:val="87"/>
              </w:rPr>
              <w:t>7.</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Borders>
              <w:bottom w:val="single" w:sz="8" w:color="0000EE"/>
            </w:tcBorders>
            <w:gridSpan w:val="29"/>
          </w:tcPr>
          <w:p>
            <w:pPr>
              <w:spacing w:after="0" w:line="183" w:lineRule="exact"/>
              <w:rPr>
                <w:sz w:val="20"/>
                <w:szCs w:val="20"/>
                <w:color w:val="auto"/>
              </w:rPr>
            </w:pPr>
            <w:r>
              <w:rPr>
                <w:rFonts w:ascii="Times New Roman" w:cs="Times New Roman" w:eastAsia="Times New Roman" w:hAnsi="Times New Roman"/>
                <w:sz w:val="20"/>
                <w:szCs w:val="20"/>
                <w:color w:val="0000EE"/>
                <w:w w:val="98"/>
              </w:rPr>
              <w:t>Place, manner and time of payment</w:t>
            </w:r>
          </w:p>
        </w:tc>
        <w:tc>
          <w:tcPr>
            <w:tcW w:w="2680" w:type="dxa"/>
            <w:vAlign w:val="bottom"/>
            <w:gridSpan w:val="3"/>
          </w:tcPr>
          <w:p>
            <w:pPr>
              <w:spacing w:after="0"/>
              <w:rPr>
                <w:sz w:val="15"/>
                <w:szCs w:val="15"/>
                <w:color w:val="auto"/>
              </w:rPr>
            </w:pPr>
          </w:p>
        </w:tc>
        <w:tc>
          <w:tcPr>
            <w:tcW w:w="1900" w:type="dxa"/>
            <w:vAlign w:val="bottom"/>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7.</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w w:val="98"/>
              </w:rPr>
              <w:t>Gross-up</w:t>
            </w:r>
          </w:p>
        </w:tc>
        <w:tc>
          <w:tcPr>
            <w:tcW w:w="4720" w:type="dxa"/>
            <w:vAlign w:val="bottom"/>
            <w:gridSpan w:val="23"/>
          </w:tcPr>
          <w:p>
            <w:pPr>
              <w:spacing w:after="0"/>
              <w:rPr>
                <w:sz w:val="24"/>
                <w:szCs w:val="24"/>
                <w:color w:val="auto"/>
              </w:rPr>
            </w:pP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7.</w:t>
            </w:r>
            <w:r>
              <w:rPr>
                <w:rFonts w:ascii="Times New Roman" w:cs="Times New Roman" w:eastAsia="Times New Roman" w:hAnsi="Times New Roman"/>
                <w:sz w:val="20"/>
                <w:szCs w:val="20"/>
                <w:u w:val="single" w:color="auto"/>
                <w:color w:val="0000EE"/>
                <w:w w:val="87"/>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0000EE"/>
            </w:tcBorders>
            <w:gridSpan w:val="13"/>
          </w:tcPr>
          <w:p>
            <w:pPr>
              <w:spacing w:after="0" w:line="209" w:lineRule="exact"/>
              <w:rPr>
                <w:sz w:val="20"/>
                <w:szCs w:val="20"/>
                <w:color w:val="auto"/>
              </w:rPr>
            </w:pPr>
            <w:r>
              <w:rPr>
                <w:rFonts w:ascii="Times New Roman" w:cs="Times New Roman" w:eastAsia="Times New Roman" w:hAnsi="Times New Roman"/>
                <w:sz w:val="20"/>
                <w:szCs w:val="20"/>
                <w:color w:val="0000EE"/>
                <w:w w:val="97"/>
              </w:rPr>
              <w:t>Appropriation</w:t>
            </w:r>
          </w:p>
        </w:tc>
        <w:tc>
          <w:tcPr>
            <w:tcW w:w="4360" w:type="dxa"/>
            <w:vAlign w:val="bottom"/>
            <w:gridSpan w:val="19"/>
          </w:tcPr>
          <w:p>
            <w:pPr>
              <w:spacing w:after="0"/>
              <w:rPr>
                <w:sz w:val="18"/>
                <w:szCs w:val="18"/>
                <w:color w:val="auto"/>
              </w:rPr>
            </w:pP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EE"/>
              </w:rPr>
              <w:t>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8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0000EE"/>
              </w:rPr>
              <w:t>Representations and warranties</w:t>
            </w: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20"/>
                <w:szCs w:val="20"/>
                <w:color w:val="0000EE"/>
                <w:w w:val="87"/>
              </w:rPr>
              <w:t>8.</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20"/>
                <w:szCs w:val="20"/>
                <w:color w:val="0000EE"/>
                <w:w w:val="95"/>
              </w:rPr>
              <w:t>Nature</w:t>
            </w:r>
          </w:p>
        </w:tc>
        <w:tc>
          <w:tcPr>
            <w:tcW w:w="4940" w:type="dxa"/>
            <w:vAlign w:val="bottom"/>
            <w:gridSpan w:val="28"/>
          </w:tcPr>
          <w:p>
            <w:pPr>
              <w:spacing w:after="0"/>
              <w:rPr>
                <w:sz w:val="15"/>
                <w:szCs w:val="15"/>
                <w:color w:val="auto"/>
              </w:rPr>
            </w:pPr>
          </w:p>
        </w:tc>
        <w:tc>
          <w:tcPr>
            <w:tcW w:w="1900" w:type="dxa"/>
            <w:vAlign w:val="bottom"/>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8.</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1"/>
              </w:rPr>
              <w:t>General</w:t>
            </w:r>
          </w:p>
        </w:tc>
        <w:tc>
          <w:tcPr>
            <w:tcW w:w="4860" w:type="dxa"/>
            <w:vAlign w:val="bottom"/>
            <w:gridSpan w:val="26"/>
          </w:tcPr>
          <w:p>
            <w:pPr>
              <w:spacing w:after="0"/>
              <w:rPr>
                <w:sz w:val="24"/>
                <w:szCs w:val="24"/>
                <w:color w:val="auto"/>
              </w:rPr>
            </w:pP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000EE"/>
              </w:rPr>
              <w:t>9</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8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0000EE"/>
              </w:rPr>
              <w:t>General obligations</w:t>
            </w: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tcBorders>
              <w:top w:val="single" w:sz="8" w:color="0000EE"/>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top w:val="single" w:sz="8" w:color="0000EE"/>
              <w:bottom w:val="single" w:sz="8" w:color="auto"/>
            </w:tcBorders>
          </w:tcPr>
          <w:p>
            <w:pPr>
              <w:spacing w:after="0"/>
              <w:rPr>
                <w:sz w:val="8"/>
                <w:szCs w:val="8"/>
                <w:color w:val="auto"/>
              </w:rPr>
            </w:pPr>
          </w:p>
        </w:tc>
        <w:tc>
          <w:tcPr>
            <w:tcW w:w="100" w:type="dxa"/>
            <w:vAlign w:val="bottom"/>
            <w:tcBorders>
              <w:top w:val="single" w:sz="8" w:color="0000EE"/>
              <w:bottom w:val="single" w:sz="8" w:color="auto"/>
            </w:tcBorders>
          </w:tcPr>
          <w:p>
            <w:pPr>
              <w:spacing w:after="0"/>
              <w:rPr>
                <w:sz w:val="8"/>
                <w:szCs w:val="8"/>
                <w:color w:val="auto"/>
              </w:rPr>
            </w:pPr>
          </w:p>
        </w:tc>
        <w:tc>
          <w:tcPr>
            <w:tcW w:w="480" w:type="dxa"/>
            <w:vAlign w:val="bottom"/>
            <w:tcBorders>
              <w:top w:val="single" w:sz="8" w:color="0000EE"/>
              <w:bottom w:val="single" w:sz="8" w:color="auto"/>
            </w:tcBorders>
          </w:tcPr>
          <w:p>
            <w:pPr>
              <w:spacing w:after="0"/>
              <w:rPr>
                <w:sz w:val="8"/>
                <w:szCs w:val="8"/>
                <w:color w:val="auto"/>
              </w:rPr>
            </w:pPr>
          </w:p>
        </w:tc>
        <w:tc>
          <w:tcPr>
            <w:tcW w:w="80" w:type="dxa"/>
            <w:vAlign w:val="bottom"/>
            <w:tcBorders>
              <w:top w:val="single" w:sz="8" w:color="0000EE"/>
              <w:bottom w:val="single" w:sz="8" w:color="auto"/>
            </w:tcBorders>
          </w:tcPr>
          <w:p>
            <w:pPr>
              <w:spacing w:after="0"/>
              <w:rPr>
                <w:sz w:val="8"/>
                <w:szCs w:val="8"/>
                <w:color w:val="auto"/>
              </w:rPr>
            </w:pPr>
          </w:p>
        </w:tc>
        <w:tc>
          <w:tcPr>
            <w:tcW w:w="120" w:type="dxa"/>
            <w:vAlign w:val="bottom"/>
            <w:tcBorders>
              <w:top w:val="single" w:sz="8" w:color="0000EE"/>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220" w:type="dxa"/>
            <w:vAlign w:val="bottom"/>
            <w:tcBorders>
              <w:top w:val="single" w:sz="8" w:color="0000EE"/>
              <w:bottom w:val="single" w:sz="8" w:color="auto"/>
            </w:tcBorders>
          </w:tcPr>
          <w:p>
            <w:pPr>
              <w:spacing w:after="0"/>
              <w:rPr>
                <w:sz w:val="8"/>
                <w:szCs w:val="8"/>
                <w:color w:val="auto"/>
              </w:rPr>
            </w:pPr>
          </w:p>
        </w:tc>
        <w:tc>
          <w:tcPr>
            <w:tcW w:w="180" w:type="dxa"/>
            <w:vAlign w:val="bottom"/>
            <w:tcBorders>
              <w:top w:val="single" w:sz="8" w:color="0000EE"/>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60" w:type="dxa"/>
            <w:vAlign w:val="bottom"/>
            <w:tcBorders>
              <w:top w:val="single" w:sz="8" w:color="0000EE"/>
              <w:bottom w:val="single" w:sz="8" w:color="auto"/>
            </w:tcBorders>
          </w:tcPr>
          <w:p>
            <w:pPr>
              <w:spacing w:after="0"/>
              <w:rPr>
                <w:sz w:val="8"/>
                <w:szCs w:val="8"/>
                <w:color w:val="auto"/>
              </w:rPr>
            </w:pPr>
          </w:p>
        </w:tc>
        <w:tc>
          <w:tcPr>
            <w:tcW w:w="40" w:type="dxa"/>
            <w:vAlign w:val="bottom"/>
            <w:tcBorders>
              <w:top w:val="single" w:sz="8" w:color="0000EE"/>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80" w:type="dxa"/>
            <w:vAlign w:val="bottom"/>
            <w:tcBorders>
              <w:top w:val="single" w:sz="8" w:color="0000EE"/>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20"/>
                <w:szCs w:val="20"/>
                <w:color w:val="0000EE"/>
                <w:w w:val="92"/>
              </w:rPr>
              <w:t>Fees</w:t>
            </w:r>
          </w:p>
        </w:tc>
        <w:tc>
          <w:tcPr>
            <w:tcW w:w="5120" w:type="dxa"/>
            <w:vAlign w:val="bottom"/>
            <w:gridSpan w:val="29"/>
          </w:tcPr>
          <w:p>
            <w:pPr>
              <w:spacing w:after="0"/>
              <w:rPr>
                <w:sz w:val="15"/>
                <w:szCs w:val="15"/>
                <w:color w:val="auto"/>
              </w:rPr>
            </w:pPr>
          </w:p>
        </w:tc>
        <w:tc>
          <w:tcPr>
            <w:tcW w:w="1900" w:type="dxa"/>
            <w:vAlign w:val="bottom"/>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7"/>
              </w:rPr>
              <w:t>Records</w:t>
            </w:r>
          </w:p>
        </w:tc>
        <w:tc>
          <w:tcPr>
            <w:tcW w:w="4820" w:type="dxa"/>
            <w:vAlign w:val="bottom"/>
            <w:gridSpan w:val="25"/>
          </w:tcPr>
          <w:p>
            <w:pPr>
              <w:spacing w:after="0"/>
              <w:rPr>
                <w:sz w:val="24"/>
                <w:szCs w:val="24"/>
                <w:color w:val="auto"/>
              </w:rPr>
            </w:pP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8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Financial Statements and other financial information</w:t>
            </w: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Borders>
              <w:top w:val="single" w:sz="8" w:color="0000EE"/>
              <w:bottom w:val="single" w:sz="8" w:color="0000EE"/>
            </w:tcBorders>
            <w:gridSpan w:val="23"/>
          </w:tcPr>
          <w:p>
            <w:pPr>
              <w:spacing w:after="0" w:line="209" w:lineRule="exact"/>
              <w:rPr>
                <w:sz w:val="20"/>
                <w:szCs w:val="20"/>
                <w:color w:val="auto"/>
              </w:rPr>
            </w:pPr>
            <w:r>
              <w:rPr>
                <w:rFonts w:ascii="Times New Roman" w:cs="Times New Roman" w:eastAsia="Times New Roman" w:hAnsi="Times New Roman"/>
                <w:sz w:val="20"/>
                <w:szCs w:val="20"/>
                <w:color w:val="0000EE"/>
                <w:w w:val="97"/>
              </w:rPr>
              <w:t>Adjustments for AASB 16</w:t>
            </w:r>
          </w:p>
        </w:tc>
        <w:tc>
          <w:tcPr>
            <w:tcW w:w="2060" w:type="dxa"/>
            <w:vAlign w:val="bottom"/>
            <w:tcBorders>
              <w:top w:val="single" w:sz="8" w:color="0000EE"/>
            </w:tcBorders>
            <w:gridSpan w:val="8"/>
          </w:tcPr>
          <w:p>
            <w:pPr>
              <w:spacing w:after="0"/>
              <w:rPr>
                <w:sz w:val="18"/>
                <w:szCs w:val="18"/>
                <w:color w:val="auto"/>
              </w:rPr>
            </w:pPr>
          </w:p>
        </w:tc>
        <w:tc>
          <w:tcPr>
            <w:tcW w:w="1320" w:type="dxa"/>
            <w:vAlign w:val="bottom"/>
          </w:tcPr>
          <w:p>
            <w:pPr>
              <w:spacing w:after="0"/>
              <w:rPr>
                <w:sz w:val="18"/>
                <w:szCs w:val="18"/>
                <w:color w:val="auto"/>
              </w:rPr>
            </w:pP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8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Other information</w:t>
            </w: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61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Borders>
              <w:bottom w:val="single" w:sz="8" w:color="0000EE"/>
            </w:tcBorders>
            <w:gridSpan w:val="25"/>
          </w:tcPr>
          <w:p>
            <w:pPr>
              <w:spacing w:after="0" w:line="209" w:lineRule="exact"/>
              <w:rPr>
                <w:sz w:val="20"/>
                <w:szCs w:val="20"/>
                <w:color w:val="auto"/>
              </w:rPr>
            </w:pPr>
            <w:r>
              <w:rPr>
                <w:rFonts w:ascii="Times New Roman" w:cs="Times New Roman" w:eastAsia="Times New Roman" w:hAnsi="Times New Roman"/>
                <w:sz w:val="20"/>
                <w:szCs w:val="20"/>
                <w:color w:val="0000EE"/>
                <w:w w:val="97"/>
              </w:rPr>
              <w:t>Other financial undertakings</w:t>
            </w:r>
          </w:p>
        </w:tc>
        <w:tc>
          <w:tcPr>
            <w:tcW w:w="3220" w:type="dxa"/>
            <w:vAlign w:val="bottom"/>
            <w:gridSpan w:val="7"/>
          </w:tcPr>
          <w:p>
            <w:pPr>
              <w:spacing w:after="0"/>
              <w:rPr>
                <w:sz w:val="18"/>
                <w:szCs w:val="18"/>
                <w:color w:val="auto"/>
              </w:rPr>
            </w:pP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8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Insurance</w:t>
            </w: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0000EE"/>
            </w:tcBorders>
            <w:gridSpan w:val="15"/>
          </w:tcPr>
          <w:p>
            <w:pPr>
              <w:spacing w:after="0" w:line="209" w:lineRule="exact"/>
              <w:rPr>
                <w:sz w:val="20"/>
                <w:szCs w:val="20"/>
                <w:color w:val="auto"/>
              </w:rPr>
            </w:pPr>
            <w:r>
              <w:rPr>
                <w:rFonts w:ascii="Times New Roman" w:cs="Times New Roman" w:eastAsia="Times New Roman" w:hAnsi="Times New Roman"/>
                <w:sz w:val="20"/>
                <w:szCs w:val="20"/>
                <w:color w:val="0000EE"/>
                <w:w w:val="96"/>
              </w:rPr>
              <w:t>Financial ratios</w:t>
            </w:r>
          </w:p>
        </w:tc>
        <w:tc>
          <w:tcPr>
            <w:tcW w:w="4260" w:type="dxa"/>
            <w:vAlign w:val="bottom"/>
            <w:gridSpan w:val="17"/>
          </w:tcPr>
          <w:p>
            <w:pPr>
              <w:spacing w:after="0"/>
              <w:rPr>
                <w:sz w:val="18"/>
                <w:szCs w:val="18"/>
                <w:color w:val="auto"/>
              </w:rPr>
            </w:pP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87"/>
              </w:rPr>
              <w:t>9.</w:t>
            </w:r>
            <w:r>
              <w:rPr>
                <w:rFonts w:ascii="Times New Roman" w:cs="Times New Roman" w:eastAsia="Times New Roman" w:hAnsi="Times New Roman"/>
                <w:sz w:val="20"/>
                <w:szCs w:val="20"/>
                <w:u w:val="single" w:color="auto"/>
                <w:color w:val="0000EE"/>
                <w:w w:val="87"/>
              </w:rPr>
              <w:t>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80" w:type="dxa"/>
            <w:vAlign w:val="bottom"/>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Environment</w:t>
            </w: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9.</w:t>
            </w:r>
            <w:r>
              <w:rPr>
                <w:rFonts w:ascii="Times New Roman" w:cs="Times New Roman" w:eastAsia="Times New Roman" w:hAnsi="Times New Roman"/>
                <w:sz w:val="20"/>
                <w:szCs w:val="20"/>
                <w:u w:val="single" w:color="auto"/>
                <w:color w:val="0000EE"/>
                <w:w w:val="85"/>
              </w:rPr>
              <w:t>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0"/>
          </w:tcPr>
          <w:p>
            <w:pPr>
              <w:spacing w:after="0" w:line="209" w:lineRule="exact"/>
              <w:rPr>
                <w:sz w:val="20"/>
                <w:szCs w:val="20"/>
                <w:color w:val="auto"/>
              </w:rPr>
            </w:pPr>
            <w:r>
              <w:rPr>
                <w:rFonts w:ascii="Times New Roman" w:cs="Times New Roman" w:eastAsia="Times New Roman" w:hAnsi="Times New Roman"/>
                <w:sz w:val="20"/>
                <w:szCs w:val="20"/>
                <w:color w:val="0000EE"/>
              </w:rPr>
              <w:t>No default</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9.</w:t>
            </w:r>
            <w:r>
              <w:rPr>
                <w:rFonts w:ascii="Times New Roman" w:cs="Times New Roman" w:eastAsia="Times New Roman" w:hAnsi="Times New Roman"/>
                <w:sz w:val="20"/>
                <w:szCs w:val="20"/>
                <w:u w:val="single" w:color="auto"/>
                <w:color w:val="0000EE"/>
                <w:w w:val="85"/>
              </w:rPr>
              <w:t>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ind w:left="20"/>
              <w:spacing w:after="0" w:line="209" w:lineRule="exact"/>
              <w:rPr>
                <w:sz w:val="20"/>
                <w:szCs w:val="20"/>
                <w:color w:val="auto"/>
              </w:rPr>
            </w:pPr>
            <w:r>
              <w:rPr>
                <w:rFonts w:ascii="Times New Roman" w:cs="Times New Roman" w:eastAsia="Times New Roman" w:hAnsi="Times New Roman"/>
                <w:sz w:val="20"/>
                <w:szCs w:val="20"/>
                <w:color w:val="0000EE"/>
              </w:rPr>
              <w:t>Obligations of Trustees</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9.</w:t>
            </w:r>
            <w:r>
              <w:rPr>
                <w:rFonts w:ascii="Times New Roman" w:cs="Times New Roman" w:eastAsia="Times New Roman" w:hAnsi="Times New Roman"/>
                <w:sz w:val="20"/>
                <w:szCs w:val="20"/>
                <w:u w:val="single" w:color="auto"/>
                <w:color w:val="0000EE"/>
                <w:w w:val="85"/>
              </w:rPr>
              <w:t>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Borders>
              <w:bottom w:val="single" w:sz="8" w:color="0000EE"/>
            </w:tcBorders>
            <w:gridSpan w:val="26"/>
          </w:tcPr>
          <w:p>
            <w:pPr>
              <w:spacing w:after="0" w:line="209" w:lineRule="exact"/>
              <w:rPr>
                <w:sz w:val="20"/>
                <w:szCs w:val="20"/>
                <w:color w:val="auto"/>
              </w:rPr>
            </w:pPr>
            <w:r>
              <w:rPr>
                <w:rFonts w:ascii="Times New Roman" w:cs="Times New Roman" w:eastAsia="Times New Roman" w:hAnsi="Times New Roman"/>
                <w:sz w:val="20"/>
                <w:szCs w:val="20"/>
                <w:color w:val="0000EE"/>
                <w:w w:val="98"/>
              </w:rPr>
              <w:t>Release for Permitted Disposals</w:t>
            </w:r>
          </w:p>
        </w:tc>
        <w:tc>
          <w:tcPr>
            <w:tcW w:w="2800" w:type="dxa"/>
            <w:vAlign w:val="bottom"/>
            <w:gridSpan w:val="4"/>
          </w:tcPr>
          <w:p>
            <w:pPr>
              <w:spacing w:after="0"/>
              <w:rPr>
                <w:sz w:val="18"/>
                <w:szCs w:val="18"/>
                <w:color w:val="auto"/>
              </w:rPr>
            </w:pP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9.</w:t>
            </w:r>
            <w:r>
              <w:rPr>
                <w:rFonts w:ascii="Times New Roman" w:cs="Times New Roman" w:eastAsia="Times New Roman" w:hAnsi="Times New Roman"/>
                <w:sz w:val="20"/>
                <w:szCs w:val="20"/>
                <w:u w:val="single" w:color="auto"/>
                <w:color w:val="0000EE"/>
                <w:w w:val="85"/>
              </w:rPr>
              <w:t>13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Sale Proceeds</w:t>
            </w: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3"/>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0000EE"/>
                <w:w w:val="89"/>
              </w:rPr>
              <w:t>10</w:t>
            </w:r>
          </w:p>
        </w:tc>
        <w:tc>
          <w:tcPr>
            <w:tcW w:w="380" w:type="dxa"/>
            <w:vAlign w:val="bottom"/>
          </w:tcPr>
          <w:p>
            <w:pPr>
              <w:spacing w:after="0"/>
              <w:rPr>
                <w:sz w:val="20"/>
                <w:szCs w:val="20"/>
                <w:color w:val="auto"/>
              </w:rPr>
            </w:pPr>
          </w:p>
        </w:tc>
        <w:tc>
          <w:tcPr>
            <w:tcW w:w="638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0000EE"/>
              </w:rPr>
              <w:t>Events of Default</w:t>
            </w: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8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0000EE"/>
                <w:w w:val="85"/>
              </w:rPr>
              <w:t>10.</w:t>
            </w:r>
            <w:r>
              <w:rPr>
                <w:rFonts w:ascii="Times New Roman" w:cs="Times New Roman" w:eastAsia="Times New Roman" w:hAnsi="Times New Roman"/>
                <w:sz w:val="20"/>
                <w:szCs w:val="20"/>
                <w:u w:val="single" w:color="auto"/>
                <w:color w:val="0000EE"/>
                <w:w w:val="85"/>
              </w:rPr>
              <w:t>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60" w:type="dxa"/>
            <w:vAlign w:val="bottom"/>
            <w:gridSpan w:val="31"/>
          </w:tcPr>
          <w:p>
            <w:pPr>
              <w:spacing w:after="0" w:line="183" w:lineRule="exact"/>
              <w:rPr>
                <w:sz w:val="20"/>
                <w:szCs w:val="20"/>
                <w:color w:val="auto"/>
              </w:rPr>
            </w:pPr>
            <w:r>
              <w:rPr>
                <w:rFonts w:ascii="Times New Roman" w:cs="Times New Roman" w:eastAsia="Times New Roman" w:hAnsi="Times New Roman"/>
                <w:sz w:val="20"/>
                <w:szCs w:val="20"/>
                <w:color w:val="0000EE"/>
              </w:rPr>
              <w:t>Nature</w:t>
            </w:r>
          </w:p>
        </w:tc>
        <w:tc>
          <w:tcPr>
            <w:tcW w:w="1900" w:type="dxa"/>
            <w:vAlign w:val="bottom"/>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20"/>
                <w:szCs w:val="20"/>
                <w:color w:val="0000EE"/>
                <w:w w:val="85"/>
              </w:rPr>
              <w:t>10.</w:t>
            </w:r>
            <w:r>
              <w:rPr>
                <w:rFonts w:ascii="Times New Roman" w:cs="Times New Roman" w:eastAsia="Times New Roman" w:hAnsi="Times New Roman"/>
                <w:sz w:val="20"/>
                <w:szCs w:val="20"/>
                <w:u w:val="single" w:color="auto"/>
                <w:color w:val="0000EE"/>
                <w:w w:val="85"/>
              </w:rPr>
              <w:t>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31"/>
          </w:tcPr>
          <w:p>
            <w:pPr>
              <w:spacing w:after="0"/>
              <w:rPr>
                <w:sz w:val="20"/>
                <w:szCs w:val="20"/>
                <w:color w:val="auto"/>
              </w:rPr>
            </w:pPr>
            <w:r>
              <w:rPr>
                <w:rFonts w:ascii="Times New Roman" w:cs="Times New Roman" w:eastAsia="Times New Roman" w:hAnsi="Times New Roman"/>
                <w:sz w:val="20"/>
                <w:szCs w:val="20"/>
                <w:color w:val="0000EE"/>
              </w:rPr>
              <w:t>Effect of Event of Default</w:t>
            </w: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10.</w:t>
            </w:r>
            <w:r>
              <w:rPr>
                <w:rFonts w:ascii="Times New Roman" w:cs="Times New Roman" w:eastAsia="Times New Roman" w:hAnsi="Times New Roman"/>
                <w:sz w:val="20"/>
                <w:szCs w:val="20"/>
                <w:u w:val="single" w:color="auto"/>
                <w:color w:val="0000EE"/>
                <w:w w:val="85"/>
              </w:rPr>
              <w:t>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Cash Cover Account regarding Bank Guarantees</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10.</w:t>
            </w:r>
            <w:r>
              <w:rPr>
                <w:rFonts w:ascii="Times New Roman" w:cs="Times New Roman" w:eastAsia="Times New Roman" w:hAnsi="Times New Roman"/>
                <w:sz w:val="20"/>
                <w:szCs w:val="20"/>
                <w:u w:val="single" w:color="auto"/>
                <w:color w:val="0000EE"/>
                <w:w w:val="85"/>
              </w:rPr>
              <w:t>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Review Events</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10.</w:t>
            </w:r>
            <w:r>
              <w:rPr>
                <w:rFonts w:ascii="Times New Roman" w:cs="Times New Roman" w:eastAsia="Times New Roman" w:hAnsi="Times New Roman"/>
                <w:sz w:val="20"/>
                <w:szCs w:val="20"/>
                <w:u w:val="single" w:color="auto"/>
                <w:color w:val="0000EE"/>
                <w:w w:val="85"/>
              </w:rPr>
              <w:t>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Reviews</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10.</w:t>
            </w:r>
            <w:r>
              <w:rPr>
                <w:rFonts w:ascii="Times New Roman" w:cs="Times New Roman" w:eastAsia="Times New Roman" w:hAnsi="Times New Roman"/>
                <w:sz w:val="20"/>
                <w:szCs w:val="20"/>
                <w:u w:val="single" w:color="auto"/>
                <w:color w:val="0000EE"/>
                <w:w w:val="85"/>
              </w:rPr>
              <w:t>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Equity Cure</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3"/>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0000EE"/>
                <w:w w:val="89"/>
              </w:rPr>
              <w:t>11</w:t>
            </w:r>
          </w:p>
        </w:tc>
        <w:tc>
          <w:tcPr>
            <w:tcW w:w="380" w:type="dxa"/>
            <w:vAlign w:val="bottom"/>
          </w:tcPr>
          <w:p>
            <w:pPr>
              <w:spacing w:after="0"/>
              <w:rPr>
                <w:sz w:val="20"/>
                <w:szCs w:val="20"/>
                <w:color w:val="auto"/>
              </w:rPr>
            </w:pPr>
          </w:p>
        </w:tc>
        <w:tc>
          <w:tcPr>
            <w:tcW w:w="638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0000EE"/>
              </w:rPr>
              <w:t>Costs and expenses</w:t>
            </w: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20"/>
                <w:szCs w:val="20"/>
                <w:color w:val="0000EE"/>
                <w:w w:val="85"/>
              </w:rPr>
              <w:t>11.</w:t>
            </w:r>
            <w:r>
              <w:rPr>
                <w:rFonts w:ascii="Times New Roman" w:cs="Times New Roman" w:eastAsia="Times New Roman" w:hAnsi="Times New Roman"/>
                <w:sz w:val="20"/>
                <w:szCs w:val="20"/>
                <w:u w:val="single" w:color="auto"/>
                <w:color w:val="0000EE"/>
                <w:w w:val="85"/>
              </w:rPr>
              <w:t>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0000EE"/>
            </w:tcBorders>
            <w:gridSpan w:val="13"/>
          </w:tcPr>
          <w:p>
            <w:pPr>
              <w:spacing w:after="0" w:line="183" w:lineRule="exact"/>
              <w:rPr>
                <w:sz w:val="20"/>
                <w:szCs w:val="20"/>
                <w:color w:val="auto"/>
              </w:rPr>
            </w:pPr>
            <w:r>
              <w:rPr>
                <w:rFonts w:ascii="Times New Roman" w:cs="Times New Roman" w:eastAsia="Times New Roman" w:hAnsi="Times New Roman"/>
                <w:sz w:val="20"/>
                <w:szCs w:val="20"/>
                <w:color w:val="0000EE"/>
                <w:w w:val="95"/>
              </w:rPr>
              <w:t>Interpretation</w:t>
            </w:r>
          </w:p>
        </w:tc>
        <w:tc>
          <w:tcPr>
            <w:tcW w:w="4280" w:type="dxa"/>
            <w:vAlign w:val="bottom"/>
            <w:gridSpan w:val="18"/>
          </w:tcPr>
          <w:p>
            <w:pPr>
              <w:spacing w:after="0"/>
              <w:rPr>
                <w:sz w:val="15"/>
                <w:szCs w:val="15"/>
                <w:color w:val="auto"/>
              </w:rPr>
            </w:pPr>
          </w:p>
        </w:tc>
        <w:tc>
          <w:tcPr>
            <w:tcW w:w="1900" w:type="dxa"/>
            <w:vAlign w:val="bottom"/>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20"/>
                <w:szCs w:val="20"/>
                <w:color w:val="0000EE"/>
                <w:w w:val="85"/>
              </w:rPr>
              <w:t>11.</w:t>
            </w:r>
            <w:r>
              <w:rPr>
                <w:rFonts w:ascii="Times New Roman" w:cs="Times New Roman" w:eastAsia="Times New Roman" w:hAnsi="Times New Roman"/>
                <w:sz w:val="20"/>
                <w:szCs w:val="20"/>
                <w:u w:val="single" w:color="auto"/>
                <w:color w:val="0000EE"/>
                <w:w w:val="85"/>
              </w:rPr>
              <w:t>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31"/>
          </w:tcPr>
          <w:p>
            <w:pPr>
              <w:spacing w:after="0"/>
              <w:rPr>
                <w:sz w:val="20"/>
                <w:szCs w:val="20"/>
                <w:color w:val="auto"/>
              </w:rPr>
            </w:pPr>
            <w:r>
              <w:rPr>
                <w:rFonts w:ascii="Times New Roman" w:cs="Times New Roman" w:eastAsia="Times New Roman" w:hAnsi="Times New Roman"/>
                <w:sz w:val="20"/>
                <w:szCs w:val="20"/>
                <w:color w:val="0000EE"/>
              </w:rPr>
              <w:t>Nature</w:t>
            </w: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0000EE"/>
                <w:w w:val="89"/>
              </w:rPr>
              <w:t>12</w:t>
            </w: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11.</w:t>
            </w:r>
            <w:r>
              <w:rPr>
                <w:rFonts w:ascii="Times New Roman" w:cs="Times New Roman" w:eastAsia="Times New Roman" w:hAnsi="Times New Roman"/>
                <w:sz w:val="20"/>
                <w:szCs w:val="20"/>
                <w:u w:val="single" w:color="auto"/>
                <w:color w:val="0000EE"/>
                <w:w w:val="85"/>
              </w:rPr>
              <w:t>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Remuneration</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3"/>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6380" w:type="dxa"/>
            <w:vAlign w:val="bottom"/>
            <w:gridSpan w:val="36"/>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Indemnities</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8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20"/>
                <w:szCs w:val="20"/>
                <w:color w:val="0000EE"/>
                <w:w w:val="85"/>
              </w:rPr>
              <w:t>12.</w:t>
            </w:r>
            <w:r>
              <w:rPr>
                <w:rFonts w:ascii="Times New Roman" w:cs="Times New Roman" w:eastAsia="Times New Roman" w:hAnsi="Times New Roman"/>
                <w:sz w:val="20"/>
                <w:szCs w:val="20"/>
                <w:u w:val="single" w:color="auto"/>
                <w:color w:val="0000EE"/>
                <w:w w:val="85"/>
              </w:rPr>
              <w:t>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20"/>
                <w:szCs w:val="20"/>
                <w:color w:val="0000EE"/>
                <w:w w:val="95"/>
              </w:rPr>
              <w:t>Nature</w:t>
            </w:r>
          </w:p>
        </w:tc>
        <w:tc>
          <w:tcPr>
            <w:tcW w:w="4800" w:type="dxa"/>
            <w:vAlign w:val="bottom"/>
            <w:gridSpan w:val="24"/>
          </w:tcPr>
          <w:p>
            <w:pPr>
              <w:spacing w:after="0"/>
              <w:rPr>
                <w:sz w:val="15"/>
                <w:szCs w:val="15"/>
                <w:color w:val="auto"/>
              </w:rPr>
            </w:pPr>
          </w:p>
        </w:tc>
        <w:tc>
          <w:tcPr>
            <w:tcW w:w="1900" w:type="dxa"/>
            <w:vAlign w:val="bottom"/>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85"/>
              </w:rPr>
              <w:t>12.</w:t>
            </w:r>
            <w:r>
              <w:rPr>
                <w:rFonts w:ascii="Times New Roman" w:cs="Times New Roman" w:eastAsia="Times New Roman" w:hAnsi="Times New Roman"/>
                <w:sz w:val="20"/>
                <w:szCs w:val="20"/>
                <w:u w:val="single" w:color="auto"/>
                <w:color w:val="0000EE"/>
                <w:w w:val="85"/>
              </w:rPr>
              <w:t>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w w:val="97"/>
              </w:rPr>
              <w:t>Representatives</w:t>
            </w:r>
          </w:p>
        </w:tc>
        <w:tc>
          <w:tcPr>
            <w:tcW w:w="4060" w:type="dxa"/>
            <w:vAlign w:val="bottom"/>
            <w:gridSpan w:val="14"/>
          </w:tcPr>
          <w:p>
            <w:pPr>
              <w:spacing w:after="0"/>
              <w:rPr>
                <w:sz w:val="24"/>
                <w:szCs w:val="24"/>
                <w:color w:val="auto"/>
              </w:rPr>
            </w:pP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12.</w:t>
            </w:r>
            <w:r>
              <w:rPr>
                <w:rFonts w:ascii="Times New Roman" w:cs="Times New Roman" w:eastAsia="Times New Roman" w:hAnsi="Times New Roman"/>
                <w:sz w:val="20"/>
                <w:szCs w:val="20"/>
                <w:u w:val="single" w:color="auto"/>
                <w:color w:val="0000EE"/>
                <w:w w:val="85"/>
              </w:rPr>
              <w:t>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0"/>
          </w:tcPr>
          <w:p>
            <w:pPr>
              <w:spacing w:after="0" w:line="209" w:lineRule="exact"/>
              <w:rPr>
                <w:sz w:val="20"/>
                <w:szCs w:val="20"/>
                <w:color w:val="auto"/>
              </w:rPr>
            </w:pPr>
            <w:r>
              <w:rPr>
                <w:rFonts w:ascii="Times New Roman" w:cs="Times New Roman" w:eastAsia="Times New Roman" w:hAnsi="Times New Roman"/>
                <w:sz w:val="20"/>
                <w:szCs w:val="20"/>
                <w:color w:val="0000EE"/>
              </w:rPr>
              <w:t>Currency deficiency</w:t>
            </w: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10"/>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12.</w:t>
            </w:r>
            <w:r>
              <w:rPr>
                <w:rFonts w:ascii="Times New Roman" w:cs="Times New Roman" w:eastAsia="Times New Roman" w:hAnsi="Times New Roman"/>
                <w:sz w:val="20"/>
                <w:szCs w:val="20"/>
                <w:u w:val="single" w:color="auto"/>
                <w:color w:val="0000EE"/>
                <w:w w:val="85"/>
              </w:rPr>
              <w:t>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30"/>
          </w:tcPr>
          <w:p>
            <w:pPr>
              <w:spacing w:after="0" w:line="209" w:lineRule="exact"/>
              <w:rPr>
                <w:sz w:val="20"/>
                <w:szCs w:val="20"/>
                <w:color w:val="auto"/>
              </w:rPr>
            </w:pPr>
            <w:r>
              <w:rPr>
                <w:rFonts w:ascii="Times New Roman" w:cs="Times New Roman" w:eastAsia="Times New Roman" w:hAnsi="Times New Roman"/>
                <w:sz w:val="20"/>
                <w:szCs w:val="20"/>
                <w:color w:val="0000EE"/>
              </w:rPr>
              <w:t>Independence and survival</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10"/>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12.</w:t>
            </w:r>
            <w:r>
              <w:rPr>
                <w:rFonts w:ascii="Times New Roman" w:cs="Times New Roman" w:eastAsia="Times New Roman" w:hAnsi="Times New Roman"/>
                <w:sz w:val="20"/>
                <w:szCs w:val="20"/>
                <w:u w:val="single" w:color="auto"/>
                <w:color w:val="0000EE"/>
                <w:w w:val="85"/>
              </w:rPr>
              <w:t>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tcBorders>
              <w:bottom w:val="single" w:sz="8" w:color="0000EE"/>
            </w:tcBorders>
            <w:gridSpan w:val="24"/>
          </w:tcPr>
          <w:p>
            <w:pPr>
              <w:spacing w:after="0" w:line="209" w:lineRule="exact"/>
              <w:rPr>
                <w:sz w:val="20"/>
                <w:szCs w:val="20"/>
                <w:color w:val="auto"/>
              </w:rPr>
            </w:pPr>
            <w:r>
              <w:rPr>
                <w:rFonts w:ascii="Times New Roman" w:cs="Times New Roman" w:eastAsia="Times New Roman" w:hAnsi="Times New Roman"/>
                <w:sz w:val="20"/>
                <w:szCs w:val="20"/>
                <w:color w:val="0000EE"/>
                <w:w w:val="98"/>
              </w:rPr>
              <w:t>Accounting for transactions</w:t>
            </w:r>
          </w:p>
        </w:tc>
        <w:tc>
          <w:tcPr>
            <w:tcW w:w="3140" w:type="dxa"/>
            <w:vAlign w:val="bottom"/>
            <w:gridSpan w:val="6"/>
          </w:tcPr>
          <w:p>
            <w:pPr>
              <w:spacing w:after="0"/>
              <w:rPr>
                <w:sz w:val="18"/>
                <w:szCs w:val="18"/>
                <w:color w:val="auto"/>
              </w:rPr>
            </w:pP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12.</w:t>
            </w:r>
            <w:r>
              <w:rPr>
                <w:rFonts w:ascii="Times New Roman" w:cs="Times New Roman" w:eastAsia="Times New Roman" w:hAnsi="Times New Roman"/>
                <w:sz w:val="20"/>
                <w:szCs w:val="20"/>
                <w:u w:val="single" w:color="auto"/>
                <w:color w:val="0000EE"/>
                <w:w w:val="85"/>
              </w:rPr>
              <w:t>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Borders>
              <w:bottom w:val="single" w:sz="8" w:color="0000EE"/>
            </w:tcBorders>
            <w:gridSpan w:val="25"/>
          </w:tcPr>
          <w:p>
            <w:pPr>
              <w:spacing w:after="0" w:line="209" w:lineRule="exact"/>
              <w:rPr>
                <w:sz w:val="20"/>
                <w:szCs w:val="20"/>
                <w:color w:val="auto"/>
              </w:rPr>
            </w:pPr>
            <w:r>
              <w:rPr>
                <w:rFonts w:ascii="Times New Roman" w:cs="Times New Roman" w:eastAsia="Times New Roman" w:hAnsi="Times New Roman"/>
                <w:sz w:val="20"/>
                <w:szCs w:val="20"/>
                <w:color w:val="0000EE"/>
                <w:w w:val="98"/>
              </w:rPr>
              <w:t>Liability for Regulatory Events</w:t>
            </w:r>
          </w:p>
        </w:tc>
        <w:tc>
          <w:tcPr>
            <w:tcW w:w="2860" w:type="dxa"/>
            <w:vAlign w:val="bottom"/>
            <w:gridSpan w:val="5"/>
          </w:tcPr>
          <w:p>
            <w:pPr>
              <w:spacing w:after="0"/>
              <w:rPr>
                <w:sz w:val="18"/>
                <w:szCs w:val="18"/>
                <w:color w:val="auto"/>
              </w:rPr>
            </w:pPr>
          </w:p>
        </w:tc>
        <w:tc>
          <w:tcPr>
            <w:tcW w:w="1900" w:type="dxa"/>
            <w:vAlign w:val="bottom"/>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0000EE"/>
                <w:w w:val="89"/>
              </w:rPr>
              <w:t>13</w:t>
            </w:r>
          </w:p>
        </w:tc>
        <w:tc>
          <w:tcPr>
            <w:tcW w:w="380" w:type="dxa"/>
            <w:vAlign w:val="bottom"/>
          </w:tcPr>
          <w:p>
            <w:pPr>
              <w:spacing w:after="0"/>
              <w:rPr>
                <w:sz w:val="20"/>
                <w:szCs w:val="20"/>
                <w:color w:val="auto"/>
              </w:rPr>
            </w:pPr>
          </w:p>
        </w:tc>
        <w:tc>
          <w:tcPr>
            <w:tcW w:w="638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0000EE"/>
              </w:rPr>
              <w:t>Goods and Services Tax</w:t>
            </w:r>
          </w:p>
        </w:tc>
        <w:tc>
          <w:tcPr>
            <w:tcW w:w="19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0000EE"/>
                <w:w w:val="85"/>
              </w:rPr>
              <w:t>13.</w:t>
            </w:r>
            <w:r>
              <w:rPr>
                <w:rFonts w:ascii="Times New Roman" w:cs="Times New Roman" w:eastAsia="Times New Roman" w:hAnsi="Times New Roman"/>
                <w:sz w:val="20"/>
                <w:szCs w:val="20"/>
                <w:u w:val="single" w:color="auto"/>
                <w:color w:val="0000EE"/>
                <w:w w:val="85"/>
              </w:rPr>
              <w:t>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60" w:type="dxa"/>
            <w:vAlign w:val="bottom"/>
            <w:gridSpan w:val="31"/>
          </w:tcPr>
          <w:p>
            <w:pPr>
              <w:spacing w:after="0" w:line="183" w:lineRule="exact"/>
              <w:rPr>
                <w:sz w:val="20"/>
                <w:szCs w:val="20"/>
                <w:color w:val="auto"/>
              </w:rPr>
            </w:pPr>
            <w:r>
              <w:rPr>
                <w:rFonts w:ascii="Times New Roman" w:cs="Times New Roman" w:eastAsia="Times New Roman" w:hAnsi="Times New Roman"/>
                <w:sz w:val="20"/>
                <w:szCs w:val="20"/>
                <w:color w:val="0000EE"/>
              </w:rPr>
              <w:t>Taxable supply</w:t>
            </w:r>
          </w:p>
        </w:tc>
        <w:tc>
          <w:tcPr>
            <w:tcW w:w="1900" w:type="dxa"/>
            <w:vAlign w:val="bottom"/>
          </w:tcPr>
          <w:p>
            <w:pPr>
              <w:jc w:val="right"/>
              <w:ind w:right="281"/>
              <w:spacing w:after="0" w:line="183" w:lineRule="exact"/>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80" w:type="dxa"/>
            <w:vAlign w:val="bottom"/>
            <w:gridSpan w:val="1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19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85"/>
              </w:rPr>
              <w:t>13.</w:t>
            </w:r>
            <w:r>
              <w:rPr>
                <w:rFonts w:ascii="Times New Roman" w:cs="Times New Roman" w:eastAsia="Times New Roman" w:hAnsi="Times New Roman"/>
                <w:sz w:val="20"/>
                <w:szCs w:val="20"/>
                <w:u w:val="single" w:color="auto"/>
                <w:color w:val="0000EE"/>
                <w:w w:val="85"/>
              </w:rPr>
              <w:t>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Adjustment events</w:t>
            </w:r>
          </w:p>
        </w:tc>
        <w:tc>
          <w:tcPr>
            <w:tcW w:w="1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-38100</wp:posOffset>
            </wp:positionV>
            <wp:extent cx="3365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-38100</wp:posOffset>
            </wp:positionV>
            <wp:extent cx="3365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2">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3" w:name="page54"/>
    <w:bookmarkEnd w:id="53"/>
    <w:tbl>
      <w:tblPr>
        <w:tblLayout w:type="fixed"/>
        <w:tblInd w:w="80" w:type="dxa"/>
        <w:tblCellMar>
          <w:top w:w="0" w:type="dxa"/>
          <w:left w:w="0" w:type="dxa"/>
          <w:bottom w:w="0" w:type="dxa"/>
          <w:right w:w="0" w:type="dxa"/>
        </w:tblCellMar>
      </w:tblPr>
      <w:tr>
        <w:trPr>
          <w:trHeight w:val="230"/>
        </w:trPr>
        <w:tc>
          <w:tcPr>
            <w:tcW w:w="780" w:type="dxa"/>
            <w:vAlign w:val="bottom"/>
            <w:gridSpan w:val="3"/>
          </w:tcPr>
          <w:p>
            <w:pPr>
              <w:spacing w:after="0"/>
              <w:rPr>
                <w:sz w:val="19"/>
                <w:szCs w:val="19"/>
                <w:color w:val="auto"/>
              </w:rPr>
            </w:pPr>
          </w:p>
        </w:tc>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96"/>
              </w:rPr>
              <w:t>13.</w:t>
            </w:r>
            <w:r>
              <w:rPr>
                <w:rFonts w:ascii="Times New Roman" w:cs="Times New Roman" w:eastAsia="Times New Roman" w:hAnsi="Times New Roman"/>
                <w:sz w:val="20"/>
                <w:szCs w:val="20"/>
                <w:u w:val="single" w:color="auto"/>
                <w:color w:val="0000EE"/>
                <w:w w:val="96"/>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7"/>
              </w:rPr>
              <w:t>Payments</w:t>
            </w:r>
          </w:p>
        </w:tc>
        <w:tc>
          <w:tcPr>
            <w:tcW w:w="3880" w:type="dxa"/>
            <w:vAlign w:val="bottom"/>
            <w:gridSpan w:val="29"/>
          </w:tcPr>
          <w:p>
            <w:pPr>
              <w:spacing w:after="0"/>
              <w:rPr>
                <w:sz w:val="19"/>
                <w:szCs w:val="19"/>
                <w:color w:val="auto"/>
              </w:rPr>
            </w:pPr>
          </w:p>
        </w:tc>
        <w:tc>
          <w:tcPr>
            <w:tcW w:w="2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ind w:left="120"/>
              <w:spacing w:after="0" w:line="209" w:lineRule="exact"/>
              <w:rPr>
                <w:sz w:val="20"/>
                <w:szCs w:val="20"/>
                <w:color w:val="auto"/>
              </w:rPr>
            </w:pPr>
            <w:r>
              <w:rPr>
                <w:rFonts w:ascii="Times New Roman" w:cs="Times New Roman" w:eastAsia="Times New Roman" w:hAnsi="Times New Roman"/>
                <w:sz w:val="20"/>
                <w:szCs w:val="20"/>
                <w:b w:val="1"/>
                <w:bCs w:val="1"/>
                <w:color w:val="0000EE"/>
              </w:rPr>
              <w:t>14</w:t>
            </w:r>
          </w:p>
        </w:tc>
        <w:tc>
          <w:tcPr>
            <w:tcW w:w="5660" w:type="dxa"/>
            <w:vAlign w:val="bottom"/>
            <w:gridSpan w:val="42"/>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Increased costs</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80" w:type="dxa"/>
            <w:vAlign w:val="bottom"/>
            <w:gridSpan w:val="3"/>
          </w:tcPr>
          <w:p>
            <w:pPr>
              <w:ind w:left="120"/>
              <w:spacing w:after="0" w:line="183" w:lineRule="exact"/>
              <w:rPr>
                <w:sz w:val="20"/>
                <w:szCs w:val="20"/>
                <w:color w:val="auto"/>
              </w:rPr>
            </w:pPr>
            <w:r>
              <w:rPr>
                <w:rFonts w:ascii="Times New Roman" w:cs="Times New Roman" w:eastAsia="Times New Roman" w:hAnsi="Times New Roman"/>
                <w:sz w:val="20"/>
                <w:szCs w:val="20"/>
                <w:b w:val="1"/>
                <w:bCs w:val="1"/>
                <w:color w:val="0000EE"/>
              </w:rPr>
              <w:t>15</w:t>
            </w:r>
          </w:p>
        </w:tc>
        <w:tc>
          <w:tcPr>
            <w:tcW w:w="88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b w:val="1"/>
                <w:bCs w:val="1"/>
                <w:color w:val="0000EE"/>
              </w:rPr>
              <w:t>Illegality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2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80" w:type="dxa"/>
            <w:vAlign w:val="bottom"/>
            <w:gridSpan w:val="3"/>
          </w:tcPr>
          <w:p>
            <w:pPr>
              <w:spacing w:after="0"/>
              <w:rPr>
                <w:sz w:val="15"/>
                <w:szCs w:val="15"/>
                <w:color w:val="auto"/>
              </w:rPr>
            </w:pPr>
          </w:p>
        </w:tc>
        <w:tc>
          <w:tcPr>
            <w:tcW w:w="3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0000EE"/>
                <w:w w:val="96"/>
              </w:rPr>
              <w:t>15.</w:t>
            </w:r>
            <w:r>
              <w:rPr>
                <w:rFonts w:ascii="Times New Roman" w:cs="Times New Roman" w:eastAsia="Times New Roman" w:hAnsi="Times New Roman"/>
                <w:sz w:val="20"/>
                <w:szCs w:val="20"/>
                <w:u w:val="single" w:color="auto"/>
                <w:color w:val="0000EE"/>
                <w:w w:val="96"/>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5"/>
          </w:tcPr>
          <w:p>
            <w:pPr>
              <w:spacing w:after="0" w:line="183" w:lineRule="exact"/>
              <w:rPr>
                <w:sz w:val="20"/>
                <w:szCs w:val="20"/>
                <w:color w:val="auto"/>
              </w:rPr>
            </w:pPr>
            <w:r>
              <w:rPr>
                <w:rFonts w:ascii="Times New Roman" w:cs="Times New Roman" w:eastAsia="Times New Roman" w:hAnsi="Times New Roman"/>
                <w:sz w:val="20"/>
                <w:szCs w:val="20"/>
                <w:color w:val="0000EE"/>
              </w:rPr>
              <w:t>Prepayment</w:t>
            </w:r>
          </w:p>
        </w:tc>
        <w:tc>
          <w:tcPr>
            <w:tcW w:w="242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3"/>
            <w:vMerge w:val="continue"/>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15.</w:t>
            </w:r>
            <w:r>
              <w:rPr>
                <w:rFonts w:ascii="Times New Roman" w:cs="Times New Roman" w:eastAsia="Times New Roman" w:hAnsi="Times New Roman"/>
                <w:sz w:val="20"/>
                <w:szCs w:val="20"/>
                <w:u w:val="single" w:color="auto"/>
                <w:color w:val="0000EE"/>
                <w:w w:val="96"/>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0000EE"/>
            </w:tcBorders>
            <w:gridSpan w:val="21"/>
          </w:tcPr>
          <w:p>
            <w:pPr>
              <w:spacing w:after="0" w:line="209" w:lineRule="exact"/>
              <w:rPr>
                <w:sz w:val="20"/>
                <w:szCs w:val="20"/>
                <w:color w:val="auto"/>
              </w:rPr>
            </w:pPr>
            <w:r>
              <w:rPr>
                <w:rFonts w:ascii="Times New Roman" w:cs="Times New Roman" w:eastAsia="Times New Roman" w:hAnsi="Times New Roman"/>
                <w:sz w:val="20"/>
                <w:szCs w:val="20"/>
                <w:color w:val="0000EE"/>
                <w:w w:val="98"/>
              </w:rPr>
              <w:t>Facility terminated</w:t>
            </w:r>
          </w:p>
        </w:tc>
        <w:tc>
          <w:tcPr>
            <w:tcW w:w="3140" w:type="dxa"/>
            <w:vAlign w:val="bottom"/>
            <w:gridSpan w:val="14"/>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ind w:left="120"/>
              <w:spacing w:after="0" w:line="209" w:lineRule="exact"/>
              <w:rPr>
                <w:sz w:val="20"/>
                <w:szCs w:val="20"/>
                <w:color w:val="auto"/>
              </w:rPr>
            </w:pPr>
            <w:r>
              <w:rPr>
                <w:rFonts w:ascii="Times New Roman" w:cs="Times New Roman" w:eastAsia="Times New Roman" w:hAnsi="Times New Roman"/>
                <w:sz w:val="20"/>
                <w:szCs w:val="20"/>
                <w:b w:val="1"/>
                <w:bCs w:val="1"/>
                <w:color w:val="0000EE"/>
              </w:rPr>
              <w:t>16</w:t>
            </w:r>
          </w:p>
        </w:tc>
        <w:tc>
          <w:tcPr>
            <w:tcW w:w="5660" w:type="dxa"/>
            <w:vAlign w:val="bottom"/>
            <w:gridSpan w:val="42"/>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Guarantee and indemnity</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80" w:type="dxa"/>
            <w:vAlign w:val="bottom"/>
            <w:gridSpan w:val="3"/>
          </w:tcPr>
          <w:p>
            <w:pPr>
              <w:spacing w:after="0"/>
              <w:rPr>
                <w:sz w:val="15"/>
                <w:szCs w:val="15"/>
                <w:color w:val="auto"/>
              </w:rPr>
            </w:pPr>
          </w:p>
        </w:tc>
        <w:tc>
          <w:tcPr>
            <w:tcW w:w="36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20"/>
                <w:szCs w:val="20"/>
                <w:color w:val="0000EE"/>
                <w:w w:val="97"/>
              </w:rPr>
              <w:t>Guarantee</w:t>
            </w:r>
          </w:p>
        </w:tc>
        <w:tc>
          <w:tcPr>
            <w:tcW w:w="3840" w:type="dxa"/>
            <w:vAlign w:val="bottom"/>
            <w:gridSpan w:val="28"/>
          </w:tcPr>
          <w:p>
            <w:pPr>
              <w:spacing w:after="0"/>
              <w:rPr>
                <w:sz w:val="15"/>
                <w:szCs w:val="15"/>
                <w:color w:val="auto"/>
              </w:rPr>
            </w:pPr>
          </w:p>
        </w:tc>
        <w:tc>
          <w:tcPr>
            <w:tcW w:w="242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0000EE"/>
            </w:tcBorders>
            <w:gridSpan w:val="24"/>
          </w:tcPr>
          <w:p>
            <w:pPr>
              <w:spacing w:after="0" w:line="209" w:lineRule="exact"/>
              <w:rPr>
                <w:sz w:val="20"/>
                <w:szCs w:val="20"/>
                <w:color w:val="auto"/>
              </w:rPr>
            </w:pPr>
            <w:r>
              <w:rPr>
                <w:rFonts w:ascii="Times New Roman" w:cs="Times New Roman" w:eastAsia="Times New Roman" w:hAnsi="Times New Roman"/>
                <w:sz w:val="20"/>
                <w:szCs w:val="20"/>
                <w:color w:val="0000EE"/>
                <w:w w:val="99"/>
              </w:rPr>
              <w:t>Nature of guarantee</w:t>
            </w:r>
          </w:p>
        </w:tc>
        <w:tc>
          <w:tcPr>
            <w:tcW w:w="3060" w:type="dxa"/>
            <w:vAlign w:val="bottom"/>
            <w:gridSpan w:val="11"/>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0000EE"/>
            </w:tcBorders>
            <w:gridSpan w:val="7"/>
          </w:tcPr>
          <w:p>
            <w:pPr>
              <w:spacing w:after="0" w:line="209" w:lineRule="exact"/>
              <w:rPr>
                <w:sz w:val="20"/>
                <w:szCs w:val="20"/>
                <w:color w:val="auto"/>
              </w:rPr>
            </w:pPr>
            <w:r>
              <w:rPr>
                <w:rFonts w:ascii="Times New Roman" w:cs="Times New Roman" w:eastAsia="Times New Roman" w:hAnsi="Times New Roman"/>
                <w:sz w:val="20"/>
                <w:szCs w:val="20"/>
                <w:color w:val="0000EE"/>
                <w:w w:val="97"/>
              </w:rPr>
              <w:t>Indemnity</w:t>
            </w:r>
          </w:p>
        </w:tc>
        <w:tc>
          <w:tcPr>
            <w:tcW w:w="3840" w:type="dxa"/>
            <w:vAlign w:val="bottom"/>
            <w:gridSpan w:val="28"/>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Borders>
              <w:bottom w:val="single" w:sz="8" w:color="0000EE"/>
            </w:tcBorders>
            <w:gridSpan w:val="28"/>
          </w:tcPr>
          <w:p>
            <w:pPr>
              <w:spacing w:after="0" w:line="209" w:lineRule="exact"/>
              <w:rPr>
                <w:sz w:val="20"/>
                <w:szCs w:val="20"/>
                <w:color w:val="auto"/>
              </w:rPr>
            </w:pPr>
            <w:r>
              <w:rPr>
                <w:rFonts w:ascii="Times New Roman" w:cs="Times New Roman" w:eastAsia="Times New Roman" w:hAnsi="Times New Roman"/>
                <w:sz w:val="20"/>
                <w:szCs w:val="20"/>
                <w:color w:val="0000EE"/>
                <w:w w:val="98"/>
              </w:rPr>
              <w:t>Reinstatement of rights</w:t>
            </w:r>
          </w:p>
        </w:tc>
        <w:tc>
          <w:tcPr>
            <w:tcW w:w="2800" w:type="dxa"/>
            <w:vAlign w:val="bottom"/>
            <w:gridSpan w:val="7"/>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35"/>
          </w:tcPr>
          <w:p>
            <w:pPr>
              <w:spacing w:after="0" w:line="209" w:lineRule="exact"/>
              <w:rPr>
                <w:sz w:val="20"/>
                <w:szCs w:val="20"/>
                <w:color w:val="auto"/>
              </w:rPr>
            </w:pPr>
            <w:r>
              <w:rPr>
                <w:rFonts w:ascii="Times New Roman" w:cs="Times New Roman" w:eastAsia="Times New Roman" w:hAnsi="Times New Roman"/>
                <w:sz w:val="20"/>
                <w:szCs w:val="20"/>
                <w:color w:val="0000EE"/>
              </w:rPr>
              <w:t>Rights of the Bank are protected</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Borders>
              <w:top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Borders>
              <w:top w:val="single" w:sz="8" w:color="0000EE"/>
            </w:tcBorders>
            <w:gridSpan w:val="32"/>
          </w:tcPr>
          <w:p>
            <w:pPr>
              <w:spacing w:after="0" w:line="209" w:lineRule="exact"/>
              <w:rPr>
                <w:sz w:val="20"/>
                <w:szCs w:val="20"/>
                <w:color w:val="auto"/>
              </w:rPr>
            </w:pPr>
            <w:r>
              <w:rPr>
                <w:rFonts w:ascii="Times New Roman" w:cs="Times New Roman" w:eastAsia="Times New Roman" w:hAnsi="Times New Roman"/>
                <w:sz w:val="20"/>
                <w:szCs w:val="20"/>
                <w:color w:val="0000EE"/>
              </w:rPr>
              <w:t>No merger</w:t>
            </w:r>
          </w:p>
        </w:tc>
        <w:tc>
          <w:tcPr>
            <w:tcW w:w="2100" w:type="dxa"/>
            <w:vAlign w:val="bottom"/>
            <w:gridSpan w:val="3"/>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Borders>
              <w:bottom w:val="single" w:sz="8" w:color="0000EE"/>
            </w:tcBorders>
            <w:gridSpan w:val="34"/>
          </w:tcPr>
          <w:p>
            <w:pPr>
              <w:spacing w:after="0" w:line="209" w:lineRule="exact"/>
              <w:rPr>
                <w:sz w:val="20"/>
                <w:szCs w:val="20"/>
                <w:color w:val="auto"/>
              </w:rPr>
            </w:pPr>
            <w:r>
              <w:rPr>
                <w:rFonts w:ascii="Times New Roman" w:cs="Times New Roman" w:eastAsia="Times New Roman" w:hAnsi="Times New Roman"/>
                <w:sz w:val="20"/>
                <w:szCs w:val="20"/>
                <w:color w:val="0000EE"/>
                <w:w w:val="98"/>
              </w:rPr>
              <w:t>Extent of Guarantor’s obligations</w:t>
            </w:r>
          </w:p>
        </w:tc>
        <w:tc>
          <w:tcPr>
            <w:tcW w:w="200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35"/>
          </w:tcPr>
          <w:p>
            <w:pPr>
              <w:spacing w:after="0" w:line="209" w:lineRule="exact"/>
              <w:rPr>
                <w:sz w:val="20"/>
                <w:szCs w:val="20"/>
                <w:color w:val="auto"/>
              </w:rPr>
            </w:pPr>
            <w:r>
              <w:rPr>
                <w:rFonts w:ascii="Times New Roman" w:cs="Times New Roman" w:eastAsia="Times New Roman" w:hAnsi="Times New Roman"/>
                <w:sz w:val="20"/>
                <w:szCs w:val="20"/>
                <w:color w:val="0000EE"/>
              </w:rPr>
              <w:t>Guarantor’s rights are suspended</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3"/>
            <w:vMerge w:val="continue"/>
          </w:tcPr>
          <w:p>
            <w:pPr>
              <w:spacing w:after="0"/>
              <w:rPr>
                <w:sz w:val="18"/>
                <w:szCs w:val="18"/>
                <w:color w:val="auto"/>
              </w:rPr>
            </w:pPr>
          </w:p>
        </w:tc>
        <w:tc>
          <w:tcPr>
            <w:tcW w:w="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96"/>
              </w:rPr>
              <w:t>16.</w:t>
            </w:r>
            <w:r>
              <w:rPr>
                <w:rFonts w:ascii="Times New Roman" w:cs="Times New Roman" w:eastAsia="Times New Roman" w:hAnsi="Times New Roman"/>
                <w:sz w:val="20"/>
                <w:szCs w:val="20"/>
                <w:u w:val="single" w:color="auto"/>
                <w:color w:val="0000EE"/>
                <w:w w:val="96"/>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35"/>
          </w:tcPr>
          <w:p>
            <w:pPr>
              <w:spacing w:after="0" w:line="209" w:lineRule="exact"/>
              <w:rPr>
                <w:sz w:val="20"/>
                <w:szCs w:val="20"/>
                <w:color w:val="auto"/>
              </w:rPr>
            </w:pPr>
            <w:r>
              <w:rPr>
                <w:rFonts w:ascii="Times New Roman" w:cs="Times New Roman" w:eastAsia="Times New Roman" w:hAnsi="Times New Roman"/>
                <w:sz w:val="20"/>
                <w:szCs w:val="20"/>
                <w:color w:val="0000EE"/>
              </w:rPr>
              <w:t>Guarantor’s right of proof limited</w:t>
            </w: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46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16.</w:t>
            </w:r>
            <w:r>
              <w:rPr>
                <w:rFonts w:ascii="Times New Roman" w:cs="Times New Roman" w:eastAsia="Times New Roman" w:hAnsi="Times New Roman"/>
                <w:sz w:val="20"/>
                <w:szCs w:val="20"/>
                <w:u w:val="single" w:color="auto"/>
                <w:color w:val="0000EE"/>
                <w:w w:val="97"/>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0000EE"/>
            </w:tcBorders>
            <w:gridSpan w:val="29"/>
          </w:tcPr>
          <w:p>
            <w:pPr>
              <w:spacing w:after="0" w:line="209" w:lineRule="exact"/>
              <w:rPr>
                <w:sz w:val="20"/>
                <w:szCs w:val="20"/>
                <w:color w:val="auto"/>
              </w:rPr>
            </w:pPr>
            <w:r>
              <w:rPr>
                <w:rFonts w:ascii="Times New Roman" w:cs="Times New Roman" w:eastAsia="Times New Roman" w:hAnsi="Times New Roman"/>
                <w:sz w:val="20"/>
                <w:szCs w:val="20"/>
                <w:color w:val="0000EE"/>
                <w:w w:val="98"/>
              </w:rPr>
              <w:t>No set-off against assignees</w:t>
            </w:r>
          </w:p>
        </w:tc>
        <w:tc>
          <w:tcPr>
            <w:tcW w:w="2340" w:type="dxa"/>
            <w:vAlign w:val="bottom"/>
            <w:gridSpan w:val="5"/>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44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3"/>
              </w:rPr>
              <w:t>16.</w:t>
            </w:r>
            <w:r>
              <w:rPr>
                <w:rFonts w:ascii="Times New Roman" w:cs="Times New Roman" w:eastAsia="Times New Roman" w:hAnsi="Times New Roman"/>
                <w:sz w:val="20"/>
                <w:szCs w:val="20"/>
                <w:u w:val="single" w:color="auto"/>
                <w:color w:val="0000EE"/>
                <w:w w:val="93"/>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0000EE"/>
            </w:tcBorders>
            <w:gridSpan w:val="19"/>
          </w:tcPr>
          <w:p>
            <w:pPr>
              <w:spacing w:after="0" w:line="209" w:lineRule="exact"/>
              <w:rPr>
                <w:sz w:val="20"/>
                <w:szCs w:val="20"/>
                <w:color w:val="auto"/>
              </w:rPr>
            </w:pPr>
            <w:r>
              <w:rPr>
                <w:rFonts w:ascii="Times New Roman" w:cs="Times New Roman" w:eastAsia="Times New Roman" w:hAnsi="Times New Roman"/>
                <w:sz w:val="20"/>
                <w:szCs w:val="20"/>
                <w:color w:val="0000EE"/>
                <w:w w:val="97"/>
              </w:rPr>
              <w:t>Suspense account</w:t>
            </w:r>
          </w:p>
        </w:tc>
        <w:tc>
          <w:tcPr>
            <w:tcW w:w="3160" w:type="dxa"/>
            <w:vAlign w:val="bottom"/>
            <w:gridSpan w:val="15"/>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46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16.</w:t>
            </w:r>
            <w:r>
              <w:rPr>
                <w:rFonts w:ascii="Times New Roman" w:cs="Times New Roman" w:eastAsia="Times New Roman" w:hAnsi="Times New Roman"/>
                <w:sz w:val="20"/>
                <w:szCs w:val="20"/>
                <w:u w:val="single" w:color="auto"/>
                <w:color w:val="0000EE"/>
                <w:w w:val="97"/>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34"/>
          </w:tcPr>
          <w:p>
            <w:pPr>
              <w:spacing w:after="0" w:line="209" w:lineRule="exact"/>
              <w:rPr>
                <w:sz w:val="20"/>
                <w:szCs w:val="20"/>
                <w:color w:val="auto"/>
              </w:rPr>
            </w:pPr>
            <w:r>
              <w:rPr>
                <w:rFonts w:ascii="Times New Roman" w:cs="Times New Roman" w:eastAsia="Times New Roman" w:hAnsi="Times New Roman"/>
                <w:sz w:val="20"/>
                <w:szCs w:val="20"/>
                <w:color w:val="0000EE"/>
              </w:rPr>
              <w:t>Right to prove</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46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16.</w:t>
            </w:r>
            <w:r>
              <w:rPr>
                <w:rFonts w:ascii="Times New Roman" w:cs="Times New Roman" w:eastAsia="Times New Roman" w:hAnsi="Times New Roman"/>
                <w:sz w:val="20"/>
                <w:szCs w:val="20"/>
                <w:u w:val="single" w:color="auto"/>
                <w:color w:val="0000EE"/>
                <w:w w:val="97"/>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0000EE"/>
            </w:tcBorders>
            <w:gridSpan w:val="27"/>
          </w:tcPr>
          <w:p>
            <w:pPr>
              <w:spacing w:after="0" w:line="209" w:lineRule="exact"/>
              <w:rPr>
                <w:sz w:val="20"/>
                <w:szCs w:val="20"/>
                <w:color w:val="auto"/>
              </w:rPr>
            </w:pPr>
            <w:r>
              <w:rPr>
                <w:rFonts w:ascii="Times New Roman" w:cs="Times New Roman" w:eastAsia="Times New Roman" w:hAnsi="Times New Roman"/>
                <w:sz w:val="20"/>
                <w:szCs w:val="20"/>
                <w:color w:val="0000EE"/>
                <w:w w:val="97"/>
              </w:rPr>
              <w:t>Release of Guarantors</w:t>
            </w:r>
          </w:p>
        </w:tc>
        <w:tc>
          <w:tcPr>
            <w:tcW w:w="2800" w:type="dxa"/>
            <w:vAlign w:val="bottom"/>
            <w:gridSpan w:val="7"/>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46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16.</w:t>
            </w:r>
            <w:r>
              <w:rPr>
                <w:rFonts w:ascii="Times New Roman" w:cs="Times New Roman" w:eastAsia="Times New Roman" w:hAnsi="Times New Roman"/>
                <w:sz w:val="20"/>
                <w:szCs w:val="20"/>
                <w:u w:val="single" w:color="auto"/>
                <w:color w:val="0000EE"/>
                <w:w w:val="97"/>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0000EE"/>
            </w:tcBorders>
            <w:gridSpan w:val="17"/>
          </w:tcPr>
          <w:p>
            <w:pPr>
              <w:spacing w:after="0" w:line="209" w:lineRule="exact"/>
              <w:rPr>
                <w:sz w:val="20"/>
                <w:szCs w:val="20"/>
                <w:color w:val="auto"/>
              </w:rPr>
            </w:pPr>
            <w:r>
              <w:rPr>
                <w:rFonts w:ascii="Times New Roman" w:cs="Times New Roman" w:eastAsia="Times New Roman" w:hAnsi="Times New Roman"/>
                <w:sz w:val="20"/>
                <w:szCs w:val="20"/>
                <w:color w:val="0000EE"/>
                <w:w w:val="98"/>
              </w:rPr>
              <w:t>New Guarantors</w:t>
            </w:r>
          </w:p>
        </w:tc>
        <w:tc>
          <w:tcPr>
            <w:tcW w:w="3240" w:type="dxa"/>
            <w:vAlign w:val="bottom"/>
            <w:gridSpan w:val="17"/>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46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16.</w:t>
            </w:r>
            <w:r>
              <w:rPr>
                <w:rFonts w:ascii="Times New Roman" w:cs="Times New Roman" w:eastAsia="Times New Roman" w:hAnsi="Times New Roman"/>
                <w:sz w:val="20"/>
                <w:szCs w:val="20"/>
                <w:u w:val="single" w:color="auto"/>
                <w:color w:val="0000EE"/>
                <w:w w:val="97"/>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0000EE"/>
            </w:tcBorders>
            <w:gridSpan w:val="15"/>
          </w:tcPr>
          <w:p>
            <w:pPr>
              <w:spacing w:after="0" w:line="209" w:lineRule="exact"/>
              <w:rPr>
                <w:sz w:val="20"/>
                <w:szCs w:val="20"/>
                <w:color w:val="auto"/>
              </w:rPr>
            </w:pPr>
            <w:r>
              <w:rPr>
                <w:rFonts w:ascii="Times New Roman" w:cs="Times New Roman" w:eastAsia="Times New Roman" w:hAnsi="Times New Roman"/>
                <w:sz w:val="20"/>
                <w:szCs w:val="20"/>
                <w:color w:val="0000EE"/>
                <w:w w:val="97"/>
              </w:rPr>
              <w:t>Consideration</w:t>
            </w:r>
          </w:p>
        </w:tc>
        <w:tc>
          <w:tcPr>
            <w:tcW w:w="3420" w:type="dxa"/>
            <w:vAlign w:val="bottom"/>
            <w:gridSpan w:val="19"/>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46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16.</w:t>
            </w:r>
            <w:r>
              <w:rPr>
                <w:rFonts w:ascii="Times New Roman" w:cs="Times New Roman" w:eastAsia="Times New Roman" w:hAnsi="Times New Roman"/>
                <w:sz w:val="20"/>
                <w:szCs w:val="20"/>
                <w:u w:val="single" w:color="auto"/>
                <w:color w:val="0000EE"/>
                <w:w w:val="97"/>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0000EE"/>
            </w:tcBorders>
            <w:gridSpan w:val="17"/>
          </w:tcPr>
          <w:p>
            <w:pPr>
              <w:spacing w:after="0" w:line="209" w:lineRule="exact"/>
              <w:rPr>
                <w:sz w:val="20"/>
                <w:szCs w:val="20"/>
                <w:color w:val="auto"/>
              </w:rPr>
            </w:pPr>
            <w:r>
              <w:rPr>
                <w:rFonts w:ascii="Times New Roman" w:cs="Times New Roman" w:eastAsia="Times New Roman" w:hAnsi="Times New Roman"/>
                <w:sz w:val="20"/>
                <w:szCs w:val="20"/>
                <w:color w:val="0000EE"/>
                <w:w w:val="98"/>
              </w:rPr>
              <w:t>New Guarantors</w:t>
            </w:r>
          </w:p>
        </w:tc>
        <w:tc>
          <w:tcPr>
            <w:tcW w:w="3240" w:type="dxa"/>
            <w:vAlign w:val="bottom"/>
            <w:gridSpan w:val="17"/>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ind w:left="120"/>
              <w:spacing w:after="0" w:line="209" w:lineRule="exact"/>
              <w:rPr>
                <w:sz w:val="20"/>
                <w:szCs w:val="20"/>
                <w:color w:val="auto"/>
              </w:rPr>
            </w:pPr>
            <w:r>
              <w:rPr>
                <w:rFonts w:ascii="Times New Roman" w:cs="Times New Roman" w:eastAsia="Times New Roman" w:hAnsi="Times New Roman"/>
                <w:sz w:val="20"/>
                <w:szCs w:val="20"/>
                <w:b w:val="1"/>
                <w:bCs w:val="1"/>
                <w:color w:val="0000EE"/>
              </w:rPr>
              <w:t>17</w:t>
            </w:r>
          </w:p>
        </w:tc>
        <w:tc>
          <w:tcPr>
            <w:tcW w:w="88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Attorney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80" w:type="dxa"/>
            <w:vAlign w:val="bottom"/>
            <w:gridSpan w:val="3"/>
          </w:tcPr>
          <w:p>
            <w:pPr>
              <w:spacing w:after="0"/>
              <w:rPr>
                <w:sz w:val="15"/>
                <w:szCs w:val="15"/>
                <w:color w:val="auto"/>
              </w:rPr>
            </w:pPr>
          </w:p>
        </w:tc>
        <w:tc>
          <w:tcPr>
            <w:tcW w:w="3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0000EE"/>
                <w:w w:val="96"/>
              </w:rPr>
              <w:t>17.</w:t>
            </w:r>
            <w:r>
              <w:rPr>
                <w:rFonts w:ascii="Times New Roman" w:cs="Times New Roman" w:eastAsia="Times New Roman" w:hAnsi="Times New Roman"/>
                <w:sz w:val="20"/>
                <w:szCs w:val="20"/>
                <w:u w:val="single" w:color="auto"/>
                <w:color w:val="0000EE"/>
                <w:w w:val="96"/>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5"/>
          </w:tcPr>
          <w:p>
            <w:pPr>
              <w:spacing w:after="0" w:line="183" w:lineRule="exact"/>
              <w:rPr>
                <w:sz w:val="20"/>
                <w:szCs w:val="20"/>
                <w:color w:val="auto"/>
              </w:rPr>
            </w:pPr>
            <w:r>
              <w:rPr>
                <w:rFonts w:ascii="Times New Roman" w:cs="Times New Roman" w:eastAsia="Times New Roman" w:hAnsi="Times New Roman"/>
                <w:sz w:val="20"/>
                <w:szCs w:val="20"/>
                <w:color w:val="0000EE"/>
              </w:rPr>
              <w:t>Appointment</w:t>
            </w:r>
          </w:p>
        </w:tc>
        <w:tc>
          <w:tcPr>
            <w:tcW w:w="242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17.</w:t>
            </w:r>
            <w:r>
              <w:rPr>
                <w:rFonts w:ascii="Times New Roman" w:cs="Times New Roman" w:eastAsia="Times New Roman" w:hAnsi="Times New Roman"/>
                <w:sz w:val="20"/>
                <w:szCs w:val="20"/>
                <w:u w:val="single" w:color="auto"/>
                <w:color w:val="0000EE"/>
                <w:w w:val="96"/>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0000EE"/>
              <w:bottom w:val="single" w:sz="8" w:color="0000EE"/>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EE"/>
                <w:w w:val="97"/>
              </w:rPr>
              <w:t>Not used</w:t>
            </w:r>
          </w:p>
        </w:tc>
        <w:tc>
          <w:tcPr>
            <w:tcW w:w="320" w:type="dxa"/>
            <w:vAlign w:val="bottom"/>
            <w:tcBorders>
              <w:top w:val="single" w:sz="8" w:color="0000EE"/>
            </w:tcBorders>
            <w:gridSpan w:val="5"/>
          </w:tcPr>
          <w:p>
            <w:pPr>
              <w:spacing w:after="0"/>
              <w:rPr>
                <w:sz w:val="18"/>
                <w:szCs w:val="18"/>
                <w:color w:val="auto"/>
              </w:rPr>
            </w:pPr>
          </w:p>
        </w:tc>
        <w:tc>
          <w:tcPr>
            <w:tcW w:w="3620" w:type="dxa"/>
            <w:vAlign w:val="bottom"/>
            <w:gridSpan w:val="25"/>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96"/>
              </w:rPr>
              <w:t>17.</w:t>
            </w:r>
            <w:r>
              <w:rPr>
                <w:rFonts w:ascii="Times New Roman" w:cs="Times New Roman" w:eastAsia="Times New Roman" w:hAnsi="Times New Roman"/>
                <w:sz w:val="20"/>
                <w:szCs w:val="20"/>
                <w:u w:val="single" w:color="auto"/>
                <w:color w:val="0000EE"/>
                <w:w w:val="96"/>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35"/>
          </w:tcPr>
          <w:p>
            <w:pPr>
              <w:spacing w:after="0" w:line="209" w:lineRule="exact"/>
              <w:rPr>
                <w:sz w:val="20"/>
                <w:szCs w:val="20"/>
                <w:color w:val="auto"/>
              </w:rPr>
            </w:pPr>
            <w:r>
              <w:rPr>
                <w:rFonts w:ascii="Times New Roman" w:cs="Times New Roman" w:eastAsia="Times New Roman" w:hAnsi="Times New Roman"/>
                <w:sz w:val="20"/>
                <w:szCs w:val="20"/>
                <w:color w:val="0000EE"/>
              </w:rPr>
              <w:t>General</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0000EE"/>
              </w:rPr>
              <w:t>18</w:t>
            </w:r>
          </w:p>
        </w:tc>
        <w:tc>
          <w:tcPr>
            <w:tcW w:w="3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88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General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80" w:type="dxa"/>
            <w:vAlign w:val="bottom"/>
            <w:gridSpan w:val="3"/>
          </w:tcPr>
          <w:p>
            <w:pPr>
              <w:spacing w:after="0"/>
              <w:rPr>
                <w:sz w:val="15"/>
                <w:szCs w:val="15"/>
                <w:color w:val="auto"/>
              </w:rPr>
            </w:pPr>
          </w:p>
        </w:tc>
        <w:tc>
          <w:tcPr>
            <w:tcW w:w="3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5"/>
          </w:tcPr>
          <w:p>
            <w:pPr>
              <w:spacing w:after="0" w:line="183" w:lineRule="exact"/>
              <w:rPr>
                <w:sz w:val="20"/>
                <w:szCs w:val="20"/>
                <w:color w:val="auto"/>
              </w:rPr>
            </w:pPr>
            <w:r>
              <w:rPr>
                <w:rFonts w:ascii="Times New Roman" w:cs="Times New Roman" w:eastAsia="Times New Roman" w:hAnsi="Times New Roman"/>
                <w:sz w:val="20"/>
                <w:szCs w:val="20"/>
                <w:color w:val="0000EE"/>
              </w:rPr>
              <w:t>Set-off</w:t>
            </w:r>
          </w:p>
        </w:tc>
        <w:tc>
          <w:tcPr>
            <w:tcW w:w="242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3"/>
            <w:vMerge w:val="continue"/>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bottom w:val="single" w:sz="8" w:color="0000EE"/>
            </w:tcBorders>
            <w:gridSpan w:val="17"/>
          </w:tcPr>
          <w:p>
            <w:pPr>
              <w:spacing w:after="0" w:line="209" w:lineRule="exact"/>
              <w:rPr>
                <w:sz w:val="20"/>
                <w:szCs w:val="20"/>
                <w:color w:val="auto"/>
              </w:rPr>
            </w:pPr>
            <w:r>
              <w:rPr>
                <w:rFonts w:ascii="Times New Roman" w:cs="Times New Roman" w:eastAsia="Times New Roman" w:hAnsi="Times New Roman"/>
                <w:sz w:val="20"/>
                <w:szCs w:val="20"/>
                <w:color w:val="0000EE"/>
                <w:w w:val="97"/>
              </w:rPr>
              <w:t>Bank’s certificate</w:t>
            </w:r>
          </w:p>
        </w:tc>
        <w:tc>
          <w:tcPr>
            <w:tcW w:w="3260" w:type="dxa"/>
            <w:vAlign w:val="bottom"/>
            <w:gridSpan w:val="18"/>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bottom w:val="single" w:sz="8" w:color="0000EE"/>
            </w:tcBorders>
            <w:gridSpan w:val="29"/>
          </w:tcPr>
          <w:p>
            <w:pPr>
              <w:spacing w:after="0" w:line="209" w:lineRule="exact"/>
              <w:rPr>
                <w:sz w:val="20"/>
                <w:szCs w:val="20"/>
                <w:color w:val="auto"/>
              </w:rPr>
            </w:pPr>
            <w:r>
              <w:rPr>
                <w:rFonts w:ascii="Times New Roman" w:cs="Times New Roman" w:eastAsia="Times New Roman" w:hAnsi="Times New Roman"/>
                <w:sz w:val="20"/>
                <w:szCs w:val="20"/>
                <w:color w:val="0000EE"/>
                <w:w w:val="98"/>
              </w:rPr>
              <w:t>Supervening legislation</w:t>
            </w:r>
          </w:p>
        </w:tc>
        <w:tc>
          <w:tcPr>
            <w:tcW w:w="2780" w:type="dxa"/>
            <w:vAlign w:val="bottom"/>
            <w:gridSpan w:val="6"/>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0000EE"/>
            </w:tcBorders>
            <w:gridSpan w:val="23"/>
          </w:tcPr>
          <w:p>
            <w:pPr>
              <w:spacing w:after="0" w:line="209" w:lineRule="exact"/>
              <w:rPr>
                <w:sz w:val="20"/>
                <w:szCs w:val="20"/>
                <w:color w:val="auto"/>
              </w:rPr>
            </w:pPr>
            <w:r>
              <w:rPr>
                <w:rFonts w:ascii="Times New Roman" w:cs="Times New Roman" w:eastAsia="Times New Roman" w:hAnsi="Times New Roman"/>
                <w:sz w:val="20"/>
                <w:szCs w:val="20"/>
                <w:color w:val="0000EE"/>
                <w:w w:val="97"/>
              </w:rPr>
              <w:t>Time of the essence</w:t>
            </w:r>
          </w:p>
        </w:tc>
        <w:tc>
          <w:tcPr>
            <w:tcW w:w="3080" w:type="dxa"/>
            <w:vAlign w:val="bottom"/>
            <w:gridSpan w:val="12"/>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35"/>
          </w:tcPr>
          <w:p>
            <w:pPr>
              <w:spacing w:after="0" w:line="209" w:lineRule="exact"/>
              <w:rPr>
                <w:sz w:val="20"/>
                <w:szCs w:val="20"/>
                <w:color w:val="auto"/>
              </w:rPr>
            </w:pPr>
            <w:r>
              <w:rPr>
                <w:rFonts w:ascii="Times New Roman" w:cs="Times New Roman" w:eastAsia="Times New Roman" w:hAnsi="Times New Roman"/>
                <w:sz w:val="20"/>
                <w:szCs w:val="20"/>
                <w:color w:val="0000EE"/>
              </w:rPr>
              <w:t>Business Days</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3"/>
            <w:vMerge w:val="continue"/>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0000EE"/>
            </w:tcBorders>
            <w:gridSpan w:val="15"/>
          </w:tcPr>
          <w:p>
            <w:pPr>
              <w:spacing w:after="0" w:line="209" w:lineRule="exact"/>
              <w:rPr>
                <w:sz w:val="20"/>
                <w:szCs w:val="20"/>
                <w:color w:val="auto"/>
              </w:rPr>
            </w:pPr>
            <w:r>
              <w:rPr>
                <w:rFonts w:ascii="Times New Roman" w:cs="Times New Roman" w:eastAsia="Times New Roman" w:hAnsi="Times New Roman"/>
                <w:sz w:val="20"/>
                <w:szCs w:val="20"/>
                <w:color w:val="0000EE"/>
                <w:w w:val="97"/>
              </w:rPr>
              <w:t>Confidentiality</w:t>
            </w:r>
          </w:p>
        </w:tc>
        <w:tc>
          <w:tcPr>
            <w:tcW w:w="3460" w:type="dxa"/>
            <w:vAlign w:val="bottom"/>
            <w:gridSpan w:val="20"/>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0000EE"/>
            </w:tcBorders>
            <w:gridSpan w:val="13"/>
          </w:tcPr>
          <w:p>
            <w:pPr>
              <w:spacing w:after="0" w:line="209" w:lineRule="exact"/>
              <w:rPr>
                <w:sz w:val="20"/>
                <w:szCs w:val="20"/>
                <w:color w:val="auto"/>
              </w:rPr>
            </w:pPr>
            <w:r>
              <w:rPr>
                <w:rFonts w:ascii="Times New Roman" w:cs="Times New Roman" w:eastAsia="Times New Roman" w:hAnsi="Times New Roman"/>
                <w:sz w:val="20"/>
                <w:szCs w:val="20"/>
                <w:color w:val="0000EE"/>
                <w:w w:val="98"/>
              </w:rPr>
              <w:t>Exchange rate</w:t>
            </w:r>
          </w:p>
        </w:tc>
        <w:tc>
          <w:tcPr>
            <w:tcW w:w="3500" w:type="dxa"/>
            <w:vAlign w:val="bottom"/>
            <w:gridSpan w:val="22"/>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0000EE"/>
            </w:tcBorders>
            <w:gridSpan w:val="25"/>
          </w:tcPr>
          <w:p>
            <w:pPr>
              <w:spacing w:after="0" w:line="209" w:lineRule="exact"/>
              <w:rPr>
                <w:sz w:val="20"/>
                <w:szCs w:val="20"/>
                <w:color w:val="auto"/>
              </w:rPr>
            </w:pPr>
            <w:r>
              <w:rPr>
                <w:rFonts w:ascii="Times New Roman" w:cs="Times New Roman" w:eastAsia="Times New Roman" w:hAnsi="Times New Roman"/>
                <w:sz w:val="20"/>
                <w:szCs w:val="20"/>
                <w:color w:val="0000EE"/>
                <w:w w:val="97"/>
              </w:rPr>
              <w:t>Records as evidence</w:t>
            </w:r>
          </w:p>
        </w:tc>
        <w:tc>
          <w:tcPr>
            <w:tcW w:w="3040" w:type="dxa"/>
            <w:vAlign w:val="bottom"/>
            <w:gridSpan w:val="10"/>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6"/>
              </w:rPr>
              <w:t>18.</w:t>
            </w:r>
            <w:r>
              <w:rPr>
                <w:rFonts w:ascii="Times New Roman" w:cs="Times New Roman" w:eastAsia="Times New Roman" w:hAnsi="Times New Roman"/>
                <w:sz w:val="20"/>
                <w:szCs w:val="20"/>
                <w:u w:val="single" w:color="auto"/>
                <w:color w:val="0000EE"/>
                <w:w w:val="96"/>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0000EE"/>
            </w:tcBorders>
            <w:gridSpan w:val="19"/>
          </w:tcPr>
          <w:p>
            <w:pPr>
              <w:spacing w:after="0" w:line="209" w:lineRule="exact"/>
              <w:rPr>
                <w:sz w:val="20"/>
                <w:szCs w:val="20"/>
                <w:color w:val="auto"/>
              </w:rPr>
            </w:pPr>
            <w:r>
              <w:rPr>
                <w:rFonts w:ascii="Times New Roman" w:cs="Times New Roman" w:eastAsia="Times New Roman" w:hAnsi="Times New Roman"/>
                <w:sz w:val="20"/>
                <w:szCs w:val="20"/>
                <w:color w:val="0000EE"/>
                <w:w w:val="97"/>
              </w:rPr>
              <w:t>Further assurances</w:t>
            </w:r>
          </w:p>
        </w:tc>
        <w:tc>
          <w:tcPr>
            <w:tcW w:w="3180" w:type="dxa"/>
            <w:vAlign w:val="bottom"/>
            <w:gridSpan w:val="16"/>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46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0000EE"/>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EE"/>
                <w:w w:val="97"/>
              </w:rPr>
              <w:t>Amendment</w:t>
            </w:r>
          </w:p>
        </w:tc>
        <w:tc>
          <w:tcPr>
            <w:tcW w:w="3580" w:type="dxa"/>
            <w:vAlign w:val="bottom"/>
            <w:gridSpan w:val="24"/>
          </w:tcPr>
          <w:p>
            <w:pPr>
              <w:spacing w:after="0"/>
              <w:rPr>
                <w:sz w:val="18"/>
                <w:szCs w:val="18"/>
                <w:color w:val="auto"/>
              </w:rPr>
            </w:pP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3"/>
              </w:rPr>
              <w:t>18.</w:t>
            </w:r>
            <w:r>
              <w:rPr>
                <w:rFonts w:ascii="Times New Roman" w:cs="Times New Roman" w:eastAsia="Times New Roman" w:hAnsi="Times New Roman"/>
                <w:sz w:val="20"/>
                <w:szCs w:val="20"/>
                <w:u w:val="single" w:color="auto"/>
                <w:color w:val="0000EE"/>
                <w:w w:val="93"/>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34"/>
          </w:tcPr>
          <w:p>
            <w:pPr>
              <w:spacing w:after="0" w:line="209" w:lineRule="exact"/>
              <w:rPr>
                <w:sz w:val="20"/>
                <w:szCs w:val="20"/>
                <w:color w:val="auto"/>
              </w:rPr>
            </w:pPr>
            <w:r>
              <w:rPr>
                <w:rFonts w:ascii="Times New Roman" w:cs="Times New Roman" w:eastAsia="Times New Roman" w:hAnsi="Times New Roman"/>
                <w:sz w:val="20"/>
                <w:szCs w:val="20"/>
                <w:color w:val="0000EE"/>
              </w:rPr>
              <w:t>Waiver and exercise of rights</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11"/>
            <w:shd w:val="clear" w:color="auto" w:fill="0000EE"/>
          </w:tcPr>
          <w:p>
            <w:pPr>
              <w:spacing w:after="0" w:line="20" w:lineRule="exact"/>
              <w:rPr>
                <w:sz w:val="1"/>
                <w:szCs w:val="1"/>
                <w:color w:val="auto"/>
              </w:rPr>
            </w:pPr>
          </w:p>
        </w:tc>
        <w:tc>
          <w:tcPr>
            <w:tcW w:w="420" w:type="dxa"/>
            <w:vAlign w:val="bottom"/>
            <w:gridSpan w:val="10"/>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46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34"/>
          </w:tcPr>
          <w:p>
            <w:pPr>
              <w:spacing w:after="0" w:line="209" w:lineRule="exact"/>
              <w:rPr>
                <w:sz w:val="20"/>
                <w:szCs w:val="20"/>
                <w:color w:val="auto"/>
              </w:rPr>
            </w:pPr>
            <w:r>
              <w:rPr>
                <w:rFonts w:ascii="Times New Roman" w:cs="Times New Roman" w:eastAsia="Times New Roman" w:hAnsi="Times New Roman"/>
                <w:sz w:val="20"/>
                <w:szCs w:val="20"/>
                <w:color w:val="0000EE"/>
              </w:rPr>
              <w:t>Rights cumulative</w:t>
            </w: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11"/>
            <w:shd w:val="clear" w:color="auto" w:fill="0000EE"/>
          </w:tcPr>
          <w:p>
            <w:pPr>
              <w:spacing w:after="0" w:line="20" w:lineRule="exact"/>
              <w:rPr>
                <w:sz w:val="1"/>
                <w:szCs w:val="1"/>
                <w:color w:val="auto"/>
              </w:rPr>
            </w:pPr>
          </w:p>
        </w:tc>
        <w:tc>
          <w:tcPr>
            <w:tcW w:w="420" w:type="dxa"/>
            <w:vAlign w:val="bottom"/>
            <w:gridSpan w:val="10"/>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3"/>
            <w:vMerge w:val="continue"/>
          </w:tcPr>
          <w:p>
            <w:pPr>
              <w:spacing w:after="0"/>
              <w:rPr>
                <w:sz w:val="18"/>
                <w:szCs w:val="18"/>
                <w:color w:val="auto"/>
              </w:rPr>
            </w:pPr>
          </w:p>
        </w:tc>
        <w:tc>
          <w:tcPr>
            <w:tcW w:w="460" w:type="dxa"/>
            <w:vAlign w:val="bottom"/>
            <w:tcBorders>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0000EE"/>
            </w:tcBorders>
            <w:gridSpan w:val="26"/>
          </w:tcPr>
          <w:p>
            <w:pPr>
              <w:spacing w:after="0" w:line="209" w:lineRule="exact"/>
              <w:rPr>
                <w:sz w:val="20"/>
                <w:szCs w:val="20"/>
                <w:color w:val="auto"/>
              </w:rPr>
            </w:pPr>
            <w:r>
              <w:rPr>
                <w:rFonts w:ascii="Times New Roman" w:cs="Times New Roman" w:eastAsia="Times New Roman" w:hAnsi="Times New Roman"/>
                <w:sz w:val="20"/>
                <w:szCs w:val="20"/>
                <w:color w:val="0000EE"/>
                <w:w w:val="97"/>
              </w:rPr>
              <w:t>Approval and consent</w:t>
            </w:r>
          </w:p>
        </w:tc>
        <w:tc>
          <w:tcPr>
            <w:tcW w:w="2820" w:type="dxa"/>
            <w:vAlign w:val="bottom"/>
            <w:gridSpan w:val="8"/>
          </w:tcPr>
          <w:p>
            <w:pPr>
              <w:spacing w:after="0"/>
              <w:rPr>
                <w:sz w:val="18"/>
                <w:szCs w:val="18"/>
                <w:color w:val="auto"/>
              </w:rPr>
            </w:pP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46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34"/>
          </w:tcPr>
          <w:p>
            <w:pPr>
              <w:spacing w:after="0" w:line="209" w:lineRule="exact"/>
              <w:rPr>
                <w:sz w:val="20"/>
                <w:szCs w:val="20"/>
                <w:color w:val="auto"/>
              </w:rPr>
            </w:pPr>
            <w:r>
              <w:rPr>
                <w:rFonts w:ascii="Times New Roman" w:cs="Times New Roman" w:eastAsia="Times New Roman" w:hAnsi="Times New Roman"/>
                <w:sz w:val="20"/>
                <w:szCs w:val="20"/>
                <w:color w:val="0000EE"/>
              </w:rPr>
              <w:t>Assignment</w:t>
            </w:r>
          </w:p>
        </w:tc>
        <w:tc>
          <w:tcPr>
            <w:tcW w:w="242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3"/>
            <w:vMerge w:val="continue"/>
          </w:tcPr>
          <w:p>
            <w:pPr>
              <w:spacing w:after="0"/>
              <w:rPr>
                <w:sz w:val="18"/>
                <w:szCs w:val="18"/>
                <w:color w:val="auto"/>
              </w:rPr>
            </w:pPr>
          </w:p>
        </w:tc>
        <w:tc>
          <w:tcPr>
            <w:tcW w:w="46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34"/>
          </w:tcPr>
          <w:p>
            <w:pPr>
              <w:spacing w:after="0" w:line="209" w:lineRule="exact"/>
              <w:rPr>
                <w:sz w:val="20"/>
                <w:szCs w:val="20"/>
                <w:color w:val="auto"/>
              </w:rPr>
            </w:pPr>
            <w:r>
              <w:rPr>
                <w:rFonts w:ascii="Times New Roman" w:cs="Times New Roman" w:eastAsia="Times New Roman" w:hAnsi="Times New Roman"/>
                <w:sz w:val="20"/>
                <w:szCs w:val="20"/>
                <w:color w:val="0000EE"/>
              </w:rPr>
              <w:t>Counterparts</w:t>
            </w: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11"/>
            <w:shd w:val="clear" w:color="auto" w:fill="0000EE"/>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24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46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34"/>
          </w:tcPr>
          <w:p>
            <w:pPr>
              <w:spacing w:after="0" w:line="209" w:lineRule="exact"/>
              <w:rPr>
                <w:sz w:val="20"/>
                <w:szCs w:val="20"/>
                <w:color w:val="auto"/>
              </w:rPr>
            </w:pPr>
            <w:r>
              <w:rPr>
                <w:rFonts w:ascii="Times New Roman" w:cs="Times New Roman" w:eastAsia="Times New Roman" w:hAnsi="Times New Roman"/>
                <w:sz w:val="20"/>
                <w:szCs w:val="20"/>
                <w:color w:val="0000EE"/>
              </w:rPr>
              <w:t>Sovereign immunity</w:t>
            </w:r>
          </w:p>
        </w:tc>
        <w:tc>
          <w:tcPr>
            <w:tcW w:w="2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-37465</wp:posOffset>
            </wp:positionV>
            <wp:extent cx="3365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3365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4">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4" w:name="page55"/>
    <w:bookmarkEnd w:id="54"/>
    <w:tbl>
      <w:tblPr>
        <w:tblLayout w:type="fixed"/>
        <w:tblInd w:w="80" w:type="dxa"/>
        <w:tblCellMar>
          <w:top w:w="0" w:type="dxa"/>
          <w:left w:w="0" w:type="dxa"/>
          <w:bottom w:w="0" w:type="dxa"/>
          <w:right w:w="0" w:type="dxa"/>
        </w:tblCellMar>
      </w:tblPr>
      <w:tr>
        <w:trPr>
          <w:trHeight w:val="230"/>
        </w:trPr>
        <w:tc>
          <w:tcPr>
            <w:tcW w:w="780" w:type="dxa"/>
            <w:vAlign w:val="bottom"/>
            <w:gridSpan w:val="3"/>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13"/>
          </w:tcPr>
          <w:p>
            <w:pPr>
              <w:spacing w:after="0"/>
              <w:rPr>
                <w:sz w:val="20"/>
                <w:szCs w:val="20"/>
                <w:color w:val="auto"/>
              </w:rPr>
            </w:pPr>
            <w:r>
              <w:rPr>
                <w:rFonts w:ascii="Times New Roman" w:cs="Times New Roman" w:eastAsia="Times New Roman" w:hAnsi="Times New Roman"/>
                <w:sz w:val="20"/>
                <w:szCs w:val="20"/>
                <w:color w:val="0000EE"/>
              </w:rPr>
              <w:t>Governing law and jurisdiction</w:t>
            </w:r>
          </w:p>
        </w:tc>
        <w:tc>
          <w:tcPr>
            <w:tcW w:w="24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460" w:type="dxa"/>
            <w:vAlign w:val="bottom"/>
            <w:tcBorders>
              <w:top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top w:val="single" w:sz="8" w:color="0000EE"/>
            </w:tcBorders>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Telephone recording</w:t>
            </w:r>
          </w:p>
        </w:tc>
        <w:tc>
          <w:tcPr>
            <w:tcW w:w="2080" w:type="dxa"/>
            <w:vAlign w:val="bottom"/>
            <w:gridSpan w:val="2"/>
          </w:tcPr>
          <w:p>
            <w:pPr>
              <w:spacing w:after="0"/>
              <w:rPr>
                <w:sz w:val="18"/>
                <w:szCs w:val="18"/>
                <w:color w:val="auto"/>
              </w:rPr>
            </w:pP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460" w:type="dxa"/>
            <w:vAlign w:val="bottom"/>
            <w:tcBorders>
              <w:top w:val="single" w:sz="8" w:color="0000EE"/>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0000EE"/>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7"/>
              </w:rPr>
              <w:t>Legal advice</w:t>
            </w:r>
          </w:p>
        </w:tc>
        <w:tc>
          <w:tcPr>
            <w:tcW w:w="600" w:type="dxa"/>
            <w:vAlign w:val="bottom"/>
            <w:tcBorders>
              <w:top w:val="single" w:sz="8" w:color="0000EE"/>
            </w:tcBorders>
            <w:gridSpan w:val="4"/>
          </w:tcPr>
          <w:p>
            <w:pPr>
              <w:spacing w:after="0"/>
              <w:rPr>
                <w:sz w:val="18"/>
                <w:szCs w:val="18"/>
                <w:color w:val="auto"/>
              </w:rPr>
            </w:pPr>
          </w:p>
        </w:tc>
        <w:tc>
          <w:tcPr>
            <w:tcW w:w="2920" w:type="dxa"/>
            <w:vAlign w:val="bottom"/>
            <w:gridSpan w:val="7"/>
          </w:tcPr>
          <w:p>
            <w:pPr>
              <w:spacing w:after="0"/>
              <w:rPr>
                <w:sz w:val="18"/>
                <w:szCs w:val="18"/>
                <w:color w:val="auto"/>
              </w:rPr>
            </w:pP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460" w:type="dxa"/>
            <w:vAlign w:val="bottom"/>
            <w:tcBorders>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0000EE"/>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EE"/>
                <w:w w:val="97"/>
              </w:rPr>
              <w:t>Further assurances</w:t>
            </w:r>
          </w:p>
        </w:tc>
        <w:tc>
          <w:tcPr>
            <w:tcW w:w="3060" w:type="dxa"/>
            <w:vAlign w:val="bottom"/>
            <w:gridSpan w:val="8"/>
          </w:tcPr>
          <w:p>
            <w:pPr>
              <w:spacing w:after="0"/>
              <w:rPr>
                <w:sz w:val="18"/>
                <w:szCs w:val="18"/>
                <w:color w:val="auto"/>
              </w:rPr>
            </w:pP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4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3"/>
          </w:tcPr>
          <w:p>
            <w:pPr>
              <w:spacing w:after="0" w:line="209" w:lineRule="exact"/>
              <w:rPr>
                <w:sz w:val="20"/>
                <w:szCs w:val="20"/>
                <w:color w:val="auto"/>
              </w:rPr>
            </w:pPr>
            <w:r>
              <w:rPr>
                <w:rFonts w:ascii="Times New Roman" w:cs="Times New Roman" w:eastAsia="Times New Roman" w:hAnsi="Times New Roman"/>
                <w:sz w:val="20"/>
                <w:szCs w:val="20"/>
                <w:color w:val="0000EE"/>
              </w:rPr>
              <w:t>Exclusion of certain provisions</w:t>
            </w: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460" w:type="dxa"/>
            <w:vAlign w:val="bottom"/>
            <w:tcBorders>
              <w:top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7"/>
              </w:rPr>
              <w:t>18.</w:t>
            </w:r>
            <w:r>
              <w:rPr>
                <w:rFonts w:ascii="Times New Roman" w:cs="Times New Roman" w:eastAsia="Times New Roman" w:hAnsi="Times New Roman"/>
                <w:sz w:val="20"/>
                <w:szCs w:val="20"/>
                <w:u w:val="single" w:color="auto"/>
                <w:color w:val="0000EE"/>
                <w:w w:val="97"/>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top w:val="single" w:sz="8" w:color="0000EE"/>
            </w:tcBorders>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Notice of changes</w:t>
            </w:r>
          </w:p>
        </w:tc>
        <w:tc>
          <w:tcPr>
            <w:tcW w:w="2080" w:type="dxa"/>
            <w:vAlign w:val="bottom"/>
            <w:gridSpan w:val="2"/>
          </w:tcPr>
          <w:p>
            <w:pPr>
              <w:spacing w:after="0"/>
              <w:rPr>
                <w:sz w:val="18"/>
                <w:szCs w:val="18"/>
                <w:color w:val="auto"/>
              </w:rPr>
            </w:pP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0000EE"/>
              </w:rPr>
              <w:t>19</w:t>
            </w: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4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82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b w:val="1"/>
                <w:bCs w:val="1"/>
                <w:color w:val="0000EE"/>
              </w:rPr>
              <w:t>Notices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80" w:type="dxa"/>
            <w:vAlign w:val="bottom"/>
            <w:gridSpan w:val="3"/>
          </w:tcPr>
          <w:p>
            <w:pPr>
              <w:spacing w:after="0"/>
              <w:rPr>
                <w:sz w:val="15"/>
                <w:szCs w:val="15"/>
                <w:color w:val="auto"/>
              </w:rPr>
            </w:pPr>
          </w:p>
        </w:tc>
        <w:tc>
          <w:tcPr>
            <w:tcW w:w="3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0000EE"/>
                <w:w w:val="97"/>
              </w:rPr>
              <w:t>19.1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40" w:type="dxa"/>
            <w:vAlign w:val="bottom"/>
            <w:gridSpan w:val="14"/>
          </w:tcPr>
          <w:p>
            <w:pPr>
              <w:spacing w:after="0" w:line="183" w:lineRule="exact"/>
              <w:rPr>
                <w:sz w:val="20"/>
                <w:szCs w:val="20"/>
                <w:color w:val="auto"/>
              </w:rPr>
            </w:pPr>
            <w:r>
              <w:rPr>
                <w:rFonts w:ascii="Times New Roman" w:cs="Times New Roman" w:eastAsia="Times New Roman" w:hAnsi="Times New Roman"/>
                <w:sz w:val="20"/>
                <w:szCs w:val="20"/>
                <w:color w:val="0000EE"/>
              </w:rPr>
              <w:t>General</w:t>
            </w:r>
          </w:p>
        </w:tc>
        <w:tc>
          <w:tcPr>
            <w:tcW w:w="244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4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line="20" w:lineRule="exact"/>
              <w:rPr>
                <w:sz w:val="1"/>
                <w:szCs w:val="1"/>
                <w:color w:val="auto"/>
              </w:rPr>
            </w:pPr>
          </w:p>
        </w:tc>
      </w:tr>
      <w:tr>
        <w:trPr>
          <w:trHeight w:val="209"/>
        </w:trPr>
        <w:tc>
          <w:tcPr>
            <w:tcW w:w="780" w:type="dxa"/>
            <w:vAlign w:val="bottom"/>
            <w:gridSpan w:val="3"/>
            <w:vMerge w:val="continue"/>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7"/>
              </w:rPr>
              <w:t>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tcBorders>
              <w:bottom w:val="single" w:sz="8" w:color="0000EE"/>
            </w:tcBorders>
            <w:gridSpan w:val="11"/>
          </w:tcPr>
          <w:p>
            <w:pPr>
              <w:spacing w:after="0" w:line="209" w:lineRule="exact"/>
              <w:rPr>
                <w:sz w:val="20"/>
                <w:szCs w:val="20"/>
                <w:color w:val="auto"/>
              </w:rPr>
            </w:pPr>
            <w:r>
              <w:rPr>
                <w:rFonts w:ascii="Times New Roman" w:cs="Times New Roman" w:eastAsia="Times New Roman" w:hAnsi="Times New Roman"/>
                <w:sz w:val="20"/>
                <w:szCs w:val="20"/>
                <w:color w:val="0000EE"/>
                <w:w w:val="98"/>
              </w:rPr>
              <w:t>How to give a communication</w:t>
            </w:r>
          </w:p>
        </w:tc>
        <w:tc>
          <w:tcPr>
            <w:tcW w:w="2240" w:type="dxa"/>
            <w:vAlign w:val="bottom"/>
            <w:gridSpan w:val="3"/>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7"/>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Borders>
              <w:bottom w:val="single" w:sz="8" w:color="0000EE"/>
            </w:tcBorders>
            <w:gridSpan w:val="13"/>
          </w:tcPr>
          <w:p>
            <w:pPr>
              <w:spacing w:after="0" w:line="209" w:lineRule="exact"/>
              <w:rPr>
                <w:sz w:val="20"/>
                <w:szCs w:val="20"/>
                <w:color w:val="auto"/>
              </w:rPr>
            </w:pPr>
            <w:r>
              <w:rPr>
                <w:rFonts w:ascii="Times New Roman" w:cs="Times New Roman" w:eastAsia="Times New Roman" w:hAnsi="Times New Roman"/>
                <w:sz w:val="20"/>
                <w:szCs w:val="20"/>
                <w:color w:val="0000EE"/>
                <w:w w:val="98"/>
              </w:rPr>
              <w:t>Particulars for delivery of notices</w:t>
            </w:r>
          </w:p>
        </w:tc>
        <w:tc>
          <w:tcPr>
            <w:tcW w:w="1980" w:type="dxa"/>
            <w:vAlign w:val="bottom"/>
          </w:tcPr>
          <w:p>
            <w:pPr>
              <w:spacing w:after="0"/>
              <w:rPr>
                <w:sz w:val="18"/>
                <w:szCs w:val="18"/>
                <w:color w:val="auto"/>
              </w:rPr>
            </w:pP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10"/>
        </w:trPr>
        <w:tc>
          <w:tcPr>
            <w:tcW w:w="780" w:type="dxa"/>
            <w:vAlign w:val="bottom"/>
            <w:gridSpan w:val="3"/>
          </w:tcPr>
          <w:p>
            <w:pPr>
              <w:spacing w:after="0"/>
              <w:rPr>
                <w:sz w:val="18"/>
                <w:szCs w:val="18"/>
                <w:color w:val="auto"/>
              </w:rPr>
            </w:pPr>
          </w:p>
        </w:tc>
        <w:tc>
          <w:tcPr>
            <w:tcW w:w="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97"/>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40" w:type="dxa"/>
            <w:vAlign w:val="bottom"/>
            <w:gridSpan w:val="14"/>
          </w:tcPr>
          <w:p>
            <w:pPr>
              <w:spacing w:after="0" w:line="209" w:lineRule="exact"/>
              <w:rPr>
                <w:sz w:val="20"/>
                <w:szCs w:val="20"/>
                <w:color w:val="auto"/>
              </w:rPr>
            </w:pPr>
            <w:r>
              <w:rPr>
                <w:rFonts w:ascii="Times New Roman" w:cs="Times New Roman" w:eastAsia="Times New Roman" w:hAnsi="Times New Roman"/>
                <w:sz w:val="20"/>
                <w:szCs w:val="20"/>
                <w:color w:val="0000EE"/>
              </w:rPr>
              <w:t>Communications by post</w:t>
            </w: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Borders>
              <w:top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7"/>
              </w:rPr>
              <w:t>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Borders>
              <w:top w:val="single" w:sz="8" w:color="0000EE"/>
            </w:tcBorders>
            <w:gridSpan w:val="9"/>
          </w:tcPr>
          <w:p>
            <w:pPr>
              <w:spacing w:after="0" w:line="209" w:lineRule="exact"/>
              <w:rPr>
                <w:sz w:val="20"/>
                <w:szCs w:val="20"/>
                <w:color w:val="auto"/>
              </w:rPr>
            </w:pPr>
            <w:r>
              <w:rPr>
                <w:rFonts w:ascii="Times New Roman" w:cs="Times New Roman" w:eastAsia="Times New Roman" w:hAnsi="Times New Roman"/>
                <w:sz w:val="20"/>
                <w:szCs w:val="20"/>
                <w:color w:val="0000EE"/>
              </w:rPr>
              <w:t>Communications by fax</w:t>
            </w:r>
          </w:p>
        </w:tc>
        <w:tc>
          <w:tcPr>
            <w:tcW w:w="2660" w:type="dxa"/>
            <w:vAlign w:val="bottom"/>
            <w:gridSpan w:val="5"/>
          </w:tcPr>
          <w:p>
            <w:pPr>
              <w:spacing w:after="0"/>
              <w:rPr>
                <w:sz w:val="18"/>
                <w:szCs w:val="18"/>
                <w:color w:val="auto"/>
              </w:rPr>
            </w:pP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44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line="20" w:lineRule="exact"/>
              <w:rPr>
                <w:sz w:val="1"/>
                <w:szCs w:val="1"/>
                <w:color w:val="auto"/>
              </w:rPr>
            </w:pPr>
          </w:p>
        </w:tc>
      </w:tr>
      <w:tr>
        <w:trPr>
          <w:trHeight w:val="210"/>
        </w:trPr>
        <w:tc>
          <w:tcPr>
            <w:tcW w:w="780" w:type="dxa"/>
            <w:vAlign w:val="bottom"/>
            <w:gridSpan w:val="3"/>
            <w:vMerge w:val="continue"/>
          </w:tcPr>
          <w:p>
            <w:pPr>
              <w:spacing w:after="0"/>
              <w:rPr>
                <w:sz w:val="18"/>
                <w:szCs w:val="18"/>
                <w:color w:val="auto"/>
              </w:rPr>
            </w:pPr>
          </w:p>
        </w:tc>
        <w:tc>
          <w:tcPr>
            <w:tcW w:w="3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EE"/>
                <w:w w:val="97"/>
              </w:rPr>
              <w:t>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40" w:type="dxa"/>
            <w:vAlign w:val="bottom"/>
            <w:gridSpan w:val="14"/>
          </w:tcPr>
          <w:p>
            <w:pPr>
              <w:spacing w:after="0" w:line="209" w:lineRule="exact"/>
              <w:rPr>
                <w:sz w:val="20"/>
                <w:szCs w:val="20"/>
                <w:color w:val="auto"/>
              </w:rPr>
            </w:pPr>
            <w:r>
              <w:rPr>
                <w:rFonts w:ascii="Times New Roman" w:cs="Times New Roman" w:eastAsia="Times New Roman" w:hAnsi="Times New Roman"/>
                <w:sz w:val="20"/>
                <w:szCs w:val="20"/>
                <w:color w:val="0000EE"/>
              </w:rPr>
              <w:t>After hours communications</w:t>
            </w: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gridSpan w:val="3"/>
          </w:tcPr>
          <w:p>
            <w:pPr>
              <w:spacing w:after="0"/>
              <w:rPr>
                <w:sz w:val="18"/>
                <w:szCs w:val="18"/>
                <w:color w:val="auto"/>
              </w:rPr>
            </w:pPr>
          </w:p>
        </w:tc>
        <w:tc>
          <w:tcPr>
            <w:tcW w:w="36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7"/>
              </w:rPr>
              <w:t>19.7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0000EE"/>
              <w:bottom w:val="single" w:sz="8" w:color="0000EE"/>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EE"/>
                <w:w w:val="97"/>
              </w:rPr>
              <w:t>Process service</w:t>
            </w:r>
          </w:p>
        </w:tc>
        <w:tc>
          <w:tcPr>
            <w:tcW w:w="1040" w:type="dxa"/>
            <w:vAlign w:val="bottom"/>
            <w:tcBorders>
              <w:top w:val="single" w:sz="8" w:color="0000EE"/>
            </w:tcBorders>
            <w:gridSpan w:val="6"/>
          </w:tcPr>
          <w:p>
            <w:pPr>
              <w:spacing w:after="0"/>
              <w:rPr>
                <w:sz w:val="18"/>
                <w:szCs w:val="18"/>
                <w:color w:val="auto"/>
              </w:rPr>
            </w:pPr>
          </w:p>
        </w:tc>
        <w:tc>
          <w:tcPr>
            <w:tcW w:w="2380" w:type="dxa"/>
            <w:vAlign w:val="bottom"/>
            <w:gridSpan w:val="4"/>
          </w:tcPr>
          <w:p>
            <w:pPr>
              <w:spacing w:after="0"/>
              <w:rPr>
                <w:sz w:val="18"/>
                <w:szCs w:val="18"/>
                <w:color w:val="auto"/>
              </w:rPr>
            </w:pPr>
          </w:p>
        </w:tc>
        <w:tc>
          <w:tcPr>
            <w:tcW w:w="2440" w:type="dxa"/>
            <w:vAlign w:val="bottom"/>
          </w:tcPr>
          <w:p>
            <w:pPr>
              <w:jc w:val="right"/>
              <w:ind w:right="141"/>
              <w:spacing w:after="0" w:line="209"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78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0000EE"/>
                <w:w w:val="99"/>
              </w:rPr>
              <w:t>1</w:t>
            </w:r>
          </w:p>
        </w:tc>
        <w:tc>
          <w:tcPr>
            <w:tcW w:w="5160" w:type="dxa"/>
            <w:vAlign w:val="bottom"/>
            <w:gridSpan w:val="11"/>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0000EE"/>
              </w:rPr>
              <w:t>– Transaction Parties</w:t>
            </w:r>
          </w:p>
        </w:tc>
        <w:tc>
          <w:tcPr>
            <w:tcW w:w="2680" w:type="dxa"/>
            <w:vAlign w:val="bottom"/>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8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Borders>
              <w:top w:val="single" w:sz="8" w:color="0000EE"/>
              <w:bottom w:val="single" w:sz="8" w:color="0000EE"/>
            </w:tcBorders>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2</w:t>
            </w:r>
          </w:p>
        </w:tc>
        <w:tc>
          <w:tcPr>
            <w:tcW w:w="940" w:type="dxa"/>
            <w:vAlign w:val="bottom"/>
            <w:tcBorders>
              <w:top w:val="single" w:sz="8" w:color="0000EE"/>
              <w:bottom w:val="single" w:sz="8" w:color="0000EE"/>
            </w:tcBorders>
            <w:gridSpan w:val="2"/>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8"/>
              </w:rPr>
              <w:t>– Facilities</w:t>
            </w:r>
          </w:p>
        </w:tc>
        <w:tc>
          <w:tcPr>
            <w:tcW w:w="880" w:type="dxa"/>
            <w:vAlign w:val="bottom"/>
            <w:tcBorders>
              <w:top w:val="single" w:sz="8" w:color="0000EE"/>
            </w:tcBorders>
            <w:gridSpan w:val="3"/>
          </w:tcPr>
          <w:p>
            <w:pPr>
              <w:spacing w:after="0"/>
              <w:rPr>
                <w:sz w:val="18"/>
                <w:szCs w:val="18"/>
                <w:color w:val="auto"/>
              </w:rPr>
            </w:pPr>
          </w:p>
        </w:tc>
        <w:tc>
          <w:tcPr>
            <w:tcW w:w="3340" w:type="dxa"/>
            <w:vAlign w:val="bottom"/>
            <w:gridSpan w:val="6"/>
          </w:tcPr>
          <w:p>
            <w:pPr>
              <w:spacing w:after="0"/>
              <w:rPr>
                <w:sz w:val="18"/>
                <w:szCs w:val="18"/>
                <w:color w:val="auto"/>
              </w:rPr>
            </w:pP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8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Borders>
              <w:bottom w:val="single" w:sz="8" w:color="0000EE"/>
            </w:tcBorders>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3</w:t>
            </w:r>
          </w:p>
        </w:tc>
        <w:tc>
          <w:tcPr>
            <w:tcW w:w="1780" w:type="dxa"/>
            <w:vAlign w:val="bottom"/>
            <w:tcBorders>
              <w:bottom w:val="single" w:sz="8" w:color="0000EE"/>
            </w:tcBorders>
            <w:gridSpan w:val="4"/>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8"/>
              </w:rPr>
              <w:t>– Collateral Security</w:t>
            </w:r>
          </w:p>
        </w:tc>
        <w:tc>
          <w:tcPr>
            <w:tcW w:w="3380" w:type="dxa"/>
            <w:vAlign w:val="bottom"/>
            <w:gridSpan w:val="7"/>
          </w:tcPr>
          <w:p>
            <w:pPr>
              <w:spacing w:after="0"/>
              <w:rPr>
                <w:sz w:val="18"/>
                <w:szCs w:val="18"/>
                <w:color w:val="auto"/>
              </w:rPr>
            </w:pP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8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Borders>
              <w:bottom w:val="single" w:sz="8" w:color="0000EE"/>
            </w:tcBorders>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4</w:t>
            </w:r>
          </w:p>
        </w:tc>
        <w:tc>
          <w:tcPr>
            <w:tcW w:w="920" w:type="dxa"/>
            <w:vAlign w:val="bottom"/>
            <w:tcBorders>
              <w:bottom w:val="single" w:sz="8" w:color="0000EE"/>
            </w:tcBorders>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7"/>
              </w:rPr>
              <w:t>– Not used</w:t>
            </w:r>
          </w:p>
        </w:tc>
        <w:tc>
          <w:tcPr>
            <w:tcW w:w="4240" w:type="dxa"/>
            <w:vAlign w:val="bottom"/>
            <w:gridSpan w:val="10"/>
          </w:tcPr>
          <w:p>
            <w:pPr>
              <w:spacing w:after="0"/>
              <w:rPr>
                <w:sz w:val="18"/>
                <w:szCs w:val="18"/>
                <w:color w:val="auto"/>
              </w:rPr>
            </w:pP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8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Borders>
              <w:bottom w:val="single" w:sz="8" w:color="0000EE"/>
            </w:tcBorders>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5</w:t>
            </w:r>
          </w:p>
        </w:tc>
        <w:tc>
          <w:tcPr>
            <w:tcW w:w="2000" w:type="dxa"/>
            <w:vAlign w:val="bottom"/>
            <w:tcBorders>
              <w:bottom w:val="single" w:sz="8" w:color="0000EE"/>
            </w:tcBorders>
            <w:gridSpan w:val="6"/>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8"/>
              </w:rPr>
              <w:t>– Conditions Precedent</w:t>
            </w:r>
          </w:p>
        </w:tc>
        <w:tc>
          <w:tcPr>
            <w:tcW w:w="3160" w:type="dxa"/>
            <w:vAlign w:val="bottom"/>
            <w:gridSpan w:val="5"/>
          </w:tcPr>
          <w:p>
            <w:pPr>
              <w:spacing w:after="0"/>
              <w:rPr>
                <w:sz w:val="18"/>
                <w:szCs w:val="18"/>
                <w:color w:val="auto"/>
              </w:rPr>
            </w:pP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8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6</w:t>
            </w:r>
          </w:p>
        </w:tc>
        <w:tc>
          <w:tcPr>
            <w:tcW w:w="5160" w:type="dxa"/>
            <w:vAlign w:val="bottom"/>
            <w:gridSpan w:val="11"/>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rPr>
              <w:t>– Verification Certificate</w:t>
            </w: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80" w:type="dxa"/>
            <w:vAlign w:val="bottom"/>
            <w:tcBorders>
              <w:top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Borders>
              <w:top w:val="single" w:sz="8" w:color="0000EE"/>
            </w:tcBorders>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7</w:t>
            </w:r>
          </w:p>
        </w:tc>
        <w:tc>
          <w:tcPr>
            <w:tcW w:w="2120" w:type="dxa"/>
            <w:vAlign w:val="bottom"/>
            <w:tcBorders>
              <w:top w:val="single" w:sz="8" w:color="0000EE"/>
            </w:tcBorders>
            <w:gridSpan w:val="7"/>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rPr>
              <w:t>– Funding Notice</w:t>
            </w:r>
          </w:p>
        </w:tc>
        <w:tc>
          <w:tcPr>
            <w:tcW w:w="3040" w:type="dxa"/>
            <w:vAlign w:val="bottom"/>
            <w:gridSpan w:val="4"/>
          </w:tcPr>
          <w:p>
            <w:pPr>
              <w:spacing w:after="0"/>
              <w:rPr>
                <w:sz w:val="18"/>
                <w:szCs w:val="18"/>
                <w:color w:val="auto"/>
              </w:rPr>
            </w:pP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8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8</w:t>
            </w:r>
          </w:p>
        </w:tc>
        <w:tc>
          <w:tcPr>
            <w:tcW w:w="5160" w:type="dxa"/>
            <w:vAlign w:val="bottom"/>
            <w:gridSpan w:val="11"/>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rPr>
              <w:t>– Guarantor Accession Deed</w:t>
            </w:r>
          </w:p>
        </w:tc>
        <w:tc>
          <w:tcPr>
            <w:tcW w:w="2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8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140" w:type="dxa"/>
            <w:vAlign w:val="bottom"/>
            <w:tcBorders>
              <w:top w:val="single" w:sz="8" w:color="0000EE"/>
              <w:bottom w:val="single" w:sz="8" w:color="0000EE"/>
            </w:tcBorders>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9</w:t>
            </w:r>
          </w:p>
        </w:tc>
        <w:tc>
          <w:tcPr>
            <w:tcW w:w="2140" w:type="dxa"/>
            <w:vAlign w:val="bottom"/>
            <w:tcBorders>
              <w:top w:val="single" w:sz="8" w:color="0000EE"/>
              <w:bottom w:val="single" w:sz="8" w:color="0000EE"/>
            </w:tcBorders>
            <w:gridSpan w:val="8"/>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w w:val="98"/>
              </w:rPr>
              <w:t>– Compliance Certificate</w:t>
            </w:r>
          </w:p>
        </w:tc>
        <w:tc>
          <w:tcPr>
            <w:tcW w:w="300" w:type="dxa"/>
            <w:vAlign w:val="bottom"/>
            <w:tcBorders>
              <w:top w:val="single" w:sz="8" w:color="0000EE"/>
            </w:tcBorders>
          </w:tcPr>
          <w:p>
            <w:pPr>
              <w:spacing w:after="0"/>
              <w:rPr>
                <w:sz w:val="18"/>
                <w:szCs w:val="18"/>
                <w:color w:val="auto"/>
              </w:rPr>
            </w:pPr>
          </w:p>
        </w:tc>
        <w:tc>
          <w:tcPr>
            <w:tcW w:w="2720" w:type="dxa"/>
            <w:vAlign w:val="bottom"/>
            <w:gridSpan w:val="2"/>
          </w:tcPr>
          <w:p>
            <w:pPr>
              <w:spacing w:after="0"/>
              <w:rPr>
                <w:sz w:val="18"/>
                <w:szCs w:val="18"/>
                <w:color w:val="auto"/>
              </w:rPr>
            </w:pP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8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9"/>
              </w:rPr>
              <w:t>Schedule</w:t>
            </w:r>
          </w:p>
        </w:tc>
        <w:tc>
          <w:tcPr>
            <w:tcW w:w="5300" w:type="dxa"/>
            <w:vAlign w:val="bottom"/>
            <w:gridSpan w:val="12"/>
          </w:tcPr>
          <w:p>
            <w:pPr>
              <w:ind w:left="20"/>
              <w:spacing w:after="0" w:line="209" w:lineRule="exact"/>
              <w:rPr>
                <w:sz w:val="20"/>
                <w:szCs w:val="20"/>
                <w:color w:val="auto"/>
              </w:rPr>
            </w:pPr>
            <w:r>
              <w:rPr>
                <w:rFonts w:ascii="Times New Roman" w:cs="Times New Roman" w:eastAsia="Times New Roman" w:hAnsi="Times New Roman"/>
                <w:sz w:val="20"/>
                <w:szCs w:val="20"/>
                <w:b w:val="1"/>
                <w:bCs w:val="1"/>
                <w:color w:val="0000EE"/>
              </w:rPr>
              <w:t>10 – Interim Compliance Certificate</w:t>
            </w:r>
          </w:p>
        </w:tc>
        <w:tc>
          <w:tcPr>
            <w:tcW w:w="2680" w:type="dxa"/>
            <w:vAlign w:val="bottom"/>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574"/>
        </w:trPr>
        <w:tc>
          <w:tcPr>
            <w:tcW w:w="120" w:type="dxa"/>
            <w:vAlign w:val="bottom"/>
            <w:tcBorders>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9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26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-38100</wp:posOffset>
            </wp:positionV>
            <wp:extent cx="3365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5">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-38100</wp:posOffset>
            </wp:positionV>
            <wp:extent cx="3365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6">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5" w:name="page56"/>
    <w:bookmarkEnd w:id="55"/>
    <w:p>
      <w:pPr>
        <w:ind w:left="8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36"/>
          <w:szCs w:val="36"/>
          <w:color w:val="auto"/>
        </w:rPr>
        <w:t>Parties</w:t>
      </w:r>
    </w:p>
    <w:p>
      <w:pPr>
        <w:spacing w:after="0" w:line="244" w:lineRule="exact"/>
        <w:rPr>
          <w:sz w:val="20"/>
          <w:szCs w:val="20"/>
          <w:color w:val="auto"/>
        </w:rPr>
      </w:pPr>
    </w:p>
    <w:p>
      <w:pPr>
        <w:ind w:left="80" w:right="4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National Australia Bank Limited </w:t>
      </w:r>
      <w:r>
        <w:rPr>
          <w:rFonts w:ascii="Times New Roman" w:cs="Times New Roman" w:eastAsia="Times New Roman" w:hAnsi="Times New Roman"/>
          <w:sz w:val="20"/>
          <w:szCs w:val="20"/>
          <w:color w:val="auto"/>
        </w:rPr>
        <w:t>ABN 12 004 044 937 of Pier 3 Level 4, 800 Bourke Street, Docklands,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Victoria 3008 </w:t>
      </w:r>
      <w:r>
        <w:rPr>
          <w:rFonts w:ascii="Times New Roman" w:cs="Times New Roman" w:eastAsia="Times New Roman" w:hAnsi="Times New Roman"/>
          <w:sz w:val="20"/>
          <w:szCs w:val="20"/>
          <w:b w:val="1"/>
          <w:bCs w:val="1"/>
          <w:color w:val="auto"/>
        </w:rPr>
        <w:t>(Bank)</w:t>
      </w:r>
    </w:p>
    <w:p>
      <w:pPr>
        <w:spacing w:after="0" w:line="165" w:lineRule="exact"/>
        <w:rPr>
          <w:sz w:val="20"/>
          <w:szCs w:val="20"/>
          <w:color w:val="auto"/>
        </w:rPr>
      </w:pPr>
    </w:p>
    <w:p>
      <w:pPr>
        <w:ind w:left="80" w:right="2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Reading Entertainment Australia Pty Ltd </w:t>
      </w:r>
      <w:r>
        <w:rPr>
          <w:rFonts w:ascii="Times New Roman" w:cs="Times New Roman" w:eastAsia="Times New Roman" w:hAnsi="Times New Roman"/>
          <w:sz w:val="20"/>
          <w:szCs w:val="20"/>
          <w:color w:val="auto"/>
        </w:rPr>
        <w:t>ACN 070 893 908 of 98 York Street, South Melbourne, Victoria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3205 </w:t>
      </w:r>
      <w:r>
        <w:rPr>
          <w:rFonts w:ascii="Times New Roman" w:cs="Times New Roman" w:eastAsia="Times New Roman" w:hAnsi="Times New Roman"/>
          <w:sz w:val="20"/>
          <w:szCs w:val="20"/>
          <w:b w:val="1"/>
          <w:bCs w:val="1"/>
          <w:color w:val="auto"/>
        </w:rPr>
        <w:t>(Borrower)</w:t>
      </w:r>
    </w:p>
    <w:p>
      <w:pPr>
        <w:spacing w:after="0" w:line="1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 xml:space="preserve">Each person listed in schedule 1 </w:t>
      </w:r>
      <w:r>
        <w:rPr>
          <w:rFonts w:ascii="Times New Roman" w:cs="Times New Roman" w:eastAsia="Times New Roman" w:hAnsi="Times New Roman"/>
          <w:sz w:val="20"/>
          <w:szCs w:val="20"/>
          <w:color w:val="auto"/>
        </w:rPr>
        <w:t>(each an</w:t>
      </w:r>
      <w:r>
        <w:rPr>
          <w:rFonts w:ascii="Times New Roman" w:cs="Times New Roman" w:eastAsia="Times New Roman" w:hAnsi="Times New Roman"/>
          <w:sz w:val="20"/>
          <w:szCs w:val="20"/>
          <w:b w:val="1"/>
          <w:bCs w:val="1"/>
          <w:color w:val="auto"/>
        </w:rPr>
        <w:t xml:space="preserve"> Original Guarantor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307975</wp:posOffset>
            </wp:positionV>
            <wp:extent cx="56235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36"/>
          <w:szCs w:val="36"/>
          <w:color w:val="auto"/>
        </w:rPr>
        <w:t>Agreed terms</w:t>
      </w:r>
    </w:p>
    <w:p>
      <w:pPr>
        <w:spacing w:after="0" w:line="239" w:lineRule="exact"/>
        <w:rPr>
          <w:sz w:val="20"/>
          <w:szCs w:val="20"/>
          <w:color w:val="auto"/>
        </w:rPr>
      </w:pPr>
    </w:p>
    <w:p>
      <w:pPr>
        <w:ind w:left="860" w:hanging="784"/>
        <w:spacing w:after="0"/>
        <w:tabs>
          <w:tab w:leader="none" w:pos="860" w:val="left"/>
        </w:tabs>
        <w:numPr>
          <w:ilvl w:val="0"/>
          <w:numId w:val="40"/>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Interpretation</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this document:</w:t>
      </w:r>
    </w:p>
    <w:p>
      <w:pPr>
        <w:spacing w:after="0" w:line="217"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AASB 16 </w:t>
      </w:r>
      <w:r>
        <w:rPr>
          <w:rFonts w:ascii="Times New Roman" w:cs="Times New Roman" w:eastAsia="Times New Roman" w:hAnsi="Times New Roman"/>
          <w:sz w:val="20"/>
          <w:szCs w:val="20"/>
          <w:color w:val="auto"/>
        </w:rPr>
        <w:t>means Accounting Standard AASB 16, issued by the Australian Accounting Standards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under section 334 of the Corporations Act.</w:t>
      </w:r>
    </w:p>
    <w:p>
      <w:pPr>
        <w:spacing w:after="0" w:line="165" w:lineRule="exact"/>
        <w:rPr>
          <w:sz w:val="20"/>
          <w:szCs w:val="20"/>
          <w:color w:val="auto"/>
        </w:rPr>
      </w:pPr>
    </w:p>
    <w:p>
      <w:pPr>
        <w:jc w:val="both"/>
        <w:ind w:left="720" w:right="9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Accounting Standards </w:t>
      </w:r>
      <w:r>
        <w:rPr>
          <w:rFonts w:ascii="Times New Roman" w:cs="Times New Roman" w:eastAsia="Times New Roman" w:hAnsi="Times New Roman"/>
          <w:sz w:val="20"/>
          <w:szCs w:val="20"/>
          <w:color w:val="auto"/>
        </w:rPr>
        <w:t>means accounting principles and practices consistently applied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generally accepted in Australia and are consistent with any applicable legislation in each case as in effect on the date of this document, including instruments in force under section 334 of the Corporations Act and provisions of such instruments.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means, for any period, EBITDA adjusted to exclude:</w:t>
      </w:r>
    </w:p>
    <w:p>
      <w:pPr>
        <w:spacing w:after="0" w:line="26" w:lineRule="exact"/>
        <w:rPr>
          <w:sz w:val="20"/>
          <w:szCs w:val="20"/>
          <w:color w:val="auto"/>
        </w:rPr>
      </w:pPr>
    </w:p>
    <w:p>
      <w:pPr>
        <w:ind w:left="1380" w:right="99" w:hanging="656"/>
        <w:spacing w:after="0" w:line="239" w:lineRule="auto"/>
        <w:tabs>
          <w:tab w:leader="none" w:pos="141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impairment for non-current assets included in the consolidated financial statements of the Reading Entertainment Australia Group during the relevant period;</w:t>
      </w:r>
    </w:p>
    <w:p>
      <w:pPr>
        <w:ind w:left="1420" w:hanging="696"/>
        <w:spacing w:after="0"/>
        <w:tabs>
          <w:tab w:leader="none" w:pos="14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gains or losses on asset sales; and</w:t>
      </w:r>
    </w:p>
    <w:p>
      <w:pPr>
        <w:jc w:val="both"/>
        <w:ind w:left="1380" w:right="99" w:hanging="656"/>
        <w:spacing w:after="0" w:line="242" w:lineRule="auto"/>
        <w:tabs>
          <w:tab w:leader="none" w:pos="141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foreign exchange amounts (whether realised or unrealised) included in the consolidated financial statements of the Reading Entertainment Australia Group during the relevant period.</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and subject to adjustment in respect of any further extraordinary items with the Bank’s written consent.</w:t>
      </w:r>
    </w:p>
    <w:p>
      <w:pPr>
        <w:spacing w:after="0" w:line="237"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Advance means </w:t>
      </w:r>
      <w:r>
        <w:rPr>
          <w:rFonts w:ascii="Times New Roman" w:cs="Times New Roman" w:eastAsia="Times New Roman" w:hAnsi="Times New Roman"/>
          <w:sz w:val="20"/>
          <w:szCs w:val="20"/>
          <w:color w:val="auto"/>
        </w:rPr>
        <w:t>the principal amount of an advance made under the Corporate Markets Loan Facility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where appropriate, requested under the Corporate Markets Loan Facility.</w:t>
      </w:r>
    </w:p>
    <w:p>
      <w:pPr>
        <w:spacing w:after="0" w:line="165"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Aggregate Amount </w:t>
      </w:r>
      <w:r>
        <w:rPr>
          <w:rFonts w:ascii="Times New Roman" w:cs="Times New Roman" w:eastAsia="Times New Roman" w:hAnsi="Times New Roman"/>
          <w:sz w:val="20"/>
          <w:szCs w:val="20"/>
          <w:color w:val="auto"/>
        </w:rPr>
        <w:t>means, in relation to a Drawing, the aggregate of the Face Values of all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Guarantees comprising that Drawing.</w:t>
      </w:r>
    </w:p>
    <w:p>
      <w:pPr>
        <w:spacing w:after="0" w:line="165"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Amendment Deed </w:t>
      </w:r>
      <w:r>
        <w:rPr>
          <w:rFonts w:ascii="Times New Roman" w:cs="Times New Roman" w:eastAsia="Times New Roman" w:hAnsi="Times New Roman"/>
          <w:sz w:val="20"/>
          <w:szCs w:val="20"/>
          <w:color w:val="auto"/>
        </w:rPr>
        <w:t>means the document entitled ‘Amendment Deed’ executed in March 2019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Bank and the Transaction Parties.</w:t>
      </w:r>
    </w:p>
    <w:p>
      <w:pPr>
        <w:spacing w:after="0" w:line="165"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Annual Compliance Certificate </w:t>
      </w:r>
      <w:r>
        <w:rPr>
          <w:rFonts w:ascii="Times New Roman" w:cs="Times New Roman" w:eastAsia="Times New Roman" w:hAnsi="Times New Roman"/>
          <w:sz w:val="20"/>
          <w:szCs w:val="20"/>
          <w:color w:val="auto"/>
        </w:rPr>
        <w:t>means, in relation to a Financial Year, a certificate substantially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 of schedule 9.</w:t>
      </w:r>
    </w:p>
    <w:p>
      <w:pPr>
        <w:spacing w:after="0" w:line="165"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Approved Valuer </w:t>
      </w:r>
      <w:r>
        <w:rPr>
          <w:rFonts w:ascii="Times New Roman" w:cs="Times New Roman" w:eastAsia="Times New Roman" w:hAnsi="Times New Roman"/>
          <w:sz w:val="20"/>
          <w:szCs w:val="20"/>
          <w:color w:val="auto"/>
        </w:rPr>
        <w:t>means a company or firm of duly qualified and licensed real estate valuers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acceptable to the Bank in all respects and instructed by (or with the approval of) the Bank.</w:t>
      </w:r>
    </w:p>
    <w:p>
      <w:pPr>
        <w:spacing w:after="0" w:line="165"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Attorney </w:t>
      </w:r>
      <w:r>
        <w:rPr>
          <w:rFonts w:ascii="Times New Roman" w:cs="Times New Roman" w:eastAsia="Times New Roman" w:hAnsi="Times New Roman"/>
          <w:sz w:val="20"/>
          <w:szCs w:val="20"/>
          <w:color w:val="auto"/>
        </w:rPr>
        <w:t>means any attorney appointed under this document and any sub-attorney appointed by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w:t>
      </w:r>
    </w:p>
    <w:p>
      <w:pPr>
        <w:spacing w:after="0" w:line="165"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Auburn Property </w:t>
      </w:r>
      <w:r>
        <w:rPr>
          <w:rFonts w:ascii="Times New Roman" w:cs="Times New Roman" w:eastAsia="Times New Roman" w:hAnsi="Times New Roman"/>
          <w:sz w:val="20"/>
          <w:szCs w:val="20"/>
          <w:color w:val="auto"/>
        </w:rPr>
        <w:t>means the land and improvements known as Red Yard Entertainment Centre, 100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Parramatta Road, Auburn New South Wales and described in certificate of title 202/1039922.</w:t>
      </w:r>
    </w:p>
    <w:p>
      <w:pPr>
        <w:spacing w:after="0" w:line="165" w:lineRule="exact"/>
        <w:rPr>
          <w:sz w:val="20"/>
          <w:szCs w:val="20"/>
          <w:color w:val="auto"/>
        </w:rPr>
      </w:pPr>
    </w:p>
    <w:p>
      <w:pPr>
        <w:jc w:val="both"/>
        <w:ind w:left="720" w:right="7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Authorisation </w:t>
      </w:r>
      <w:r>
        <w:rPr>
          <w:rFonts w:ascii="Times New Roman" w:cs="Times New Roman" w:eastAsia="Times New Roman" w:hAnsi="Times New Roman"/>
          <w:sz w:val="20"/>
          <w:szCs w:val="20"/>
          <w:color w:val="auto"/>
        </w:rPr>
        <w:t>includes any authorisation, consent, licence, permission, approval or exemption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w:t>
      </w:r>
    </w:p>
    <w:p>
      <w:pPr>
        <w:spacing w:after="0" w:line="192" w:lineRule="exact"/>
        <w:rPr>
          <w:sz w:val="20"/>
          <w:szCs w:val="20"/>
          <w:color w:val="auto"/>
        </w:rPr>
      </w:pPr>
    </w:p>
    <w:p>
      <w:pPr>
        <w:jc w:val="both"/>
        <w:ind w:left="720" w:right="7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Authorised Representative </w:t>
      </w:r>
      <w:r>
        <w:rPr>
          <w:rFonts w:ascii="Times New Roman" w:cs="Times New Roman" w:eastAsia="Times New Roman" w:hAnsi="Times New Roman"/>
          <w:sz w:val="20"/>
          <w:szCs w:val="20"/>
          <w:color w:val="auto"/>
        </w:rPr>
        <w:t>means, in relation to any party to this document, a person with the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 as the agent of that party for the purposes of this document. It includes a director or company secretary of that party (if it is a corporation) and, in the case of the Bank, an employee of the Bank</w:t>
      </w:r>
    </w:p>
    <w:p>
      <w:pPr>
        <w:sectPr>
          <w:pgSz w:w="11900" w:h="16838" w:orient="portrait"/>
          <w:cols w:equalWidth="0" w:num="1">
            <w:col w:w="9019"/>
          </w:cols>
          <w:pgMar w:left="1440" w:top="126" w:right="1440" w:bottom="0" w:gutter="0" w:footer="0" w:header="0"/>
        </w:sectPr>
      </w:pPr>
    </w:p>
    <w:bookmarkStart w:id="56" w:name="page57"/>
    <w:bookmarkEnd w:id="56"/>
    <w:p>
      <w:pPr>
        <w:jc w:val="both"/>
        <w:ind w:left="720" w:right="99"/>
        <w:spacing w:after="0" w:line="249" w:lineRule="auto"/>
        <w:rPr>
          <w:sz w:val="20"/>
          <w:szCs w:val="20"/>
          <w:color w:val="auto"/>
        </w:rPr>
      </w:pPr>
      <w:r>
        <w:rPr>
          <w:rFonts w:ascii="Times New Roman" w:cs="Times New Roman" w:eastAsia="Times New Roman" w:hAnsi="Times New Roman"/>
          <w:sz w:val="20"/>
          <w:szCs w:val="20"/>
          <w:color w:val="auto"/>
        </w:rPr>
        <w:t>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w:t>
      </w:r>
    </w:p>
    <w:p>
      <w:pPr>
        <w:spacing w:after="0" w:line="188" w:lineRule="exact"/>
        <w:rPr>
          <w:sz w:val="20"/>
          <w:szCs w:val="20"/>
          <w:color w:val="auto"/>
        </w:rPr>
      </w:pPr>
    </w:p>
    <w:p>
      <w:pPr>
        <w:jc w:val="both"/>
        <w:ind w:left="720" w:right="9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Availability Period </w:t>
      </w:r>
      <w:r>
        <w:rPr>
          <w:rFonts w:ascii="Times New Roman" w:cs="Times New Roman" w:eastAsia="Times New Roman" w:hAnsi="Times New Roman"/>
          <w:sz w:val="20"/>
          <w:szCs w:val="20"/>
          <w:color w:val="auto"/>
        </w:rPr>
        <w:t>means in respect of each Facility, the period beginning on the date on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precedent are satisfied or waived by the Bank in accordance with the Transaction Documents and ending on the Termination Date.</w:t>
      </w:r>
    </w:p>
    <w:p>
      <w:pPr>
        <w:spacing w:after="0" w:line="182"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Available Commitment </w:t>
      </w:r>
      <w:r>
        <w:rPr>
          <w:rFonts w:ascii="Times New Roman" w:cs="Times New Roman" w:eastAsia="Times New Roman" w:hAnsi="Times New Roman"/>
          <w:sz w:val="20"/>
          <w:szCs w:val="20"/>
          <w:color w:val="auto"/>
        </w:rPr>
        <w:t>means in respect of a Facility, the Facility Limit less the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Accommodation relating to that Facility.</w:t>
      </w:r>
    </w:p>
    <w:p>
      <w:pPr>
        <w:spacing w:after="0" w:line="165"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Bank Guarantee </w:t>
      </w:r>
      <w:r>
        <w:rPr>
          <w:rFonts w:ascii="Times New Roman" w:cs="Times New Roman" w:eastAsia="Times New Roman" w:hAnsi="Times New Roman"/>
          <w:sz w:val="20"/>
          <w:szCs w:val="20"/>
          <w:color w:val="auto"/>
        </w:rPr>
        <w:t>means each bank guarantee issued (or deemed to have been issued)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this document.</w:t>
      </w:r>
    </w:p>
    <w:p>
      <w:pPr>
        <w:spacing w:after="0" w:line="165" w:lineRule="exact"/>
        <w:rPr>
          <w:sz w:val="20"/>
          <w:szCs w:val="20"/>
          <w:color w:val="auto"/>
        </w:rPr>
      </w:pPr>
    </w:p>
    <w:p>
      <w:pPr>
        <w:ind w:left="720" w:right="21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Bank Guarantee Facility </w:t>
      </w:r>
      <w:r>
        <w:rPr>
          <w:rFonts w:ascii="Times New Roman" w:cs="Times New Roman" w:eastAsia="Times New Roman" w:hAnsi="Times New Roman"/>
          <w:sz w:val="20"/>
          <w:szCs w:val="20"/>
          <w:color w:val="auto"/>
        </w:rPr>
        <w:t>means the Facility described as such in schedule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granted pursuant to clause 4.1(a)(ii).</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Bank Guarantee Margin </w:t>
      </w:r>
      <w:r>
        <w:rPr>
          <w:rFonts w:ascii="Times New Roman" w:cs="Times New Roman" w:eastAsia="Times New Roman" w:hAnsi="Times New Roman"/>
          <w:sz w:val="20"/>
          <w:szCs w:val="20"/>
          <w:color w:val="auto"/>
        </w:rPr>
        <w:t>means, in respect of each Bank Guarantee:</w:t>
      </w:r>
    </w:p>
    <w:p>
      <w:pPr>
        <w:spacing w:after="0" w:line="233" w:lineRule="exact"/>
        <w:rPr>
          <w:sz w:val="20"/>
          <w:szCs w:val="20"/>
          <w:color w:val="auto"/>
        </w:rPr>
      </w:pPr>
    </w:p>
    <w:p>
      <w:pPr>
        <w:ind w:left="1400" w:hanging="676"/>
        <w:spacing w:after="0"/>
        <w:tabs>
          <w:tab w:leader="none" w:pos="14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‘Variation Date’ under the Restatement Deed, 2.35% per annum;</w:t>
      </w:r>
    </w:p>
    <w:p>
      <w:pPr>
        <w:spacing w:after="0" w:line="21" w:lineRule="exact"/>
        <w:rPr>
          <w:rFonts w:ascii="Times New Roman" w:cs="Times New Roman" w:eastAsia="Times New Roman" w:hAnsi="Times New Roman"/>
          <w:sz w:val="20"/>
          <w:szCs w:val="20"/>
          <w:color w:val="auto"/>
        </w:rPr>
      </w:pPr>
    </w:p>
    <w:p>
      <w:pPr>
        <w:jc w:val="both"/>
        <w:ind w:left="1380" w:right="99" w:hanging="656"/>
        <w:spacing w:after="0" w:line="239" w:lineRule="auto"/>
        <w:tabs>
          <w:tab w:leader="none" w:pos="142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and from the first services fee charge date (to be determined in accordance with </w:t>
      </w:r>
      <w:r>
        <w:rPr>
          <w:rFonts w:ascii="Times New Roman" w:cs="Times New Roman" w:eastAsia="Times New Roman" w:hAnsi="Times New Roman"/>
          <w:sz w:val="20"/>
          <w:szCs w:val="20"/>
          <w:b w:val="1"/>
          <w:b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9.1(e)) </w:t>
      </w:r>
      <w:r>
        <w:rPr>
          <w:rFonts w:ascii="Times New Roman" w:cs="Times New Roman" w:eastAsia="Times New Roman" w:hAnsi="Times New Roman"/>
          <w:sz w:val="20"/>
          <w:szCs w:val="20"/>
          <w:color w:val="auto"/>
        </w:rPr>
        <w:t>following the ‘Variation Date’ under the Restatement Deed until the ‘Amendment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Amendment Deed, 1.90% per annum; and</w:t>
      </w:r>
    </w:p>
    <w:p>
      <w:pPr>
        <w:spacing w:after="0" w:line="1" w:lineRule="exact"/>
        <w:rPr>
          <w:rFonts w:ascii="Times New Roman" w:cs="Times New Roman" w:eastAsia="Times New Roman" w:hAnsi="Times New Roman"/>
          <w:sz w:val="20"/>
          <w:szCs w:val="20"/>
          <w:color w:val="auto"/>
        </w:rPr>
      </w:pPr>
    </w:p>
    <w:p>
      <w:pPr>
        <w:ind w:left="1380" w:right="79" w:hanging="656"/>
        <w:spacing w:after="0" w:line="246" w:lineRule="auto"/>
        <w:tabs>
          <w:tab w:leader="none" w:pos="141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and from the first services fee charge date (to be determined in accordance with </w:t>
      </w:r>
      <w:r>
        <w:rPr>
          <w:rFonts w:ascii="Times New Roman" w:cs="Times New Roman" w:eastAsia="Times New Roman" w:hAnsi="Times New Roman"/>
          <w:sz w:val="20"/>
          <w:szCs w:val="20"/>
          <w:b w:val="1"/>
          <w:b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9.1(e)) </w:t>
      </w:r>
      <w:r>
        <w:rPr>
          <w:rFonts w:ascii="Times New Roman" w:cs="Times New Roman" w:eastAsia="Times New Roman" w:hAnsi="Times New Roman"/>
          <w:sz w:val="20"/>
          <w:szCs w:val="20"/>
          <w:color w:val="auto"/>
        </w:rPr>
        <w:t>following the ‘Amendment Date’ under the Amendment Deed, 1.85% per annum.</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Base Rate </w:t>
      </w:r>
      <w:r>
        <w:rPr>
          <w:rFonts w:ascii="Times New Roman" w:cs="Times New Roman" w:eastAsia="Times New Roman" w:hAnsi="Times New Roman"/>
          <w:sz w:val="20"/>
          <w:szCs w:val="20"/>
          <w:color w:val="auto"/>
        </w:rPr>
        <w:t>means, in relation to a Pricing Period:</w:t>
      </w:r>
    </w:p>
    <w:p>
      <w:pPr>
        <w:spacing w:after="0" w:line="233" w:lineRule="exact"/>
        <w:rPr>
          <w:sz w:val="20"/>
          <w:szCs w:val="20"/>
          <w:color w:val="auto"/>
        </w:rPr>
      </w:pPr>
    </w:p>
    <w:p>
      <w:pPr>
        <w:jc w:val="both"/>
        <w:ind w:left="1380" w:right="99" w:hanging="656"/>
        <w:spacing w:after="0" w:line="244" w:lineRule="auto"/>
        <w:tabs>
          <w:tab w:leader="none" w:pos="141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(expressed as a percentage yield per annum to maturity, and not being less than zero) being the arithmetic average (rounded up to the nearest four decimal places) of the buying rates published at or about 10.15 am on the first Business Day of the Pricing Period on the Reuters Screen under the heading “BBSY” for Bills with a tenor as nearly as possible equal to that Pricing Period; or</w:t>
      </w:r>
    </w:p>
    <w:p>
      <w:pPr>
        <w:ind w:left="1420" w:hanging="696"/>
        <w:spacing w:after="0"/>
        <w:tabs>
          <w:tab w:leader="none" w:pos="14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w:t>
      </w:r>
    </w:p>
    <w:p>
      <w:pPr>
        <w:ind w:left="2020" w:hanging="648"/>
        <w:spacing w:after="0"/>
        <w:tabs>
          <w:tab w:leader="none" w:pos="20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is not displayed for a term equivalent to that period; or</w:t>
      </w:r>
    </w:p>
    <w:p>
      <w:pPr>
        <w:ind w:left="2020" w:hanging="648"/>
        <w:spacing w:after="0"/>
        <w:tabs>
          <w:tab w:leader="none" w:pos="202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basis of the calculation of the rate is changed after the date of this document so that</w:t>
      </w:r>
    </w:p>
    <w:p>
      <w:pPr>
        <w:spacing w:after="0" w:line="11"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in the opinion of the Bank it ceases to reflect the cost of providing the Facility,</w:t>
      </w:r>
    </w:p>
    <w:p>
      <w:pPr>
        <w:jc w:val="both"/>
        <w:ind w:left="1380" w:right="99"/>
        <w:spacing w:after="0"/>
        <w:rPr>
          <w:sz w:val="20"/>
          <w:szCs w:val="20"/>
          <w:color w:val="auto"/>
        </w:rPr>
      </w:pPr>
      <w:r>
        <w:rPr>
          <w:rFonts w:ascii="Times New Roman" w:cs="Times New Roman" w:eastAsia="Times New Roman" w:hAnsi="Times New Roman"/>
          <w:sz w:val="20"/>
          <w:szCs w:val="20"/>
          <w:color w:val="auto"/>
        </w:rPr>
        <w:t>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w:t>
      </w:r>
    </w:p>
    <w:p>
      <w:pPr>
        <w:spacing w:after="0" w:line="200" w:lineRule="exact"/>
        <w:rPr>
          <w:sz w:val="20"/>
          <w:szCs w:val="20"/>
          <w:color w:val="auto"/>
        </w:rPr>
      </w:pPr>
    </w:p>
    <w:p>
      <w:pPr>
        <w:jc w:val="both"/>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Beneficiary </w:t>
      </w:r>
      <w:r>
        <w:rPr>
          <w:rFonts w:ascii="Times New Roman" w:cs="Times New Roman" w:eastAsia="Times New Roman" w:hAnsi="Times New Roman"/>
          <w:sz w:val="20"/>
          <w:szCs w:val="20"/>
          <w:color w:val="auto"/>
        </w:rPr>
        <w:t>means in relation to a Bank Guarantee, the person who from time to time is entitled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a claim for payment under that Bank Guarantee against the Bank.</w:t>
      </w:r>
    </w:p>
    <w:p>
      <w:pPr>
        <w:spacing w:after="0" w:line="165" w:lineRule="exact"/>
        <w:rPr>
          <w:sz w:val="20"/>
          <w:szCs w:val="20"/>
          <w:color w:val="auto"/>
        </w:rPr>
      </w:pPr>
    </w:p>
    <w:p>
      <w:pPr>
        <w:jc w:val="both"/>
        <w:ind w:left="720" w:right="9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Bill </w:t>
      </w:r>
      <w:r>
        <w:rPr>
          <w:rFonts w:ascii="Times New Roman" w:cs="Times New Roman" w:eastAsia="Times New Roman" w:hAnsi="Times New Roman"/>
          <w:sz w:val="20"/>
          <w:szCs w:val="20"/>
          <w:color w:val="auto"/>
        </w:rPr>
        <w:t>means a bill of exchange as defined in the Bills of Exchange Act 1909 (but does not include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cheque). It includes a document which, when signed by the persons named as drawer and acceptor in the relevant document, will become such a bill of exchange.</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Break Costs </w:t>
      </w:r>
      <w:r>
        <w:rPr>
          <w:rFonts w:ascii="Times New Roman" w:cs="Times New Roman" w:eastAsia="Times New Roman" w:hAnsi="Times New Roman"/>
          <w:sz w:val="20"/>
          <w:szCs w:val="20"/>
          <w:color w:val="auto"/>
        </w:rPr>
        <w:t>means, in relation to any financial accommodation provided or to be provided by the</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Bank under a Facility, any liability or costs incurred by the Bank by reason of:</w:t>
      </w:r>
    </w:p>
    <w:p>
      <w:pPr>
        <w:spacing w:after="0" w:line="207" w:lineRule="exact"/>
        <w:rPr>
          <w:sz w:val="20"/>
          <w:szCs w:val="20"/>
          <w:color w:val="auto"/>
        </w:rPr>
      </w:pPr>
    </w:p>
    <w:p>
      <w:pPr>
        <w:ind w:left="1380" w:right="79" w:hanging="656"/>
        <w:spacing w:after="0" w:line="250" w:lineRule="auto"/>
        <w:tabs>
          <w:tab w:leader="none" w:pos="141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liquidating or re-deploying deposits or other funds acquired or contracted for by or on account of the Borrower or the Bank;</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39" w:lineRule="auto"/>
        <w:tabs>
          <w:tab w:leader="none" w:pos="142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w:t>
      </w:r>
    </w:p>
    <w:p>
      <w:pPr>
        <w:spacing w:after="0" w:line="2"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loss of any margins in relation to future lending or loss of any fees.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Business Da</w:t>
      </w:r>
      <w:r>
        <w:rPr>
          <w:rFonts w:ascii="Times New Roman" w:cs="Times New Roman" w:eastAsia="Times New Roman" w:hAnsi="Times New Roman"/>
          <w:sz w:val="20"/>
          <w:szCs w:val="20"/>
          <w:color w:val="auto"/>
        </w:rPr>
        <w:t>y means a day which is not a Saturday, Sunday or bank or public holiday in Melbourne.</w:t>
      </w:r>
    </w:p>
    <w:p>
      <w:pPr>
        <w:spacing w:after="0" w:line="229" w:lineRule="exact"/>
        <w:rPr>
          <w:sz w:val="20"/>
          <w:szCs w:val="20"/>
          <w:color w:val="auto"/>
        </w:rPr>
      </w:pPr>
    </w:p>
    <w:p>
      <w:pPr>
        <w:jc w:val="both"/>
        <w:ind w:left="720" w:right="9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Cash Cover Rate </w:t>
      </w:r>
      <w:r>
        <w:rPr>
          <w:rFonts w:ascii="Times New Roman" w:cs="Times New Roman" w:eastAsia="Times New Roman" w:hAnsi="Times New Roman"/>
          <w:sz w:val="20"/>
          <w:szCs w:val="20"/>
          <w:color w:val="auto"/>
        </w:rPr>
        <w:t>means the rate (expressed as a rate per centum per annum) determined by the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good faith) to be the interest rate which it would pay on deposits at call for an amount similar to the amount at which the relevant deposit is made.</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Calculation Date </w:t>
      </w:r>
      <w:r>
        <w:rPr>
          <w:rFonts w:ascii="Times New Roman" w:cs="Times New Roman" w:eastAsia="Times New Roman" w:hAnsi="Times New Roman"/>
          <w:sz w:val="20"/>
          <w:szCs w:val="20"/>
          <w:color w:val="auto"/>
        </w:rPr>
        <w:t>means 31 March, 30 June, 30 September and 31 December in each year.</w:t>
      </w:r>
    </w:p>
    <w:p>
      <w:pPr>
        <w:sectPr>
          <w:pgSz w:w="11900" w:h="16838" w:orient="portrait"/>
          <w:cols w:equalWidth="0" w:num="1">
            <w:col w:w="9019"/>
          </w:cols>
          <w:pgMar w:left="1440" w:top="118" w:right="1440" w:bottom="0" w:gutter="0" w:footer="0" w:header="0"/>
        </w:sectPr>
      </w:pPr>
    </w:p>
    <w:bookmarkStart w:id="57" w:name="page58"/>
    <w:bookmarkEnd w:id="57"/>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Calculation Period </w:t>
      </w:r>
      <w:r>
        <w:rPr>
          <w:rFonts w:ascii="Times New Roman" w:cs="Times New Roman" w:eastAsia="Times New Roman" w:hAnsi="Times New Roman"/>
          <w:sz w:val="20"/>
          <w:szCs w:val="20"/>
          <w:color w:val="auto"/>
        </w:rPr>
        <w:t>means each period of twelve months ending on a Calculation Date.</w:t>
      </w:r>
    </w:p>
    <w:p>
      <w:pPr>
        <w:spacing w:after="0" w:line="229" w:lineRule="exact"/>
        <w:rPr>
          <w:sz w:val="20"/>
          <w:szCs w:val="20"/>
          <w:color w:val="auto"/>
        </w:rPr>
      </w:pPr>
    </w:p>
    <w:p>
      <w:pPr>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Change of Control </w:t>
      </w:r>
      <w:r>
        <w:rPr>
          <w:rFonts w:ascii="Times New Roman" w:cs="Times New Roman" w:eastAsia="Times New Roman" w:hAnsi="Times New Roman"/>
          <w:sz w:val="20"/>
          <w:szCs w:val="20"/>
          <w:color w:val="auto"/>
        </w:rPr>
        <w:t>means there is a change (from that prevailing at the date of this document)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persons who control any of the following in respect of a Transaction Party:</w:t>
      </w:r>
    </w:p>
    <w:p>
      <w:pPr>
        <w:spacing w:after="0" w:line="169" w:lineRule="exact"/>
        <w:rPr>
          <w:sz w:val="20"/>
          <w:szCs w:val="20"/>
          <w:color w:val="auto"/>
        </w:rPr>
      </w:pPr>
    </w:p>
    <w:p>
      <w:pPr>
        <w:ind w:left="1380" w:right="99" w:hanging="656"/>
        <w:spacing w:after="0" w:line="250" w:lineRule="auto"/>
        <w:tabs>
          <w:tab w:leader="none" w:pos="141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50% of the votes eligible to be cast in the election of directors or any similar matter; or</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39" w:lineRule="auto"/>
        <w:tabs>
          <w:tab w:leader="none" w:pos="14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appoint or remove directors (or members of a governing body having functions similar to a board of directors) representing more than 50% of the votes exercisable by the directors (or persons have similar functions); or</w:t>
      </w:r>
    </w:p>
    <w:p>
      <w:pPr>
        <w:spacing w:after="0" w:line="1" w:lineRule="exact"/>
        <w:rPr>
          <w:rFonts w:ascii="Times New Roman" w:cs="Times New Roman" w:eastAsia="Times New Roman" w:hAnsi="Times New Roman"/>
          <w:sz w:val="20"/>
          <w:szCs w:val="20"/>
          <w:color w:val="auto"/>
        </w:rPr>
      </w:pPr>
    </w:p>
    <w:p>
      <w:pPr>
        <w:ind w:left="1380" w:right="99" w:hanging="656"/>
        <w:spacing w:after="0" w:line="246" w:lineRule="auto"/>
        <w:tabs>
          <w:tab w:leader="none" w:pos="141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interest of more than 50% in any category of the profits, distributions or net liquidation proceeds.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Collateral Security </w:t>
      </w:r>
      <w:r>
        <w:rPr>
          <w:rFonts w:ascii="Times New Roman" w:cs="Times New Roman" w:eastAsia="Times New Roman" w:hAnsi="Times New Roman"/>
          <w:sz w:val="20"/>
          <w:szCs w:val="20"/>
          <w:color w:val="auto"/>
        </w:rPr>
        <w:t>means:</w:t>
      </w:r>
    </w:p>
    <w:p>
      <w:pPr>
        <w:spacing w:after="0" w:line="26" w:lineRule="exact"/>
        <w:rPr>
          <w:sz w:val="20"/>
          <w:szCs w:val="20"/>
          <w:color w:val="auto"/>
        </w:rPr>
      </w:pPr>
    </w:p>
    <w:p>
      <w:pPr>
        <w:ind w:left="1380" w:right="99" w:hanging="656"/>
        <w:spacing w:after="0" w:line="239" w:lineRule="auto"/>
        <w:tabs>
          <w:tab w:leader="none" w:pos="141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 by which any person Guarantees the Borrower’s compliance with its obligations under any of the Transaction Documents;</w:t>
      </w:r>
    </w:p>
    <w:p>
      <w:pPr>
        <w:ind w:left="1380" w:right="79" w:hanging="656"/>
        <w:spacing w:after="0" w:line="239" w:lineRule="auto"/>
        <w:tabs>
          <w:tab w:leader="none" w:pos="142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which secures the payment of money owing (actually or contingently) from time to time by:</w:t>
      </w:r>
    </w:p>
    <w:p>
      <w:pPr>
        <w:ind w:left="2020" w:hanging="648"/>
        <w:spacing w:after="0"/>
        <w:tabs>
          <w:tab w:leader="none" w:pos="20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Party in relation to any of the Transaction Documents; or</w:t>
      </w:r>
    </w:p>
    <w:p>
      <w:pPr>
        <w:ind w:left="2020" w:right="99" w:hanging="648"/>
        <w:spacing w:after="0" w:line="239" w:lineRule="auto"/>
        <w:tabs>
          <w:tab w:leader="none" w:pos="2019"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in relation to a Guarantee of any Transaction Party’s compliance with its obligations under any of the Transaction Documents; and</w:t>
      </w:r>
    </w:p>
    <w:p>
      <w:pPr>
        <w:ind w:left="1400" w:hanging="676"/>
        <w:spacing w:after="0"/>
        <w:tabs>
          <w:tab w:leader="none" w:pos="1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paragraphs (a) and (b) each thing listed in </w:t>
      </w:r>
      <w:r>
        <w:rPr>
          <w:rFonts w:ascii="Times New Roman" w:cs="Times New Roman" w:eastAsia="Times New Roman" w:hAnsi="Times New Roman"/>
          <w:sz w:val="20"/>
          <w:szCs w:val="20"/>
          <w:b w:val="1"/>
          <w:bCs w:val="1"/>
          <w:color w:val="auto"/>
        </w:rPr>
        <w:t>schedule 3</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720" w:right="21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Contaminant </w:t>
      </w:r>
      <w:r>
        <w:rPr>
          <w:rFonts w:ascii="Times New Roman" w:cs="Times New Roman" w:eastAsia="Times New Roman" w:hAnsi="Times New Roman"/>
          <w:sz w:val="20"/>
          <w:szCs w:val="20"/>
          <w:color w:val="auto"/>
        </w:rPr>
        <w:t>means a noxious, harmful or hazardous condition (including an odour, temperature,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sound, 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w:t>
      </w:r>
    </w:p>
    <w:p>
      <w:pPr>
        <w:spacing w:after="0" w:line="194" w:lineRule="exact"/>
        <w:rPr>
          <w:sz w:val="20"/>
          <w:szCs w:val="20"/>
          <w:color w:val="auto"/>
        </w:rPr>
      </w:pPr>
    </w:p>
    <w:p>
      <w:pPr>
        <w:ind w:left="720" w:right="23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Corporate Markets Loan Facility </w:t>
      </w:r>
      <w:r>
        <w:rPr>
          <w:rFonts w:ascii="Times New Roman" w:cs="Times New Roman" w:eastAsia="Times New Roman" w:hAnsi="Times New Roman"/>
          <w:sz w:val="20"/>
          <w:szCs w:val="20"/>
          <w:color w:val="auto"/>
        </w:rPr>
        <w:t>means the Facility described as such in</w:t>
      </w:r>
      <w:r>
        <w:rPr>
          <w:rFonts w:ascii="Times New Roman" w:cs="Times New Roman" w:eastAsia="Times New Roman" w:hAnsi="Times New Roman"/>
          <w:sz w:val="20"/>
          <w:szCs w:val="20"/>
          <w:b w:val="1"/>
          <w:bCs w:val="1"/>
          <w:color w:val="auto"/>
        </w:rPr>
        <w:t xml:space="preserve"> schedule 2 </w:t>
      </w:r>
      <w:r>
        <w:rPr>
          <w:rFonts w:ascii="Times New Roman" w:cs="Times New Roman" w:eastAsia="Times New Roman" w:hAnsi="Times New Roman"/>
          <w:sz w:val="20"/>
          <w:szCs w:val="20"/>
          <w:color w:val="auto"/>
        </w:rPr>
        <w:t>and granted pursuant to</w:t>
      </w:r>
      <w:r>
        <w:rPr>
          <w:rFonts w:ascii="Times New Roman" w:cs="Times New Roman" w:eastAsia="Times New Roman" w:hAnsi="Times New Roman"/>
          <w:sz w:val="20"/>
          <w:szCs w:val="20"/>
          <w:b w:val="1"/>
          <w:bCs w:val="1"/>
          <w:color w:val="auto"/>
        </w:rPr>
        <w:t xml:space="preserve"> clause 4.1(a)(i).</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Corporations Act </w:t>
      </w:r>
      <w:r>
        <w:rPr>
          <w:rFonts w:ascii="Times New Roman" w:cs="Times New Roman" w:eastAsia="Times New Roman" w:hAnsi="Times New Roman"/>
          <w:sz w:val="20"/>
          <w:szCs w:val="20"/>
          <w:color w:val="auto"/>
        </w:rPr>
        <w:t>means the Corporations Act 2001 (Cth).</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Current Bank Guarantee </w:t>
      </w:r>
      <w:r>
        <w:rPr>
          <w:rFonts w:ascii="Times New Roman" w:cs="Times New Roman" w:eastAsia="Times New Roman" w:hAnsi="Times New Roman"/>
          <w:sz w:val="20"/>
          <w:szCs w:val="20"/>
          <w:color w:val="auto"/>
        </w:rPr>
        <w:t>means a Bank Guarantee which has not Matured or Expired.</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Daily Interest Rate </w:t>
      </w:r>
      <w:r>
        <w:rPr>
          <w:rFonts w:ascii="Times New Roman" w:cs="Times New Roman" w:eastAsia="Times New Roman" w:hAnsi="Times New Roman"/>
          <w:sz w:val="20"/>
          <w:szCs w:val="20"/>
          <w:color w:val="auto"/>
        </w:rPr>
        <w:t>means, for any day, the Interest Rate on that day divided by 365.</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Debt to Debt plus Equity Ratio </w:t>
      </w:r>
      <w:r>
        <w:rPr>
          <w:rFonts w:ascii="Times New Roman" w:cs="Times New Roman" w:eastAsia="Times New Roman" w:hAnsi="Times New Roman"/>
          <w:sz w:val="20"/>
          <w:szCs w:val="20"/>
          <w:color w:val="auto"/>
        </w:rPr>
        <w:t>means, as at any date, the ratio of:</w:t>
      </w:r>
    </w:p>
    <w:p>
      <w:pPr>
        <w:spacing w:after="0" w:line="25" w:lineRule="exact"/>
        <w:rPr>
          <w:sz w:val="20"/>
          <w:szCs w:val="20"/>
          <w:color w:val="auto"/>
        </w:rPr>
      </w:pPr>
    </w:p>
    <w:p>
      <w:pPr>
        <w:ind w:left="1400" w:hanging="676"/>
        <w:spacing w:after="0"/>
        <w:tabs>
          <w:tab w:leader="none" w:pos="14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Gross Debt outstanding on that date; to</w:t>
      </w:r>
    </w:p>
    <w:p>
      <w:pPr>
        <w:ind w:left="1420" w:hanging="696"/>
        <w:spacing w:after="0"/>
        <w:tabs>
          <w:tab w:leader="none" w:pos="1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Gross Debt outstanding plus Equity on that date.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Disposal </w:t>
      </w:r>
      <w:r>
        <w:rPr>
          <w:rFonts w:ascii="Times New Roman" w:cs="Times New Roman" w:eastAsia="Times New Roman" w:hAnsi="Times New Roman"/>
          <w:sz w:val="20"/>
          <w:szCs w:val="20"/>
          <w:color w:val="auto"/>
        </w:rPr>
        <w:t>means a sale, lease, transfer or other disposal by any Transaction Party of any interest in:</w:t>
      </w:r>
    </w:p>
    <w:p>
      <w:pPr>
        <w:spacing w:after="0" w:line="26" w:lineRule="exact"/>
        <w:rPr>
          <w:sz w:val="20"/>
          <w:szCs w:val="20"/>
          <w:color w:val="auto"/>
        </w:rPr>
      </w:pPr>
    </w:p>
    <w:p>
      <w:pPr>
        <w:jc w:val="both"/>
        <w:ind w:left="1380" w:right="99" w:hanging="656"/>
        <w:spacing w:after="0" w:line="239" w:lineRule="auto"/>
        <w:tabs>
          <w:tab w:leader="none" w:pos="141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 or stock (whether or not ordinary or preference and whether or not redeemable) or any other instrument convertible or exchangeable into or entitling a person to acquire or subscribe for any share or stock;</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whole or any part of a business, business unit or line of business; or</w:t>
      </w:r>
    </w:p>
    <w:p>
      <w:pPr>
        <w:ind w:left="1380" w:right="99" w:hanging="656"/>
        <w:spacing w:after="0" w:line="246" w:lineRule="auto"/>
        <w:tabs>
          <w:tab w:leader="none" w:pos="141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asset under a particular transaction or related transactions not in the ordinary course of business of the Reading Entertainment Australia Group taken as a whole.</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Distribution </w:t>
      </w:r>
      <w:r>
        <w:rPr>
          <w:rFonts w:ascii="Times New Roman" w:cs="Times New Roman" w:eastAsia="Times New Roman" w:hAnsi="Times New Roman"/>
          <w:sz w:val="20"/>
          <w:szCs w:val="20"/>
          <w:color w:val="auto"/>
        </w:rPr>
        <w:t>means:</w:t>
      </w:r>
    </w:p>
    <w:p>
      <w:pPr>
        <w:spacing w:after="0" w:line="26" w:lineRule="exact"/>
        <w:rPr>
          <w:sz w:val="20"/>
          <w:szCs w:val="20"/>
          <w:color w:val="auto"/>
        </w:rPr>
      </w:pPr>
    </w:p>
    <w:p>
      <w:pPr>
        <w:jc w:val="both"/>
        <w:ind w:left="1380" w:right="99" w:hanging="656"/>
        <w:spacing w:after="0" w:line="239" w:lineRule="auto"/>
        <w:tabs>
          <w:tab w:leader="none" w:pos="141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share capital of a Transaction Party, any dividend, charge, interest, fee, payment or other distribution (whether in cash or in kind) or redemption, repurchase, defeasance, retirement or redemption;</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39" w:lineRule="auto"/>
        <w:tabs>
          <w:tab w:leader="none" w:pos="142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any redemption or early redemption of any amount of principal or any other payment in respect of any shareholder loan or other subordinated loans made to any Transaction Party; or</w:t>
      </w:r>
    </w:p>
    <w:p>
      <w:pPr>
        <w:spacing w:after="0" w:line="1" w:lineRule="exact"/>
        <w:rPr>
          <w:rFonts w:ascii="Times New Roman" w:cs="Times New Roman" w:eastAsia="Times New Roman" w:hAnsi="Times New Roman"/>
          <w:sz w:val="20"/>
          <w:szCs w:val="20"/>
          <w:color w:val="auto"/>
        </w:rPr>
      </w:pPr>
    </w:p>
    <w:p>
      <w:pPr>
        <w:ind w:left="1380" w:right="99" w:hanging="656"/>
        <w:spacing w:after="0" w:line="246" w:lineRule="auto"/>
        <w:tabs>
          <w:tab w:leader="none" w:pos="141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or other financial accommodation made available by a Transaction Party to a person other than another Transaction Party.</w:t>
      </w:r>
    </w:p>
    <w:p>
      <w:pPr>
        <w:spacing w:after="0" w:line="191" w:lineRule="exact"/>
        <w:rPr>
          <w:sz w:val="20"/>
          <w:szCs w:val="20"/>
          <w:color w:val="auto"/>
        </w:rPr>
      </w:pPr>
    </w:p>
    <w:p>
      <w:pPr>
        <w:ind w:left="720" w:right="3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Drawing </w:t>
      </w:r>
      <w:r>
        <w:rPr>
          <w:rFonts w:ascii="Times New Roman" w:cs="Times New Roman" w:eastAsia="Times New Roman" w:hAnsi="Times New Roman"/>
          <w:sz w:val="20"/>
          <w:szCs w:val="20"/>
          <w:color w:val="auto"/>
        </w:rPr>
        <w:t>means each Bank Guarantee issued or to be issued in accordance with this document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same Funding Notice.</w:t>
      </w:r>
    </w:p>
    <w:p>
      <w:pPr>
        <w:spacing w:after="0" w:line="165" w:lineRule="exact"/>
        <w:rPr>
          <w:sz w:val="20"/>
          <w:szCs w:val="20"/>
          <w:color w:val="auto"/>
        </w:rPr>
      </w:pPr>
    </w:p>
    <w:p>
      <w:pPr>
        <w:ind w:left="720" w:right="13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EBIT </w:t>
      </w:r>
      <w:r>
        <w:rPr>
          <w:rFonts w:ascii="Times New Roman" w:cs="Times New Roman" w:eastAsia="Times New Roman" w:hAnsi="Times New Roman"/>
          <w:sz w:val="20"/>
          <w:szCs w:val="20"/>
          <w:color w:val="auto"/>
        </w:rPr>
        <w:t>means, in relation to any period and without double counting, operating profit (loss)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Reading Entertainment Australia Group (on a consolidated basis) from ordinary operations before interest, income tax and minority interests, but after deduction of depreciation and amortisation for that period, as determined in accordance with Accounting Standards.</w:t>
      </w:r>
    </w:p>
    <w:p>
      <w:pPr>
        <w:spacing w:after="0" w:line="189" w:lineRule="exact"/>
        <w:rPr>
          <w:sz w:val="20"/>
          <w:szCs w:val="20"/>
          <w:color w:val="auto"/>
        </w:rPr>
      </w:pPr>
    </w:p>
    <w:p>
      <w:pPr>
        <w:ind w:left="720" w:right="11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EBITDA </w:t>
      </w:r>
      <w:r>
        <w:rPr>
          <w:rFonts w:ascii="Times New Roman" w:cs="Times New Roman" w:eastAsia="Times New Roman" w:hAnsi="Times New Roman"/>
          <w:sz w:val="19"/>
          <w:szCs w:val="19"/>
          <w:color w:val="auto"/>
        </w:rPr>
        <w:t>means, in relation to any period, EBIT for the Reading Entertainment Australia Group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period, plus depreciation and amortisation as determined in accordance with Accounting Standards</w:t>
      </w:r>
    </w:p>
    <w:p>
      <w:pPr>
        <w:sectPr>
          <w:pgSz w:w="11900" w:h="16838" w:orient="portrait"/>
          <w:cols w:equalWidth="0" w:num="1">
            <w:col w:w="9019"/>
          </w:cols>
          <w:pgMar w:left="1440" w:top="342" w:right="1440" w:bottom="0" w:gutter="0" w:footer="0" w:header="0"/>
        </w:sectPr>
      </w:pPr>
    </w:p>
    <w:bookmarkStart w:id="58" w:name="page59"/>
    <w:bookmarkEnd w:id="58"/>
    <w:p>
      <w:pPr>
        <w:ind w:left="720" w:right="199"/>
        <w:spacing w:after="0" w:line="268" w:lineRule="auto"/>
        <w:rPr>
          <w:sz w:val="20"/>
          <w:szCs w:val="20"/>
          <w:color w:val="auto"/>
        </w:rPr>
      </w:pPr>
      <w:r>
        <w:rPr>
          <w:rFonts w:ascii="Times New Roman" w:cs="Times New Roman" w:eastAsia="Times New Roman" w:hAnsi="Times New Roman"/>
          <w:sz w:val="20"/>
          <w:szCs w:val="20"/>
          <w:color w:val="auto"/>
        </w:rPr>
        <w:t>including management fees received in cash, but excluding management fees accrued but not received in cash.</w:t>
      </w:r>
    </w:p>
    <w:p>
      <w:pPr>
        <w:spacing w:after="0" w:line="170" w:lineRule="exact"/>
        <w:rPr>
          <w:sz w:val="20"/>
          <w:szCs w:val="20"/>
          <w:color w:val="auto"/>
        </w:rPr>
      </w:pPr>
    </w:p>
    <w:p>
      <w:pPr>
        <w:ind w:left="720" w:right="53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Encumbrance </w:t>
      </w:r>
      <w:r>
        <w:rPr>
          <w:rFonts w:ascii="Times New Roman" w:cs="Times New Roman" w:eastAsia="Times New Roman" w:hAnsi="Times New Roman"/>
          <w:sz w:val="20"/>
          <w:szCs w:val="20"/>
          <w:color w:val="auto"/>
        </w:rPr>
        <w:t>means any interest in or right over property and anything which would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prevent, restrict or delay the registration of any interest in or dealing with property. It includes a Security Interest.</w:t>
      </w:r>
    </w:p>
    <w:p>
      <w:pPr>
        <w:spacing w:after="0" w:line="182" w:lineRule="exact"/>
        <w:rPr>
          <w:sz w:val="20"/>
          <w:szCs w:val="20"/>
          <w:color w:val="auto"/>
        </w:rPr>
      </w:pPr>
    </w:p>
    <w:p>
      <w:pPr>
        <w:ind w:left="720" w:right="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Environmental Assessment Report </w:t>
      </w:r>
      <w:r>
        <w:rPr>
          <w:rFonts w:ascii="Times New Roman" w:cs="Times New Roman" w:eastAsia="Times New Roman" w:hAnsi="Times New Roman"/>
          <w:sz w:val="20"/>
          <w:szCs w:val="20"/>
          <w:color w:val="auto"/>
        </w:rPr>
        <w:t>means a report in relation to compliance with Environmental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Land and any activities carried out on the Land.</w:t>
      </w:r>
    </w:p>
    <w:p>
      <w:pPr>
        <w:spacing w:after="0" w:line="165" w:lineRule="exact"/>
        <w:rPr>
          <w:sz w:val="20"/>
          <w:szCs w:val="20"/>
          <w:color w:val="auto"/>
        </w:rPr>
      </w:pPr>
    </w:p>
    <w:p>
      <w:pPr>
        <w:ind w:left="720" w:right="25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Environmental Law </w:t>
      </w:r>
      <w:r>
        <w:rPr>
          <w:rFonts w:ascii="Times New Roman" w:cs="Times New Roman" w:eastAsia="Times New Roman" w:hAnsi="Times New Roman"/>
          <w:sz w:val="20"/>
          <w:szCs w:val="20"/>
          <w:color w:val="auto"/>
        </w:rPr>
        <w:t>means any legislation, regulations or related codes, standards or policies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w:t>
      </w:r>
    </w:p>
    <w:p>
      <w:pPr>
        <w:spacing w:after="0" w:line="194" w:lineRule="exact"/>
        <w:rPr>
          <w:sz w:val="20"/>
          <w:szCs w:val="20"/>
          <w:color w:val="auto"/>
        </w:rPr>
      </w:pPr>
    </w:p>
    <w:p>
      <w:pPr>
        <w:ind w:left="720" w:right="13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Environmental Liability </w:t>
      </w:r>
      <w:r>
        <w:rPr>
          <w:rFonts w:ascii="Times New Roman" w:cs="Times New Roman" w:eastAsia="Times New Roman" w:hAnsi="Times New Roman"/>
          <w:sz w:val="20"/>
          <w:szCs w:val="20"/>
          <w:color w:val="auto"/>
        </w:rPr>
        <w:t>means any liability, obligation, expense, penalty or fine arising out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breach of Environmental Law which could be imposed on any Transaction Party or the Bank in respect of the Land as a result of activities carried on during the ownership, occupation or control of the Land by that Transaction Party, the Bank, any predecessor in title or any previous occupier or controller of the Land.</w:t>
      </w:r>
    </w:p>
    <w:p>
      <w:pPr>
        <w:spacing w:after="0" w:line="194" w:lineRule="exact"/>
        <w:rPr>
          <w:sz w:val="20"/>
          <w:szCs w:val="20"/>
          <w:color w:val="auto"/>
        </w:rPr>
      </w:pPr>
    </w:p>
    <w:p>
      <w:pPr>
        <w:ind w:left="720" w:right="3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Equity </w:t>
      </w:r>
      <w:r>
        <w:rPr>
          <w:rFonts w:ascii="Times New Roman" w:cs="Times New Roman" w:eastAsia="Times New Roman" w:hAnsi="Times New Roman"/>
          <w:sz w:val="20"/>
          <w:szCs w:val="20"/>
          <w:color w:val="auto"/>
        </w:rPr>
        <w:t>means total assets minus total liabilities of the Reading Entertainment Australia Group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consolidated basis).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Event of Default </w:t>
      </w:r>
      <w:r>
        <w:rPr>
          <w:rFonts w:ascii="Times New Roman" w:cs="Times New Roman" w:eastAsia="Times New Roman" w:hAnsi="Times New Roman"/>
          <w:sz w:val="20"/>
          <w:szCs w:val="20"/>
          <w:color w:val="auto"/>
        </w:rPr>
        <w:t>means any event or circumstance described in</w:t>
      </w:r>
      <w:r>
        <w:rPr>
          <w:rFonts w:ascii="Times New Roman" w:cs="Times New Roman" w:eastAsia="Times New Roman" w:hAnsi="Times New Roman"/>
          <w:sz w:val="20"/>
          <w:szCs w:val="20"/>
          <w:b w:val="1"/>
          <w:bCs w:val="1"/>
          <w:color w:val="auto"/>
        </w:rPr>
        <w:t xml:space="preserve"> clause 10.1.</w:t>
      </w:r>
    </w:p>
    <w:p>
      <w:pPr>
        <w:spacing w:after="0" w:line="229" w:lineRule="exact"/>
        <w:rPr>
          <w:sz w:val="20"/>
          <w:szCs w:val="20"/>
          <w:color w:val="auto"/>
        </w:rPr>
      </w:pPr>
    </w:p>
    <w:p>
      <w:pPr>
        <w:ind w:left="720" w:right="2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Excluded Financial Indebtedness </w:t>
      </w:r>
      <w:r>
        <w:rPr>
          <w:rFonts w:ascii="Times New Roman" w:cs="Times New Roman" w:eastAsia="Times New Roman" w:hAnsi="Times New Roman"/>
          <w:sz w:val="20"/>
          <w:szCs w:val="20"/>
          <w:color w:val="auto"/>
        </w:rPr>
        <w:t>means Financial Indebtedness of the kind referred to in paragraph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 or (d) of the definition of Permitted Financial Indebtedness.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Excluded Property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both"/>
        <w:ind w:left="1380" w:right="99" w:hanging="656"/>
        <w:spacing w:after="0" w:line="239" w:lineRule="auto"/>
        <w:tabs>
          <w:tab w:leader="none" w:pos="141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or future interest of Reading Exhibition Pty Ltd in the Garden City Cinema joint venture with Village Roadshow Exhibition and Birch Carroll &amp; Coyle or the assets the subject of the joint venture or the relevant joint venture agreement; and</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42" w:lineRule="auto"/>
        <w:tabs>
          <w:tab w:leader="none" w:pos="142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or future interest of Epping Cinemas Pty Ltd in the lease granted by Bevendale Pty Ltd or the property the subject of the lease to the extent that the existence of a charge over that interest or property would cause a breach of the that lease.</w:t>
      </w:r>
    </w:p>
    <w:p>
      <w:pPr>
        <w:spacing w:after="0" w:line="196" w:lineRule="exact"/>
        <w:rPr>
          <w:sz w:val="20"/>
          <w:szCs w:val="20"/>
          <w:color w:val="auto"/>
        </w:rPr>
      </w:pPr>
    </w:p>
    <w:p>
      <w:pPr>
        <w:ind w:left="720" w:right="1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Expired </w:t>
      </w:r>
      <w:r>
        <w:rPr>
          <w:rFonts w:ascii="Times New Roman" w:cs="Times New Roman" w:eastAsia="Times New Roman" w:hAnsi="Times New Roman"/>
          <w:sz w:val="20"/>
          <w:szCs w:val="20"/>
          <w:color w:val="auto"/>
        </w:rPr>
        <w:t>means, in relation to a Bank Guarantee, that its Expiry Date has passed whether or not a claim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been made under it by the Beneficiary.</w:t>
      </w:r>
    </w:p>
    <w:p>
      <w:pPr>
        <w:spacing w:after="0" w:line="165" w:lineRule="exact"/>
        <w:rPr>
          <w:sz w:val="20"/>
          <w:szCs w:val="20"/>
          <w:color w:val="auto"/>
        </w:rPr>
      </w:pPr>
    </w:p>
    <w:p>
      <w:pPr>
        <w:ind w:left="720" w:right="2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Expiry Date </w:t>
      </w:r>
      <w:r>
        <w:rPr>
          <w:rFonts w:ascii="Times New Roman" w:cs="Times New Roman" w:eastAsia="Times New Roman" w:hAnsi="Times New Roman"/>
          <w:sz w:val="20"/>
          <w:szCs w:val="20"/>
          <w:color w:val="auto"/>
        </w:rPr>
        <w:t>means, in relation to a Bank Guarantee, the date specified in that Bank Guarantee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latest date by which the Beneficiary may make a claim under it.</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Face Value </w:t>
      </w:r>
      <w:r>
        <w:rPr>
          <w:rFonts w:ascii="Times New Roman" w:cs="Times New Roman" w:eastAsia="Times New Roman" w:hAnsi="Times New Roman"/>
          <w:sz w:val="20"/>
          <w:szCs w:val="20"/>
          <w:color w:val="auto"/>
        </w:rPr>
        <w:t>means, in relation to a Bank Guarantee:</w:t>
      </w:r>
    </w:p>
    <w:p>
      <w:pPr>
        <w:spacing w:after="0" w:line="233" w:lineRule="exact"/>
        <w:rPr>
          <w:sz w:val="20"/>
          <w:szCs w:val="20"/>
          <w:color w:val="auto"/>
        </w:rPr>
      </w:pPr>
    </w:p>
    <w:p>
      <w:pPr>
        <w:ind w:left="1380" w:right="99" w:hanging="656"/>
        <w:spacing w:after="0" w:line="250" w:lineRule="auto"/>
        <w:tabs>
          <w:tab w:leader="none" w:pos="141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(b), the amount specified in that Bank Guarantee as the aggregate maximum amount which the Beneficiary may claim under it; or</w:t>
      </w:r>
    </w:p>
    <w:p>
      <w:pPr>
        <w:spacing w:after="0" w:line="1" w:lineRule="exact"/>
        <w:rPr>
          <w:rFonts w:ascii="Times New Roman" w:cs="Times New Roman" w:eastAsia="Times New Roman" w:hAnsi="Times New Roman"/>
          <w:sz w:val="20"/>
          <w:szCs w:val="20"/>
          <w:color w:val="auto"/>
        </w:rPr>
      </w:pPr>
    </w:p>
    <w:p>
      <w:pPr>
        <w:jc w:val="both"/>
        <w:ind w:left="1380" w:right="99" w:hanging="656"/>
        <w:spacing w:after="0" w:line="241" w:lineRule="auto"/>
        <w:tabs>
          <w:tab w:leader="none" w:pos="142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w:t>
      </w:r>
    </w:p>
    <w:p>
      <w:pPr>
        <w:spacing w:after="0" w:line="198" w:lineRule="exact"/>
        <w:rPr>
          <w:sz w:val="20"/>
          <w:szCs w:val="20"/>
          <w:color w:val="auto"/>
        </w:rPr>
      </w:pPr>
    </w:p>
    <w:p>
      <w:pPr>
        <w:ind w:left="720" w:right="3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Facility </w:t>
      </w:r>
      <w:r>
        <w:rPr>
          <w:rFonts w:ascii="Times New Roman" w:cs="Times New Roman" w:eastAsia="Times New Roman" w:hAnsi="Times New Roman"/>
          <w:sz w:val="20"/>
          <w:szCs w:val="20"/>
          <w:color w:val="auto"/>
        </w:rPr>
        <w:t>means each of the facilities listed in</w:t>
      </w:r>
      <w:r>
        <w:rPr>
          <w:rFonts w:ascii="Times New Roman" w:cs="Times New Roman" w:eastAsia="Times New Roman" w:hAnsi="Times New Roman"/>
          <w:sz w:val="20"/>
          <w:szCs w:val="20"/>
          <w:b w:val="1"/>
          <w:bCs w:val="1"/>
          <w:color w:val="auto"/>
        </w:rPr>
        <w:t xml:space="preserve"> schedule 2 </w:t>
      </w:r>
      <w:r>
        <w:rPr>
          <w:rFonts w:ascii="Times New Roman" w:cs="Times New Roman" w:eastAsia="Times New Roman" w:hAnsi="Times New Roman"/>
          <w:sz w:val="20"/>
          <w:szCs w:val="20"/>
          <w:color w:val="auto"/>
        </w:rPr>
        <w:t>(and each Facility may be referred to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Facility Name listed in </w:t>
      </w:r>
      <w:r>
        <w:rPr>
          <w:rFonts w:ascii="Times New Roman" w:cs="Times New Roman" w:eastAsia="Times New Roman" w:hAnsi="Times New Roman"/>
          <w:sz w:val="20"/>
          <w:szCs w:val="20"/>
          <w:b w:val="1"/>
          <w:bCs w:val="1"/>
          <w:color w:val="auto"/>
        </w:rPr>
        <w:t>schedule 2).</w:t>
      </w:r>
    </w:p>
    <w:p>
      <w:pPr>
        <w:spacing w:after="0" w:line="165" w:lineRule="exact"/>
        <w:rPr>
          <w:sz w:val="20"/>
          <w:szCs w:val="20"/>
          <w:color w:val="auto"/>
        </w:rPr>
      </w:pPr>
    </w:p>
    <w:p>
      <w:pPr>
        <w:ind w:left="720" w:right="3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Facility Limit </w:t>
      </w:r>
      <w:r>
        <w:rPr>
          <w:rFonts w:ascii="Times New Roman" w:cs="Times New Roman" w:eastAsia="Times New Roman" w:hAnsi="Times New Roman"/>
          <w:sz w:val="20"/>
          <w:szCs w:val="20"/>
          <w:color w:val="auto"/>
        </w:rPr>
        <w:t>means, in respect of each Facility, the relevant Facility Limit set out in</w:t>
      </w:r>
      <w:r>
        <w:rPr>
          <w:rFonts w:ascii="Times New Roman" w:cs="Times New Roman" w:eastAsia="Times New Roman" w:hAnsi="Times New Roman"/>
          <w:sz w:val="20"/>
          <w:szCs w:val="20"/>
          <w:b w:val="1"/>
          <w:bCs w:val="1"/>
          <w:color w:val="auto"/>
        </w:rPr>
        <w:t xml:space="preserve"> schedule 2</w:t>
      </w:r>
      <w:r>
        <w:rPr>
          <w:rFonts w:ascii="Times New Roman" w:cs="Times New Roman" w:eastAsia="Times New Roman" w:hAnsi="Times New Roman"/>
          <w:sz w:val="20"/>
          <w:szCs w:val="20"/>
          <w:color w:val="auto"/>
        </w:rPr>
        <w: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reduced under this document including in accordance with </w:t>
      </w:r>
      <w:r>
        <w:rPr>
          <w:rFonts w:ascii="Times New Roman" w:cs="Times New Roman" w:eastAsia="Times New Roman" w:hAnsi="Times New Roman"/>
          <w:sz w:val="20"/>
          <w:szCs w:val="20"/>
          <w:b w:val="1"/>
          <w:bCs w:val="1"/>
          <w:color w:val="auto"/>
        </w:rPr>
        <w:t>clause 5.6.</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Financial Close </w:t>
      </w:r>
      <w:r>
        <w:rPr>
          <w:rFonts w:ascii="Times New Roman" w:cs="Times New Roman" w:eastAsia="Times New Roman" w:hAnsi="Times New Roman"/>
          <w:sz w:val="20"/>
          <w:szCs w:val="20"/>
          <w:color w:val="auto"/>
        </w:rPr>
        <w:t>means the initial Funding Date.</w:t>
      </w:r>
    </w:p>
    <w:p>
      <w:pPr>
        <w:spacing w:after="0" w:line="229" w:lineRule="exact"/>
        <w:rPr>
          <w:sz w:val="20"/>
          <w:szCs w:val="20"/>
          <w:color w:val="auto"/>
        </w:rPr>
      </w:pPr>
    </w:p>
    <w:p>
      <w:pPr>
        <w:jc w:val="both"/>
        <w:ind w:left="720" w:right="839"/>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Financial Indebtedness </w:t>
      </w:r>
      <w:r>
        <w:rPr>
          <w:rFonts w:ascii="Times New Roman" w:cs="Times New Roman" w:eastAsia="Times New Roman" w:hAnsi="Times New Roman"/>
          <w:sz w:val="19"/>
          <w:szCs w:val="19"/>
          <w:color w:val="auto"/>
        </w:rPr>
        <w:t>means any indebtedness or other liability (present or future, actual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contingent) relating to any financial accommodation including indebtedness or other liability:</w:t>
      </w:r>
    </w:p>
    <w:p>
      <w:pPr>
        <w:ind w:left="1400" w:hanging="676"/>
        <w:spacing w:after="0"/>
        <w:tabs>
          <w:tab w:leader="none" w:pos="14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money borrowed or raised;</w:t>
      </w:r>
    </w:p>
    <w:p>
      <w:pPr>
        <w:ind w:left="1420" w:hanging="696"/>
        <w:spacing w:after="0"/>
        <w:tabs>
          <w:tab w:leader="none" w:pos="14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relating to the sale or negotiation of any negotiable instrument;</w:t>
      </w:r>
    </w:p>
    <w:p>
      <w:pPr>
        <w:ind w:left="1380" w:right="99" w:hanging="656"/>
        <w:spacing w:after="0" w:line="239" w:lineRule="auto"/>
        <w:tabs>
          <w:tab w:leader="none" w:pos="141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lessee under any finance lease, as hirer under any hire purchase agreement or as purchaser under any title retention agreement;</w:t>
      </w:r>
    </w:p>
    <w:p>
      <w:pPr>
        <w:ind w:left="1420" w:hanging="696"/>
        <w:spacing w:after="0"/>
        <w:tabs>
          <w:tab w:leader="none" w:pos="14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relating to any preference share or unit categorised as debt under Accounting Standards;</w:t>
      </w:r>
    </w:p>
    <w:p>
      <w:pPr>
        <w:ind w:left="1380" w:right="99" w:hanging="656"/>
        <w:spacing w:after="0" w:line="239" w:lineRule="auto"/>
        <w:tabs>
          <w:tab w:leader="none" w:pos="141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any commodity, currency or interest rate swap agreement, forward exchange rate agreement or futures contract (as defined in any statute);</w:t>
      </w:r>
    </w:p>
    <w:p>
      <w:pPr>
        <w:ind w:left="1380" w:hanging="656"/>
        <w:spacing w:after="0"/>
        <w:tabs>
          <w:tab w:leader="none" w:pos="13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any Guarantee relating to any financial accommodation; or</w:t>
      </w:r>
    </w:p>
    <w:p>
      <w:pPr>
        <w:sectPr>
          <w:pgSz w:w="11900" w:h="16838" w:orient="portrait"/>
          <w:cols w:equalWidth="0" w:num="1">
            <w:col w:w="9019"/>
          </w:cols>
          <w:pgMar w:left="1440" w:top="118" w:right="1440" w:bottom="0" w:gutter="0" w:footer="0" w:header="0"/>
        </w:sectPr>
      </w:pPr>
    </w:p>
    <w:bookmarkStart w:id="59" w:name="page60"/>
    <w:bookmarkEnd w:id="59"/>
    <w:p>
      <w:pPr>
        <w:spacing w:after="0" w:line="86" w:lineRule="exact"/>
        <w:rPr>
          <w:sz w:val="20"/>
          <w:szCs w:val="20"/>
          <w:color w:val="auto"/>
        </w:rPr>
      </w:pPr>
    </w:p>
    <w:p>
      <w:pPr>
        <w:ind w:left="1380" w:right="79" w:hanging="656"/>
        <w:spacing w:after="0" w:line="268" w:lineRule="auto"/>
        <w:tabs>
          <w:tab w:leader="none" w:pos="142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deferred purchase price (other than in the nature of warranty retention amounts) for any asset or service.</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Financial Ratio </w:t>
      </w:r>
      <w:r>
        <w:rPr>
          <w:rFonts w:ascii="Times New Roman" w:cs="Times New Roman" w:eastAsia="Times New Roman" w:hAnsi="Times New Roman"/>
          <w:sz w:val="20"/>
          <w:szCs w:val="20"/>
          <w:color w:val="auto"/>
        </w:rPr>
        <w:t>means any of the financial ratios referred to in clause 9.8.</w:t>
      </w:r>
    </w:p>
    <w:p>
      <w:pPr>
        <w:spacing w:after="0" w:line="229" w:lineRule="exact"/>
        <w:rPr>
          <w:sz w:val="20"/>
          <w:szCs w:val="20"/>
          <w:color w:val="auto"/>
        </w:rPr>
      </w:pPr>
    </w:p>
    <w:p>
      <w:pPr>
        <w:ind w:left="720" w:right="17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Financial Statements </w:t>
      </w:r>
      <w:r>
        <w:rPr>
          <w:rFonts w:ascii="Times New Roman" w:cs="Times New Roman" w:eastAsia="Times New Roman" w:hAnsi="Times New Roman"/>
          <w:sz w:val="20"/>
          <w:szCs w:val="20"/>
          <w:color w:val="auto"/>
        </w:rPr>
        <w:t>means a balance sheet, an income statement, a statement of changes in equity,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flow statement, notes comprising a summary of significant accounting policies and other explanatory note; and any directors’ declarations, directors’ reports and auditor’s reports attached to, intended to be read with or required by the Corporations Act to accompany, all or any of those documents.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Financial Year </w:t>
      </w:r>
      <w:r>
        <w:rPr>
          <w:rFonts w:ascii="Times New Roman" w:cs="Times New Roman" w:eastAsia="Times New Roman" w:hAnsi="Times New Roman"/>
          <w:sz w:val="20"/>
          <w:szCs w:val="20"/>
          <w:color w:val="auto"/>
        </w:rPr>
        <w:t>means a period of 12 months ending on 31 December.</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Fixed Charges Cover Ratio </w:t>
      </w:r>
      <w:r>
        <w:rPr>
          <w:rFonts w:ascii="Times New Roman" w:cs="Times New Roman" w:eastAsia="Times New Roman" w:hAnsi="Times New Roman"/>
          <w:sz w:val="20"/>
          <w:szCs w:val="20"/>
          <w:color w:val="auto"/>
        </w:rPr>
        <w:t>means:</w:t>
      </w:r>
    </w:p>
    <w:p>
      <w:pPr>
        <w:spacing w:after="0" w:line="25" w:lineRule="exact"/>
        <w:rPr>
          <w:sz w:val="20"/>
          <w:szCs w:val="20"/>
          <w:color w:val="auto"/>
        </w:rPr>
      </w:pPr>
    </w:p>
    <w:p>
      <w:pPr>
        <w:ind w:left="1600" w:hanging="876"/>
        <w:spacing w:after="0"/>
        <w:tabs>
          <w:tab w:leader="none" w:pos="16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date (other than 31 March 2021, 30 June 2021 and 30 September 2021), the ratio of:</w:t>
      </w:r>
    </w:p>
    <w:p>
      <w:pPr>
        <w:ind w:left="2200" w:hanging="828"/>
        <w:spacing w:after="0"/>
        <w:tabs>
          <w:tab w:leader="none" w:pos="220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w:t>
      </w:r>
    </w:p>
    <w:p>
      <w:pPr>
        <w:ind w:left="2740" w:hanging="720"/>
        <w:spacing w:after="0"/>
        <w:tabs>
          <w:tab w:leader="none" w:pos="274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respect of the 12 month period ending on that date; and</w:t>
      </w:r>
    </w:p>
    <w:p>
      <w:pPr>
        <w:ind w:left="2840" w:hanging="820"/>
        <w:spacing w:after="0"/>
        <w:tabs>
          <w:tab w:leader="none" w:pos="284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12 month period ending on that date,</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To</w:t>
      </w:r>
    </w:p>
    <w:p>
      <w:pPr>
        <w:spacing w:after="0" w:line="21" w:lineRule="exact"/>
        <w:rPr>
          <w:sz w:val="20"/>
          <w:szCs w:val="20"/>
          <w:color w:val="auto"/>
        </w:rPr>
      </w:pPr>
    </w:p>
    <w:p>
      <w:pPr>
        <w:ind w:left="2360" w:hanging="988"/>
        <w:spacing w:after="0"/>
        <w:tabs>
          <w:tab w:leader="none" w:pos="236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 aggregate amount of:</w:t>
      </w:r>
    </w:p>
    <w:p>
      <w:pPr>
        <w:ind w:left="2660" w:right="259" w:hanging="640"/>
        <w:spacing w:after="0" w:line="239" w:lineRule="auto"/>
        <w:tabs>
          <w:tab w:leader="none" w:pos="2741"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Interest Expense paid or payable by the Reading Entertainment Australia Group (whether payable in respect of the Facilities or otherwise) in respect of the 12 month period ending on that date; and</w:t>
      </w:r>
    </w:p>
    <w:p>
      <w:pPr>
        <w:spacing w:after="0" w:line="1" w:lineRule="exact"/>
        <w:rPr>
          <w:rFonts w:ascii="Times New Roman" w:cs="Times New Roman" w:eastAsia="Times New Roman" w:hAnsi="Times New Roman"/>
          <w:sz w:val="20"/>
          <w:szCs w:val="20"/>
          <w:color w:val="auto"/>
        </w:rPr>
      </w:pPr>
    </w:p>
    <w:p>
      <w:pPr>
        <w:ind w:left="2740" w:hanging="720"/>
        <w:spacing w:after="0"/>
        <w:tabs>
          <w:tab w:leader="none" w:pos="274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12 month period ending on that date;</w:t>
      </w:r>
    </w:p>
    <w:p>
      <w:pPr>
        <w:spacing w:after="0" w:line="207" w:lineRule="exact"/>
        <w:rPr>
          <w:rFonts w:ascii="Times New Roman" w:cs="Times New Roman" w:eastAsia="Times New Roman" w:hAnsi="Times New Roman"/>
          <w:sz w:val="20"/>
          <w:szCs w:val="20"/>
          <w:color w:val="auto"/>
        </w:rPr>
      </w:pPr>
    </w:p>
    <w:p>
      <w:pPr>
        <w:ind w:left="1600" w:hanging="876"/>
        <w:spacing w:after="0"/>
        <w:tabs>
          <w:tab w:leader="none" w:pos="16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31 March 2021, the ratio of:</w:t>
      </w:r>
    </w:p>
    <w:p>
      <w:pPr>
        <w:spacing w:after="0" w:line="21" w:lineRule="exact"/>
        <w:rPr>
          <w:rFonts w:ascii="Times New Roman" w:cs="Times New Roman" w:eastAsia="Times New Roman" w:hAnsi="Times New Roman"/>
          <w:sz w:val="20"/>
          <w:szCs w:val="20"/>
          <w:color w:val="auto"/>
        </w:rPr>
      </w:pPr>
    </w:p>
    <w:p>
      <w:pPr>
        <w:ind w:left="2200" w:hanging="828"/>
        <w:spacing w:after="0"/>
        <w:tabs>
          <w:tab w:leader="none" w:pos="22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w:t>
      </w:r>
    </w:p>
    <w:p>
      <w:pPr>
        <w:ind w:left="2760" w:hanging="740"/>
        <w:spacing w:after="0"/>
        <w:tabs>
          <w:tab w:leader="none" w:pos="276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respect of the 3 month period ending on that date; and</w:t>
      </w:r>
    </w:p>
    <w:p>
      <w:pPr>
        <w:ind w:left="2740" w:hanging="720"/>
        <w:spacing w:after="0"/>
        <w:tabs>
          <w:tab w:leader="none" w:pos="274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3 month period ending on that date,</w:t>
      </w:r>
    </w:p>
    <w:p>
      <w:pPr>
        <w:ind w:left="720"/>
        <w:spacing w:after="0"/>
        <w:rPr>
          <w:sz w:val="20"/>
          <w:szCs w:val="20"/>
          <w:color w:val="auto"/>
        </w:rPr>
      </w:pPr>
      <w:r>
        <w:rPr>
          <w:rFonts w:ascii="Times New Roman" w:cs="Times New Roman" w:eastAsia="Times New Roman" w:hAnsi="Times New Roman"/>
          <w:sz w:val="20"/>
          <w:szCs w:val="20"/>
          <w:color w:val="auto"/>
        </w:rPr>
        <w:t>to</w:t>
      </w:r>
    </w:p>
    <w:p>
      <w:pPr>
        <w:ind w:left="2260" w:hanging="888"/>
        <w:spacing w:after="0"/>
        <w:tabs>
          <w:tab w:leader="none" w:pos="22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w:t>
      </w:r>
    </w:p>
    <w:p>
      <w:pPr>
        <w:ind w:left="2660" w:right="259" w:hanging="640"/>
        <w:spacing w:after="0" w:line="239" w:lineRule="auto"/>
        <w:tabs>
          <w:tab w:leader="none" w:pos="2746"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Interest Expense paid or payable by the Reading Entertainment Australia Group (whether payable in respect of the Facilities or otherwise) in respect of the 3 month period ending on that date; and</w:t>
      </w:r>
    </w:p>
    <w:p>
      <w:pPr>
        <w:spacing w:after="0" w:line="1" w:lineRule="exact"/>
        <w:rPr>
          <w:rFonts w:ascii="Times New Roman" w:cs="Times New Roman" w:eastAsia="Times New Roman" w:hAnsi="Times New Roman"/>
          <w:sz w:val="20"/>
          <w:szCs w:val="20"/>
          <w:color w:val="auto"/>
        </w:rPr>
      </w:pPr>
    </w:p>
    <w:p>
      <w:pPr>
        <w:ind w:left="2740" w:hanging="720"/>
        <w:spacing w:after="0"/>
        <w:tabs>
          <w:tab w:leader="none" w:pos="274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3 month period ending on that date;</w:t>
      </w:r>
    </w:p>
    <w:p>
      <w:pPr>
        <w:spacing w:after="0" w:line="207" w:lineRule="exact"/>
        <w:rPr>
          <w:rFonts w:ascii="Times New Roman" w:cs="Times New Roman" w:eastAsia="Times New Roman" w:hAnsi="Times New Roman"/>
          <w:sz w:val="20"/>
          <w:szCs w:val="20"/>
          <w:color w:val="auto"/>
        </w:rPr>
      </w:pPr>
    </w:p>
    <w:p>
      <w:pPr>
        <w:ind w:left="1600" w:hanging="876"/>
        <w:spacing w:after="0"/>
        <w:tabs>
          <w:tab w:leader="none" w:pos="16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30 June 2021, the ratio of:</w:t>
      </w:r>
    </w:p>
    <w:p>
      <w:pPr>
        <w:spacing w:after="0" w:line="21" w:lineRule="exact"/>
        <w:rPr>
          <w:rFonts w:ascii="Times New Roman" w:cs="Times New Roman" w:eastAsia="Times New Roman" w:hAnsi="Times New Roman"/>
          <w:sz w:val="20"/>
          <w:szCs w:val="20"/>
          <w:color w:val="auto"/>
        </w:rPr>
      </w:pPr>
    </w:p>
    <w:p>
      <w:pPr>
        <w:ind w:left="2200" w:hanging="828"/>
        <w:spacing w:after="0"/>
        <w:tabs>
          <w:tab w:leader="none" w:pos="22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w:t>
      </w:r>
    </w:p>
    <w:p>
      <w:pPr>
        <w:ind w:left="2760" w:hanging="740"/>
        <w:spacing w:after="0"/>
        <w:tabs>
          <w:tab w:leader="none" w:pos="276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respect of the 6 month period ending on that date; and</w:t>
      </w:r>
    </w:p>
    <w:p>
      <w:pPr>
        <w:ind w:left="2740" w:hanging="720"/>
        <w:spacing w:after="0"/>
        <w:tabs>
          <w:tab w:leader="none" w:pos="274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6 month period ending on that date,</w:t>
      </w:r>
    </w:p>
    <w:p>
      <w:pPr>
        <w:spacing w:after="0" w:line="2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to</w:t>
      </w:r>
    </w:p>
    <w:p>
      <w:pPr>
        <w:spacing w:after="0" w:line="229" w:lineRule="exact"/>
        <w:rPr>
          <w:sz w:val="20"/>
          <w:szCs w:val="20"/>
          <w:color w:val="auto"/>
        </w:rPr>
      </w:pPr>
    </w:p>
    <w:p>
      <w:pPr>
        <w:ind w:left="2260" w:hanging="888"/>
        <w:spacing w:after="0"/>
        <w:tabs>
          <w:tab w:leader="none" w:pos="22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w:t>
      </w:r>
    </w:p>
    <w:p>
      <w:pPr>
        <w:spacing w:after="0" w:line="21" w:lineRule="exact"/>
        <w:rPr>
          <w:rFonts w:ascii="Times New Roman" w:cs="Times New Roman" w:eastAsia="Times New Roman" w:hAnsi="Times New Roman"/>
          <w:sz w:val="20"/>
          <w:szCs w:val="20"/>
          <w:color w:val="auto"/>
        </w:rPr>
      </w:pPr>
    </w:p>
    <w:p>
      <w:pPr>
        <w:ind w:left="2660" w:right="259" w:hanging="640"/>
        <w:spacing w:after="0" w:line="239" w:lineRule="auto"/>
        <w:tabs>
          <w:tab w:leader="none" w:pos="2746"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Interest Expense paid or payable by the Reading Entertainment Australia Group (whether payable in respect of the Facilities or otherwise) in respect of the 6 month period ending on that date; and</w:t>
      </w:r>
    </w:p>
    <w:p>
      <w:pPr>
        <w:spacing w:after="0" w:line="1" w:lineRule="exact"/>
        <w:rPr>
          <w:rFonts w:ascii="Times New Roman" w:cs="Times New Roman" w:eastAsia="Times New Roman" w:hAnsi="Times New Roman"/>
          <w:sz w:val="20"/>
          <w:szCs w:val="20"/>
          <w:color w:val="auto"/>
        </w:rPr>
      </w:pPr>
    </w:p>
    <w:p>
      <w:pPr>
        <w:ind w:left="2660" w:right="359" w:hanging="640"/>
        <w:spacing w:after="0" w:line="239" w:lineRule="auto"/>
        <w:tabs>
          <w:tab w:leader="none" w:pos="2735"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6 month period ending on that date; and</w:t>
      </w:r>
    </w:p>
    <w:p>
      <w:pPr>
        <w:ind w:left="1600" w:hanging="876"/>
        <w:spacing w:after="0"/>
        <w:tabs>
          <w:tab w:leader="none" w:pos="16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30 September 2021, the ratio of:</w:t>
      </w:r>
    </w:p>
    <w:p>
      <w:pPr>
        <w:ind w:left="2200" w:hanging="828"/>
        <w:spacing w:after="0"/>
        <w:tabs>
          <w:tab w:leader="none" w:pos="22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w:t>
      </w:r>
    </w:p>
    <w:p>
      <w:pPr>
        <w:ind w:left="2760" w:hanging="740"/>
        <w:spacing w:after="0"/>
        <w:tabs>
          <w:tab w:leader="none" w:pos="276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respect of the 9 month period ending on that date; and</w:t>
      </w:r>
    </w:p>
    <w:p>
      <w:pPr>
        <w:ind w:left="2740" w:hanging="720"/>
        <w:spacing w:after="0"/>
        <w:tabs>
          <w:tab w:leader="none" w:pos="274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9 month period ending on that date,</w:t>
      </w: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w:t>
      </w:r>
    </w:p>
    <w:p>
      <w:pPr>
        <w:ind w:left="2260" w:hanging="888"/>
        <w:spacing w:after="0"/>
        <w:tabs>
          <w:tab w:leader="none" w:pos="22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w:t>
      </w:r>
    </w:p>
    <w:p>
      <w:pPr>
        <w:ind w:left="2660" w:right="259" w:hanging="640"/>
        <w:spacing w:after="0" w:line="239" w:lineRule="auto"/>
        <w:tabs>
          <w:tab w:leader="none" w:pos="274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Interest Expense paid or payable by the Reading Entertainment Australia Group (whether payable in respect of the Facilities or otherwise) in respect of the 9 month period ending on that date; and</w:t>
      </w:r>
    </w:p>
    <w:p>
      <w:pPr>
        <w:spacing w:after="0" w:line="1" w:lineRule="exact"/>
        <w:rPr>
          <w:rFonts w:ascii="Times New Roman" w:cs="Times New Roman" w:eastAsia="Times New Roman" w:hAnsi="Times New Roman"/>
          <w:sz w:val="20"/>
          <w:szCs w:val="20"/>
          <w:color w:val="auto"/>
        </w:rPr>
      </w:pPr>
    </w:p>
    <w:p>
      <w:pPr>
        <w:ind w:left="2740" w:hanging="720"/>
        <w:spacing w:after="0"/>
        <w:tabs>
          <w:tab w:leader="none" w:pos="27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Lease payments in respect of the 9 month period ending on that date.;</w:t>
      </w:r>
    </w:p>
    <w:p>
      <w:pPr>
        <w:spacing w:after="0" w:line="203" w:lineRule="exact"/>
        <w:rPr>
          <w:sz w:val="20"/>
          <w:szCs w:val="20"/>
          <w:color w:val="auto"/>
        </w:rPr>
      </w:pPr>
    </w:p>
    <w:p>
      <w:pPr>
        <w:ind w:left="720" w:right="1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Freehold Property </w:t>
      </w:r>
      <w:r>
        <w:rPr>
          <w:rFonts w:ascii="Times New Roman" w:cs="Times New Roman" w:eastAsia="Times New Roman" w:hAnsi="Times New Roman"/>
          <w:sz w:val="20"/>
          <w:szCs w:val="20"/>
          <w:color w:val="auto"/>
        </w:rPr>
        <w:t>means each freehold property owned by a Transaction Party that is the subject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real property mortgage referred to in of </w:t>
      </w:r>
      <w:r>
        <w:rPr>
          <w:rFonts w:ascii="Times New Roman" w:cs="Times New Roman" w:eastAsia="Times New Roman" w:hAnsi="Times New Roman"/>
          <w:sz w:val="20"/>
          <w:szCs w:val="20"/>
          <w:b w:val="1"/>
          <w:bCs w:val="1"/>
          <w:color w:val="auto"/>
        </w:rPr>
        <w:t>schedule 3.</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Funding Date </w:t>
      </w:r>
      <w:r>
        <w:rPr>
          <w:rFonts w:ascii="Times New Roman" w:cs="Times New Roman" w:eastAsia="Times New Roman" w:hAnsi="Times New Roman"/>
          <w:sz w:val="20"/>
          <w:szCs w:val="20"/>
          <w:color w:val="auto"/>
        </w:rPr>
        <w:t>means a date on which:</w:t>
      </w:r>
    </w:p>
    <w:p>
      <w:pPr>
        <w:spacing w:after="0" w:line="25" w:lineRule="exact"/>
        <w:rPr>
          <w:sz w:val="20"/>
          <w:szCs w:val="20"/>
          <w:color w:val="auto"/>
        </w:rPr>
      </w:pPr>
    </w:p>
    <w:p>
      <w:pPr>
        <w:ind w:left="1600" w:hanging="876"/>
        <w:spacing w:after="0"/>
        <w:tabs>
          <w:tab w:leader="none" w:pos="16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Advance is, or is proposed to be, made; or</w:t>
      </w:r>
    </w:p>
    <w:p>
      <w:pPr>
        <w:ind w:left="1600" w:hanging="876"/>
        <w:spacing w:after="0"/>
        <w:tabs>
          <w:tab w:leader="none" w:pos="16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Bank Guarantee is, or is proposed to be, issued, under this document.</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Funding Notice </w:t>
      </w:r>
      <w:r>
        <w:rPr>
          <w:rFonts w:ascii="Times New Roman" w:cs="Times New Roman" w:eastAsia="Times New Roman" w:hAnsi="Times New Roman"/>
          <w:sz w:val="20"/>
          <w:szCs w:val="20"/>
          <w:color w:val="auto"/>
        </w:rPr>
        <w:t>means a notice in accordance with clause 4.4.</w:t>
      </w:r>
    </w:p>
    <w:p>
      <w:pPr>
        <w:spacing w:after="0" w:line="229" w:lineRule="exact"/>
        <w:rPr>
          <w:sz w:val="20"/>
          <w:szCs w:val="20"/>
          <w:color w:val="auto"/>
        </w:rPr>
      </w:pPr>
    </w:p>
    <w:p>
      <w:pPr>
        <w:ind w:left="720" w:right="43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Government Body </w:t>
      </w:r>
      <w:r>
        <w:rPr>
          <w:rFonts w:ascii="Times New Roman" w:cs="Times New Roman" w:eastAsia="Times New Roman" w:hAnsi="Times New Roman"/>
          <w:sz w:val="19"/>
          <w:szCs w:val="19"/>
          <w:color w:val="auto"/>
        </w:rPr>
        <w:t>means any person or body exercising an executive, legislative, judicial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governmental function. It includes any public authority constituted under a law of any country or</w:t>
      </w:r>
    </w:p>
    <w:p>
      <w:pPr>
        <w:sectPr>
          <w:pgSz w:w="11900" w:h="16924" w:orient="portrait"/>
          <w:cols w:equalWidth="0" w:num="1">
            <w:col w:w="9019"/>
          </w:cols>
          <w:pgMar w:left="1440" w:top="118" w:right="1440" w:bottom="0" w:gutter="0" w:footer="0" w:header="0"/>
        </w:sectPr>
      </w:pPr>
    </w:p>
    <w:bookmarkStart w:id="60" w:name="page61"/>
    <w:bookmarkEnd w:id="60"/>
    <w:p>
      <w:pPr>
        <w:ind w:left="720" w:right="159"/>
        <w:spacing w:after="0" w:line="268" w:lineRule="auto"/>
        <w:rPr>
          <w:sz w:val="20"/>
          <w:szCs w:val="20"/>
          <w:color w:val="auto"/>
        </w:rPr>
      </w:pPr>
      <w:r>
        <w:rPr>
          <w:rFonts w:ascii="Times New Roman" w:cs="Times New Roman" w:eastAsia="Times New Roman" w:hAnsi="Times New Roman"/>
          <w:sz w:val="20"/>
          <w:szCs w:val="20"/>
          <w:color w:val="auto"/>
        </w:rPr>
        <w:t>political sub-division of any country. It also includes any person deriving a power directly or indirectly from any other person or body referred to in this definition.</w:t>
      </w:r>
    </w:p>
    <w:p>
      <w:pPr>
        <w:spacing w:after="0" w:line="170" w:lineRule="exact"/>
        <w:rPr>
          <w:sz w:val="20"/>
          <w:szCs w:val="20"/>
          <w:color w:val="auto"/>
        </w:rPr>
      </w:pPr>
    </w:p>
    <w:p>
      <w:pPr>
        <w:ind w:left="720" w:right="17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Gross Interest Expense </w:t>
      </w:r>
      <w:r>
        <w:rPr>
          <w:rFonts w:ascii="Times New Roman" w:cs="Times New Roman" w:eastAsia="Times New Roman" w:hAnsi="Times New Roman"/>
          <w:sz w:val="20"/>
          <w:szCs w:val="20"/>
          <w:color w:val="auto"/>
        </w:rPr>
        <w:t>means, in relation to any period, the aggregate of all interest and amounts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Guarantee </w:t>
      </w:r>
      <w:r>
        <w:rPr>
          <w:rFonts w:ascii="Times New Roman" w:cs="Times New Roman" w:eastAsia="Times New Roman" w:hAnsi="Times New Roman"/>
          <w:sz w:val="20"/>
          <w:szCs w:val="20"/>
          <w:color w:val="auto"/>
        </w:rPr>
        <w:t>means:</w:t>
      </w:r>
    </w:p>
    <w:p>
      <w:pPr>
        <w:spacing w:after="0" w:line="26" w:lineRule="exact"/>
        <w:rPr>
          <w:sz w:val="20"/>
          <w:szCs w:val="20"/>
          <w:color w:val="auto"/>
        </w:rPr>
      </w:pPr>
    </w:p>
    <w:p>
      <w:pPr>
        <w:jc w:val="both"/>
        <w:ind w:left="1380" w:right="219" w:hanging="656"/>
        <w:spacing w:after="0" w:line="239" w:lineRule="auto"/>
        <w:tabs>
          <w:tab w:leader="none" w:pos="141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guarantee, indemnity, undertaking, letter of credit, Security, acceptance or endorsement of a negotiable instrument or other obligation (actual or contingent) given by any person to secure compliance with an obligation by another person;</w:t>
      </w:r>
    </w:p>
    <w:p>
      <w:pPr>
        <w:spacing w:after="0" w:line="1" w:lineRule="exact"/>
        <w:rPr>
          <w:rFonts w:ascii="Times New Roman" w:cs="Times New Roman" w:eastAsia="Times New Roman" w:hAnsi="Times New Roman"/>
          <w:sz w:val="20"/>
          <w:szCs w:val="20"/>
          <w:color w:val="auto"/>
        </w:rPr>
      </w:pPr>
    </w:p>
    <w:p>
      <w:pPr>
        <w:ind w:left="1380" w:right="139" w:hanging="656"/>
        <w:spacing w:after="0" w:line="239" w:lineRule="auto"/>
        <w:tabs>
          <w:tab w:leader="none" w:pos="142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obligation (actual or contingent) of a person to ensure the solvency of another person or the ability of another person to comply with an obligation, including by the advance of money or the acquisition for valuable consideration of property or services; and</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option under which a person is obliged on the exercise of the option to buy:</w:t>
      </w:r>
    </w:p>
    <w:p>
      <w:pPr>
        <w:ind w:left="2020" w:hanging="648"/>
        <w:spacing w:after="0"/>
        <w:tabs>
          <w:tab w:leader="none" w:pos="20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debt or liability owed by another person; or</w:t>
      </w:r>
    </w:p>
    <w:p>
      <w:pPr>
        <w:ind w:left="2020" w:hanging="648"/>
        <w:spacing w:after="0"/>
        <w:tabs>
          <w:tab w:leader="none" w:pos="20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property which is subject to a Security Interest.</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Guaranteed Money </w:t>
      </w:r>
      <w:r>
        <w:rPr>
          <w:rFonts w:ascii="Times New Roman" w:cs="Times New Roman" w:eastAsia="Times New Roman" w:hAnsi="Times New Roman"/>
          <w:sz w:val="20"/>
          <w:szCs w:val="20"/>
          <w:color w:val="auto"/>
        </w:rPr>
        <w:t>means all money:</w:t>
      </w:r>
    </w:p>
    <w:p>
      <w:pPr>
        <w:spacing w:after="0" w:line="26" w:lineRule="exact"/>
        <w:rPr>
          <w:sz w:val="20"/>
          <w:szCs w:val="20"/>
          <w:color w:val="auto"/>
        </w:rPr>
      </w:pPr>
    </w:p>
    <w:p>
      <w:pPr>
        <w:ind w:left="1380" w:right="399" w:hanging="656"/>
        <w:spacing w:after="0" w:line="239" w:lineRule="auto"/>
        <w:tabs>
          <w:tab w:leader="none" w:pos="141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now or in the future is owing (actually or contingently) by a Transaction Party to the Bank under or in relation to any of the Transaction Documents;</w:t>
      </w:r>
    </w:p>
    <w:p>
      <w:pPr>
        <w:ind w:left="1380" w:right="139" w:hanging="656"/>
        <w:spacing w:after="0" w:line="239" w:lineRule="auto"/>
        <w:tabs>
          <w:tab w:leader="none" w:pos="142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having now or in the future become owing (actually or contingently) by a Transaction Party to the Bank under or in relation to any of the Transaction Documents, ceases to be owing by reason of any law relating to insolvency and remains unpaid by the Transaction Party and unreleased by the Bank; or</w:t>
      </w:r>
    </w:p>
    <w:p>
      <w:pPr>
        <w:spacing w:after="0" w:line="1" w:lineRule="exact"/>
        <w:rPr>
          <w:rFonts w:ascii="Times New Roman" w:cs="Times New Roman" w:eastAsia="Times New Roman" w:hAnsi="Times New Roman"/>
          <w:sz w:val="20"/>
          <w:szCs w:val="20"/>
          <w:color w:val="auto"/>
        </w:rPr>
      </w:pPr>
    </w:p>
    <w:p>
      <w:pPr>
        <w:ind w:left="1380" w:right="219" w:hanging="656"/>
        <w:spacing w:after="0" w:line="246" w:lineRule="auto"/>
        <w:tabs>
          <w:tab w:leader="none" w:pos="141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now or in the future may become owing (actually or contingently) by a Transaction Party to the Bank under or in relation to any of the Transaction Documents,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any reason, whether such money is payable:</w:t>
      </w:r>
    </w:p>
    <w:p>
      <w:pPr>
        <w:spacing w:after="0" w:line="21" w:lineRule="exact"/>
        <w:rPr>
          <w:sz w:val="20"/>
          <w:szCs w:val="20"/>
          <w:color w:val="auto"/>
        </w:rPr>
      </w:pPr>
    </w:p>
    <w:p>
      <w:pPr>
        <w:ind w:left="1420" w:hanging="696"/>
        <w:spacing w:after="0"/>
        <w:tabs>
          <w:tab w:leader="none" w:pos="14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 Transaction Party alone or jointly or severally with any other person;</w:t>
      </w:r>
    </w:p>
    <w:p>
      <w:pPr>
        <w:ind w:left="1400" w:hanging="676"/>
        <w:spacing w:after="0"/>
        <w:tabs>
          <w:tab w:leader="none" w:pos="14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 Transaction Party in its own right or in any capacity;</w:t>
      </w:r>
    </w:p>
    <w:p>
      <w:pPr>
        <w:ind w:left="1380" w:hanging="656"/>
        <w:spacing w:after="0"/>
        <w:tabs>
          <w:tab w:leader="none" w:pos="1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Bank in its own right or in any capacity; and</w:t>
      </w:r>
    </w:p>
    <w:p>
      <w:pPr>
        <w:jc w:val="both"/>
        <w:ind w:left="1380" w:right="199" w:hanging="656"/>
        <w:spacing w:after="0" w:line="252" w:lineRule="auto"/>
        <w:tabs>
          <w:tab w:leader="none" w:pos="142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 Transaction Party as liquidated or unliquidated damages caused or contributed to by any breach by the Transaction Party of any obligation owed by the Transaction Party (or any other Transaction Party) to the Bank under or in relation to any of the Transaction Documents,</w:t>
      </w:r>
    </w:p>
    <w:p>
      <w:pPr>
        <w:ind w:left="720" w:right="139"/>
        <w:spacing w:after="0" w:line="258" w:lineRule="auto"/>
        <w:rPr>
          <w:sz w:val="20"/>
          <w:szCs w:val="20"/>
          <w:color w:val="auto"/>
        </w:rPr>
      </w:pPr>
      <w:r>
        <w:rPr>
          <w:rFonts w:ascii="Times New Roman" w:cs="Times New Roman" w:eastAsia="Times New Roman" w:hAnsi="Times New Roman"/>
          <w:sz w:val="19"/>
          <w:szCs w:val="19"/>
          <w:color w:val="auto"/>
        </w:rPr>
        <w:t>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w:t>
      </w:r>
    </w:p>
    <w:p>
      <w:pPr>
        <w:spacing w:after="0" w:line="182" w:lineRule="exact"/>
        <w:rPr>
          <w:sz w:val="20"/>
          <w:szCs w:val="20"/>
          <w:color w:val="auto"/>
        </w:rPr>
      </w:pPr>
    </w:p>
    <w:p>
      <w:pPr>
        <w:jc w:val="both"/>
        <w:ind w:left="720" w:right="19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Guarantor </w:t>
      </w:r>
      <w:r>
        <w:rPr>
          <w:rFonts w:ascii="Times New Roman" w:cs="Times New Roman" w:eastAsia="Times New Roman" w:hAnsi="Times New Roman"/>
          <w:sz w:val="20"/>
          <w:szCs w:val="20"/>
          <w:color w:val="auto"/>
        </w:rPr>
        <w:t>means the Original Guarantors and each person that becomes a guarantor under clause 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there are more than one, Guarantor means each of them individually and every two or more of them jointly.</w:t>
      </w:r>
    </w:p>
    <w:p>
      <w:pPr>
        <w:spacing w:after="0" w:line="182" w:lineRule="exact"/>
        <w:rPr>
          <w:sz w:val="20"/>
          <w:szCs w:val="20"/>
          <w:color w:val="auto"/>
        </w:rPr>
      </w:pPr>
    </w:p>
    <w:p>
      <w:pPr>
        <w:ind w:left="720" w:right="27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Guarantor Accession Deed </w:t>
      </w:r>
      <w:r>
        <w:rPr>
          <w:rFonts w:ascii="Times New Roman" w:cs="Times New Roman" w:eastAsia="Times New Roman" w:hAnsi="Times New Roman"/>
          <w:sz w:val="20"/>
          <w:szCs w:val="20"/>
          <w:color w:val="auto"/>
        </w:rPr>
        <w:t>means a deed substantially in the form of</w:t>
      </w:r>
      <w:r>
        <w:rPr>
          <w:rFonts w:ascii="Times New Roman" w:cs="Times New Roman" w:eastAsia="Times New Roman" w:hAnsi="Times New Roman"/>
          <w:sz w:val="20"/>
          <w:szCs w:val="20"/>
          <w:b w:val="1"/>
          <w:bCs w:val="1"/>
          <w:color w:val="auto"/>
        </w:rPr>
        <w:t xml:space="preserve"> schedule 8.</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Half </w:t>
      </w:r>
      <w:r>
        <w:rPr>
          <w:rFonts w:ascii="Times New Roman" w:cs="Times New Roman" w:eastAsia="Times New Roman" w:hAnsi="Times New Roman"/>
          <w:sz w:val="20"/>
          <w:szCs w:val="20"/>
          <w:color w:val="auto"/>
        </w:rPr>
        <w:t>means each six month period ending on 30 June and 31 December in each year.</w:t>
      </w:r>
    </w:p>
    <w:p>
      <w:pPr>
        <w:spacing w:after="0" w:line="229" w:lineRule="exact"/>
        <w:rPr>
          <w:sz w:val="20"/>
          <w:szCs w:val="20"/>
          <w:color w:val="auto"/>
        </w:rPr>
      </w:pPr>
    </w:p>
    <w:p>
      <w:pPr>
        <w:ind w:left="720" w:right="21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Hedging Transaction </w:t>
      </w:r>
      <w:r>
        <w:rPr>
          <w:rFonts w:ascii="Times New Roman" w:cs="Times New Roman" w:eastAsia="Times New Roman" w:hAnsi="Times New Roman"/>
          <w:sz w:val="20"/>
          <w:szCs w:val="20"/>
          <w:color w:val="auto"/>
        </w:rPr>
        <w:t>means a contract, agreement or arrangement (other than in respect of the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electricity, gas, oil, foreign exchange or any 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w:t>
      </w:r>
    </w:p>
    <w:p>
      <w:pPr>
        <w:spacing w:after="0" w:line="194" w:lineRule="exact"/>
        <w:rPr>
          <w:sz w:val="20"/>
          <w:szCs w:val="20"/>
          <w:color w:val="auto"/>
        </w:rPr>
      </w:pPr>
    </w:p>
    <w:p>
      <w:pPr>
        <w:ind w:left="720" w:right="21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Indemnity Amount </w:t>
      </w:r>
      <w:r>
        <w:rPr>
          <w:rFonts w:ascii="Times New Roman" w:cs="Times New Roman" w:eastAsia="Times New Roman" w:hAnsi="Times New Roman"/>
          <w:sz w:val="20"/>
          <w:szCs w:val="20"/>
          <w:color w:val="auto"/>
        </w:rPr>
        <w:t>means, in relation to a Bank Guarantee, the amount or, as the case may be,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of the amounts payable by the Borrower in relation to a Bank Guarantee in accordance with clause 5.3.</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Insolvency </w:t>
      </w:r>
      <w:r>
        <w:rPr>
          <w:rFonts w:ascii="Times New Roman" w:cs="Times New Roman" w:eastAsia="Times New Roman" w:hAnsi="Times New Roman"/>
          <w:sz w:val="20"/>
          <w:szCs w:val="20"/>
          <w:color w:val="auto"/>
        </w:rPr>
        <w:t>means:</w:t>
      </w:r>
    </w:p>
    <w:p>
      <w:pPr>
        <w:spacing w:after="0" w:line="26" w:lineRule="exact"/>
        <w:rPr>
          <w:sz w:val="20"/>
          <w:szCs w:val="20"/>
          <w:color w:val="auto"/>
        </w:rPr>
      </w:pPr>
    </w:p>
    <w:p>
      <w:pPr>
        <w:ind w:left="1380" w:right="519" w:hanging="656"/>
        <w:spacing w:after="0" w:line="239" w:lineRule="auto"/>
        <w:tabs>
          <w:tab w:leader="none" w:pos="141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corporation, its winding up or dissolution or its administration, provisional liquidation or any administration having a similar effect;</w:t>
      </w:r>
    </w:p>
    <w:p>
      <w:pPr>
        <w:ind w:left="1420" w:hanging="696"/>
        <w:spacing w:after="0"/>
        <w:tabs>
          <w:tab w:leader="none" w:pos="1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individual, his or her bankruptcy; and</w:t>
      </w:r>
    </w:p>
    <w:p>
      <w:pPr>
        <w:ind w:left="1380" w:right="219" w:hanging="656"/>
        <w:spacing w:after="0" w:line="261" w:lineRule="auto"/>
        <w:tabs>
          <w:tab w:leader="none" w:pos="1411"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relation to a person, any arrangement (including a scheme of arrangement or deed of company arrangement), composition or compromise with, or assignment for the benefit of, all or any class of that person’s creditors or members or a moratorium involving any of them.</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Insolvency Event </w:t>
      </w:r>
      <w:r>
        <w:rPr>
          <w:rFonts w:ascii="Times New Roman" w:cs="Times New Roman" w:eastAsia="Times New Roman" w:hAnsi="Times New Roman"/>
          <w:sz w:val="20"/>
          <w:szCs w:val="20"/>
          <w:color w:val="auto"/>
        </w:rPr>
        <w:t>means any of the following:</w:t>
      </w:r>
    </w:p>
    <w:p>
      <w:pPr>
        <w:sectPr>
          <w:pgSz w:w="11900" w:h="16838" w:orient="portrait"/>
          <w:cols w:equalWidth="0" w:num="1">
            <w:col w:w="9019"/>
          </w:cols>
          <w:pgMar w:left="1440" w:top="118" w:right="1440" w:bottom="0" w:gutter="0" w:footer="0" w:header="0"/>
        </w:sectPr>
      </w:pPr>
    </w:p>
    <w:bookmarkStart w:id="61" w:name="page62"/>
    <w:bookmarkEnd w:id="61"/>
    <w:p>
      <w:pPr>
        <w:ind w:left="1380" w:right="599" w:hanging="656"/>
        <w:spacing w:after="0" w:line="250" w:lineRule="auto"/>
        <w:tabs>
          <w:tab w:leader="none" w:pos="141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is or states that the person is unable to pay from the person’s own money all the person’s debts as and when they become due and payable;</w:t>
      </w:r>
    </w:p>
    <w:p>
      <w:pPr>
        <w:spacing w:after="0" w:line="1" w:lineRule="exact"/>
        <w:rPr>
          <w:rFonts w:ascii="Times New Roman" w:cs="Times New Roman" w:eastAsia="Times New Roman" w:hAnsi="Times New Roman"/>
          <w:sz w:val="20"/>
          <w:szCs w:val="20"/>
          <w:color w:val="auto"/>
        </w:rPr>
      </w:pPr>
    </w:p>
    <w:p>
      <w:pPr>
        <w:ind w:left="1380" w:right="559" w:hanging="656"/>
        <w:spacing w:after="0" w:line="239" w:lineRule="auto"/>
        <w:tabs>
          <w:tab w:leader="none" w:pos="142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is taken or must be presumed to be insolvent or unable to pay the person’s debts under any applicable legislation;</w:t>
      </w:r>
    </w:p>
    <w:p>
      <w:pPr>
        <w:ind w:left="1380" w:right="299" w:hanging="656"/>
        <w:spacing w:after="0" w:line="239" w:lineRule="auto"/>
        <w:tabs>
          <w:tab w:leader="none" w:pos="141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order is made for the winding up or dissolution or an effective resolution is passed for the winding up or dissolution of a corporation;</w:t>
      </w:r>
    </w:p>
    <w:p>
      <w:pPr>
        <w:ind w:left="1380" w:right="219" w:hanging="656"/>
        <w:spacing w:after="0" w:line="239" w:lineRule="auto"/>
        <w:tabs>
          <w:tab w:leader="none" w:pos="142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controller is appointed in relation to any property of a corporation;</w:t>
      </w:r>
    </w:p>
    <w:p>
      <w:pPr>
        <w:ind w:left="1380" w:right="1219" w:hanging="656"/>
        <w:spacing w:after="0" w:line="239" w:lineRule="auto"/>
        <w:tabs>
          <w:tab w:leader="none" w:pos="138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is deregistered under the Corporations Act or notice of its proposed deregistration is given to the corporation;</w:t>
      </w:r>
    </w:p>
    <w:p>
      <w:pPr>
        <w:ind w:left="1380" w:right="219" w:hanging="656"/>
        <w:spacing w:after="0" w:line="239" w:lineRule="auto"/>
        <w:tabs>
          <w:tab w:leader="none" w:pos="142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distress, attachment or execution is levied or becomes enforceable against any property of a person;</w:t>
      </w:r>
    </w:p>
    <w:p>
      <w:pPr>
        <w:ind w:left="1380" w:right="379" w:hanging="656"/>
        <w:spacing w:after="0" w:line="239" w:lineRule="auto"/>
        <w:tabs>
          <w:tab w:leader="none" w:pos="142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w:t>
      </w:r>
    </w:p>
    <w:p>
      <w:pPr>
        <w:spacing w:after="0" w:line="1" w:lineRule="exact"/>
        <w:rPr>
          <w:rFonts w:ascii="Times New Roman" w:cs="Times New Roman" w:eastAsia="Times New Roman" w:hAnsi="Times New Roman"/>
          <w:sz w:val="20"/>
          <w:szCs w:val="20"/>
          <w:color w:val="auto"/>
        </w:rPr>
      </w:pPr>
    </w:p>
    <w:p>
      <w:pPr>
        <w:ind w:left="1380" w:right="119" w:hanging="656"/>
        <w:spacing w:after="0" w:line="239" w:lineRule="auto"/>
        <w:tabs>
          <w:tab w:leader="none" w:pos="137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petition for the making of a sequestration order against the estate of a person is presented and the petition is not stayed, withdrawn or dismissed within seven days or a person presents a petition against himself or herself;</w:t>
      </w:r>
    </w:p>
    <w:p>
      <w:pPr>
        <w:spacing w:after="0" w:line="1" w:lineRule="exact"/>
        <w:rPr>
          <w:rFonts w:ascii="Times New Roman" w:cs="Times New Roman" w:eastAsia="Times New Roman" w:hAnsi="Times New Roman"/>
          <w:sz w:val="20"/>
          <w:szCs w:val="20"/>
          <w:color w:val="auto"/>
        </w:rPr>
      </w:pPr>
    </w:p>
    <w:p>
      <w:pPr>
        <w:ind w:left="1360" w:hanging="636"/>
        <w:spacing w:after="0"/>
        <w:tabs>
          <w:tab w:leader="none" w:pos="13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presents a declaration of intention under section 54A of the Bankruptcy Act 1966; or</w:t>
      </w:r>
    </w:p>
    <w:p>
      <w:pPr>
        <w:ind w:left="1420" w:hanging="696"/>
        <w:spacing w:after="0"/>
        <w:tabs>
          <w:tab w:leader="none" w:pos="14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analogous to or of a similar effect to anything described above under the law of any</w:t>
      </w:r>
    </w:p>
    <w:p>
      <w:pPr>
        <w:ind w:left="1380"/>
        <w:spacing w:after="0"/>
        <w:rPr>
          <w:sz w:val="20"/>
          <w:szCs w:val="20"/>
          <w:color w:val="auto"/>
        </w:rPr>
      </w:pPr>
      <w:r>
        <w:rPr>
          <w:rFonts w:ascii="Times New Roman" w:cs="Times New Roman" w:eastAsia="Times New Roman" w:hAnsi="Times New Roman"/>
          <w:sz w:val="20"/>
          <w:szCs w:val="20"/>
          <w:color w:val="auto"/>
        </w:rPr>
        <w:t>relevant jurisdiction occurs in relation to a person.</w:t>
      </w: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Insurance </w:t>
      </w:r>
      <w:r>
        <w:rPr>
          <w:rFonts w:ascii="Times New Roman" w:cs="Times New Roman" w:eastAsia="Times New Roman" w:hAnsi="Times New Roman"/>
          <w:sz w:val="20"/>
          <w:szCs w:val="20"/>
          <w:color w:val="auto"/>
        </w:rPr>
        <w:t>means insurance which a Transaction Party is obliged to take out or maintain under a</w:t>
      </w:r>
    </w:p>
    <w:p>
      <w:pPr>
        <w:ind w:left="720"/>
        <w:spacing w:after="0"/>
        <w:rPr>
          <w:sz w:val="20"/>
          <w:szCs w:val="20"/>
          <w:color w:val="auto"/>
        </w:rPr>
      </w:pPr>
      <w:r>
        <w:rPr>
          <w:rFonts w:ascii="Times New Roman" w:cs="Times New Roman" w:eastAsia="Times New Roman" w:hAnsi="Times New Roman"/>
          <w:sz w:val="20"/>
          <w:szCs w:val="20"/>
          <w:color w:val="auto"/>
        </w:rPr>
        <w:t>Transaction Document</w:t>
      </w:r>
    </w:p>
    <w:p>
      <w:pPr>
        <w:ind w:left="720"/>
        <w:spacing w:after="0"/>
        <w:rPr>
          <w:sz w:val="20"/>
          <w:szCs w:val="20"/>
          <w:color w:val="auto"/>
        </w:rPr>
      </w:pPr>
      <w:r>
        <w:rPr>
          <w:rFonts w:ascii="Times New Roman" w:cs="Times New Roman" w:eastAsia="Times New Roman" w:hAnsi="Times New Roman"/>
          <w:sz w:val="20"/>
          <w:szCs w:val="20"/>
          <w:color w:val="auto"/>
        </w:rPr>
        <w:t>.</w:t>
      </w:r>
    </w:p>
    <w:p>
      <w:pPr>
        <w:ind w:left="720" w:right="11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Interest Rate </w:t>
      </w:r>
      <w:r>
        <w:rPr>
          <w:rFonts w:ascii="Times New Roman" w:cs="Times New Roman" w:eastAsia="Times New Roman" w:hAnsi="Times New Roman"/>
          <w:sz w:val="20"/>
          <w:szCs w:val="20"/>
          <w:color w:val="auto"/>
        </w:rPr>
        <w:t>means, in relation to a Pricing Period for an Advance until it becomes due and owing,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rate equal to the aggregate of the Base Rate for that Pricing Period and the Margin.</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Interim Compliance Certificate </w:t>
      </w:r>
      <w:r>
        <w:rPr>
          <w:rFonts w:ascii="Times New Roman" w:cs="Times New Roman" w:eastAsia="Times New Roman" w:hAnsi="Times New Roman"/>
          <w:sz w:val="20"/>
          <w:szCs w:val="20"/>
          <w:color w:val="auto"/>
        </w:rPr>
        <w:t>means a certificate in substantially the form set out in schedule 10.</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Jindalee Cinema </w:t>
      </w:r>
      <w:r>
        <w:rPr>
          <w:rFonts w:ascii="Times New Roman" w:cs="Times New Roman" w:eastAsia="Times New Roman" w:hAnsi="Times New Roman"/>
          <w:sz w:val="20"/>
          <w:szCs w:val="20"/>
          <w:color w:val="auto"/>
        </w:rPr>
        <w:t>means the property located at 6 Amazons Place, Jindalee, QLD 4074.</w:t>
      </w:r>
    </w:p>
    <w:p>
      <w:pPr>
        <w:spacing w:after="0" w:line="203" w:lineRule="exact"/>
        <w:rPr>
          <w:sz w:val="20"/>
          <w:szCs w:val="20"/>
          <w:color w:val="auto"/>
        </w:rPr>
      </w:pPr>
    </w:p>
    <w:p>
      <w:pPr>
        <w:ind w:left="720" w:right="7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Land </w:t>
      </w:r>
      <w:r>
        <w:rPr>
          <w:rFonts w:ascii="Times New Roman" w:cs="Times New Roman" w:eastAsia="Times New Roman" w:hAnsi="Times New Roman"/>
          <w:sz w:val="20"/>
          <w:szCs w:val="20"/>
          <w:color w:val="auto"/>
        </w:rPr>
        <w:t>means any land owned or occupied by a Transaction Party that forms part of the Secured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w:t>
      </w:r>
    </w:p>
    <w:p>
      <w:pPr>
        <w:spacing w:after="0" w:line="165" w:lineRule="exact"/>
        <w:rPr>
          <w:sz w:val="20"/>
          <w:szCs w:val="20"/>
          <w:color w:val="auto"/>
        </w:rPr>
      </w:pPr>
    </w:p>
    <w:p>
      <w:pPr>
        <w:ind w:left="720" w:right="9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Leasehold Properties </w:t>
      </w:r>
      <w:r>
        <w:rPr>
          <w:rFonts w:ascii="Times New Roman" w:cs="Times New Roman" w:eastAsia="Times New Roman" w:hAnsi="Times New Roman"/>
          <w:sz w:val="20"/>
          <w:szCs w:val="20"/>
          <w:color w:val="auto"/>
        </w:rPr>
        <w:t>means each leasehold property leased by a Transaction Party that is the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mortgage of lease referred to in schedule 3 (including the mortgage of lease described at item 11 of schedule 3).</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Leverage Ratio </w:t>
      </w:r>
      <w:r>
        <w:rPr>
          <w:rFonts w:ascii="Times New Roman" w:cs="Times New Roman" w:eastAsia="Times New Roman" w:hAnsi="Times New Roman"/>
          <w:sz w:val="20"/>
          <w:szCs w:val="20"/>
          <w:color w:val="auto"/>
        </w:rPr>
        <w:t>means:</w:t>
      </w:r>
    </w:p>
    <w:p>
      <w:pPr>
        <w:spacing w:after="0" w:line="25" w:lineRule="exact"/>
        <w:rPr>
          <w:sz w:val="20"/>
          <w:szCs w:val="20"/>
          <w:color w:val="auto"/>
        </w:rPr>
      </w:pPr>
    </w:p>
    <w:p>
      <w:pPr>
        <w:ind w:left="1400" w:hanging="676"/>
        <w:spacing w:after="0"/>
        <w:tabs>
          <w:tab w:leader="none" w:pos="14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at any date (other than 31 December 2021, 31 March 2022 and 30 June 2022), the ratio of:</w:t>
      </w:r>
    </w:p>
    <w:p>
      <w:pPr>
        <w:ind w:left="2020" w:hanging="648"/>
        <w:spacing w:after="0"/>
        <w:tabs>
          <w:tab w:leader="none" w:pos="202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Gross Debt outstanding on that date; to</w:t>
      </w:r>
    </w:p>
    <w:p>
      <w:pPr>
        <w:ind w:left="2020" w:hanging="648"/>
        <w:spacing w:after="0"/>
        <w:tabs>
          <w:tab w:leader="none" w:pos="202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respect of the 12 month period ending on that date;</w:t>
      </w:r>
    </w:p>
    <w:p>
      <w:pPr>
        <w:ind w:left="1420" w:hanging="696"/>
        <w:spacing w:after="0"/>
        <w:tabs>
          <w:tab w:leader="none" w:pos="14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at 31 December 2021, the ratio of:</w:t>
      </w:r>
    </w:p>
    <w:p>
      <w:pPr>
        <w:ind w:left="2020" w:hanging="648"/>
        <w:spacing w:after="0"/>
        <w:tabs>
          <w:tab w:leader="none" w:pos="202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Gross Debt outstanding on that date; to</w:t>
      </w:r>
    </w:p>
    <w:p>
      <w:pPr>
        <w:ind w:left="2020" w:right="119" w:hanging="648"/>
        <w:spacing w:after="0" w:line="239" w:lineRule="auto"/>
        <w:tabs>
          <w:tab w:leader="none" w:pos="2019"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(calculated on an annualised basis) in respect of the 3 month period ending on that date;</w:t>
      </w:r>
    </w:p>
    <w:p>
      <w:pPr>
        <w:ind w:left="1400" w:hanging="676"/>
        <w:spacing w:after="0"/>
        <w:tabs>
          <w:tab w:leader="none" w:pos="14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at 31 March 2022, the ratio of:</w:t>
      </w:r>
    </w:p>
    <w:p>
      <w:pPr>
        <w:ind w:left="2020" w:hanging="648"/>
        <w:spacing w:after="0"/>
        <w:tabs>
          <w:tab w:leader="none" w:pos="202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Gross Debt outstanding on that date; to</w:t>
      </w:r>
    </w:p>
    <w:p>
      <w:pPr>
        <w:ind w:left="2020" w:right="119" w:hanging="648"/>
        <w:spacing w:after="0" w:line="239" w:lineRule="auto"/>
        <w:tabs>
          <w:tab w:leader="none" w:pos="2019"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(calculated on an annualised basis) in respect of the 6 month period ending on that date;</w:t>
      </w:r>
    </w:p>
    <w:p>
      <w:pPr>
        <w:ind w:left="1420" w:hanging="696"/>
        <w:spacing w:after="0"/>
        <w:tabs>
          <w:tab w:leader="none" w:pos="14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at 30 June 2022, the ratio of:</w:t>
      </w:r>
    </w:p>
    <w:p>
      <w:pPr>
        <w:ind w:left="2020" w:hanging="648"/>
        <w:spacing w:after="0"/>
        <w:tabs>
          <w:tab w:leader="none" w:pos="202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Gross Debt outstanding on that date; to</w:t>
      </w:r>
    </w:p>
    <w:p>
      <w:pPr>
        <w:ind w:left="2020" w:right="119" w:hanging="648"/>
        <w:spacing w:after="0" w:line="246" w:lineRule="auto"/>
        <w:tabs>
          <w:tab w:leader="none" w:pos="2019"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(calculated on an annualised basis) in respect of the 9 month period ending on that date;</w:t>
      </w:r>
    </w:p>
    <w:p>
      <w:pPr>
        <w:spacing w:after="0" w:line="195" w:lineRule="exact"/>
        <w:rPr>
          <w:sz w:val="20"/>
          <w:szCs w:val="20"/>
          <w:color w:val="auto"/>
        </w:rPr>
      </w:pPr>
    </w:p>
    <w:p>
      <w:pPr>
        <w:ind w:left="720" w:right="179"/>
        <w:spacing w:after="0" w:line="254" w:lineRule="auto"/>
        <w:rPr>
          <w:sz w:val="20"/>
          <w:szCs w:val="20"/>
          <w:color w:val="auto"/>
        </w:rPr>
      </w:pPr>
      <w:r>
        <w:rPr>
          <w:rFonts w:ascii="Times New Roman" w:cs="Times New Roman" w:eastAsia="Times New Roman" w:hAnsi="Times New Roman"/>
          <w:sz w:val="20"/>
          <w:szCs w:val="20"/>
          <w:color w:val="auto"/>
        </w:rPr>
        <w:t>For the purposes of calculating Leverage Ratio on any date occurring before the first anniversary of Financial Close, Leverage Ratio will be based on a pro forma EBITDA for the 12 month period to that date.</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Loan to Value Ratio </w:t>
      </w:r>
      <w:r>
        <w:rPr>
          <w:rFonts w:ascii="Times New Roman" w:cs="Times New Roman" w:eastAsia="Times New Roman" w:hAnsi="Times New Roman"/>
          <w:sz w:val="20"/>
          <w:szCs w:val="20"/>
          <w:color w:val="auto"/>
        </w:rPr>
        <w:t>at any date means the ratio (expressed as a percentage) of:</w:t>
      </w:r>
    </w:p>
    <w:p>
      <w:pPr>
        <w:spacing w:after="0" w:line="26" w:lineRule="exact"/>
        <w:rPr>
          <w:sz w:val="20"/>
          <w:szCs w:val="20"/>
          <w:color w:val="auto"/>
        </w:rPr>
      </w:pPr>
    </w:p>
    <w:p>
      <w:pPr>
        <w:ind w:left="1380" w:right="1019" w:hanging="656"/>
        <w:spacing w:after="0" w:line="252" w:lineRule="auto"/>
        <w:tabs>
          <w:tab w:leader="none" w:pos="1411"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of the Total Gross Debt outstanding on that date and any Outstanding Accommodation in relation a Current Bank Guarantee as at that date; to</w:t>
      </w:r>
    </w:p>
    <w:p>
      <w:pPr>
        <w:jc w:val="both"/>
        <w:ind w:left="1380" w:right="179" w:hanging="656"/>
        <w:spacing w:after="0" w:line="242" w:lineRule="auto"/>
        <w:tabs>
          <w:tab w:leader="none" w:pos="142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value of the Freehold Properties and Leasehold Properties included in the Secured Property as noted in the most recent Valuation provided to the Bank pursuant to this document and accepted by the Bank.</w:t>
      </w:r>
    </w:p>
    <w:p>
      <w:pPr>
        <w:spacing w:after="0" w:line="196" w:lineRule="exact"/>
        <w:rPr>
          <w:sz w:val="20"/>
          <w:szCs w:val="20"/>
          <w:color w:val="auto"/>
        </w:rPr>
      </w:pPr>
    </w:p>
    <w:p>
      <w:pPr>
        <w:ind w:left="720" w:right="2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Management Fees </w:t>
      </w:r>
      <w:r>
        <w:rPr>
          <w:rFonts w:ascii="Times New Roman" w:cs="Times New Roman" w:eastAsia="Times New Roman" w:hAnsi="Times New Roman"/>
          <w:sz w:val="20"/>
          <w:szCs w:val="20"/>
          <w:color w:val="auto"/>
        </w:rPr>
        <w:t>means management and consulting fees payable to Reading International Inc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Year.</w:t>
      </w:r>
    </w:p>
    <w:p>
      <w:pPr>
        <w:sectPr>
          <w:pgSz w:w="11900" w:h="16838" w:orient="portrait"/>
          <w:cols w:equalWidth="0" w:num="1">
            <w:col w:w="9019"/>
          </w:cols>
          <w:pgMar w:left="1440" w:top="118" w:right="1440" w:bottom="0" w:gutter="0" w:footer="0" w:header="0"/>
        </w:sectPr>
      </w:pPr>
    </w:p>
    <w:bookmarkStart w:id="62" w:name="page63"/>
    <w:bookmarkEnd w:id="62"/>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Margin </w:t>
      </w:r>
      <w:r>
        <w:rPr>
          <w:rFonts w:ascii="Times New Roman" w:cs="Times New Roman" w:eastAsia="Times New Roman" w:hAnsi="Times New Roman"/>
          <w:sz w:val="20"/>
          <w:szCs w:val="20"/>
          <w:color w:val="auto"/>
        </w:rPr>
        <w:t>means in relation to a Pricing Period for an Advance:</w:t>
      </w:r>
    </w:p>
    <w:p>
      <w:pPr>
        <w:spacing w:after="0" w:line="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Material Adverse Effect </w:t>
      </w:r>
      <w:r>
        <w:rPr>
          <w:rFonts w:ascii="Times New Roman" w:cs="Times New Roman" w:eastAsia="Times New Roman" w:hAnsi="Times New Roman"/>
          <w:sz w:val="20"/>
          <w:szCs w:val="20"/>
          <w:color w:val="auto"/>
        </w:rPr>
        <w:t>means a material adverse effect on:</w:t>
      </w:r>
    </w:p>
    <w:p>
      <w:pPr>
        <w:spacing w:after="0" w:line="26" w:lineRule="exact"/>
        <w:rPr>
          <w:sz w:val="20"/>
          <w:szCs w:val="20"/>
          <w:color w:val="auto"/>
        </w:rPr>
      </w:pPr>
    </w:p>
    <w:p>
      <w:pPr>
        <w:ind w:left="1380" w:right="299" w:hanging="656"/>
        <w:spacing w:after="0" w:line="239" w:lineRule="auto"/>
        <w:tabs>
          <w:tab w:leader="none" w:pos="141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operation, property, condition (financial or otherwise) of a Transaction Party or the Reading Entertainment Australia Group taken as a whole;</w:t>
      </w:r>
    </w:p>
    <w:p>
      <w:pPr>
        <w:ind w:left="1380" w:right="179" w:hanging="656"/>
        <w:spacing w:after="0" w:line="239" w:lineRule="auto"/>
        <w:tabs>
          <w:tab w:leader="none" w:pos="142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a Transaction Party to perform its obligations under the Transaction Documents; or</w:t>
      </w:r>
    </w:p>
    <w:p>
      <w:pPr>
        <w:ind w:left="1380" w:right="99" w:hanging="656"/>
        <w:spacing w:after="0" w:line="246" w:lineRule="auto"/>
        <w:tabs>
          <w:tab w:leader="none" w:pos="141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or enforceability of the whole or any material part of any Transaction Document or any rights or remedies of the Bank under the Transaction Documents.</w:t>
      </w:r>
    </w:p>
    <w:p>
      <w:pPr>
        <w:spacing w:after="0" w:line="191" w:lineRule="exact"/>
        <w:rPr>
          <w:sz w:val="20"/>
          <w:szCs w:val="20"/>
          <w:color w:val="auto"/>
        </w:rPr>
      </w:pPr>
    </w:p>
    <w:p>
      <w:pPr>
        <w:ind w:left="720" w:right="5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Matured </w:t>
      </w:r>
      <w:r>
        <w:rPr>
          <w:rFonts w:ascii="Times New Roman" w:cs="Times New Roman" w:eastAsia="Times New Roman" w:hAnsi="Times New Roman"/>
          <w:sz w:val="20"/>
          <w:szCs w:val="20"/>
          <w:color w:val="auto"/>
        </w:rPr>
        <w:t>means, in relation to a Bank Guarantee, that the Beneficiary has made a claim and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claim any more under the relevant Bank Guarantee.</w:t>
      </w:r>
    </w:p>
    <w:p>
      <w:pPr>
        <w:spacing w:after="0" w:line="165" w:lineRule="exact"/>
        <w:rPr>
          <w:sz w:val="20"/>
          <w:szCs w:val="20"/>
          <w:color w:val="auto"/>
        </w:rPr>
      </w:pPr>
    </w:p>
    <w:p>
      <w:pPr>
        <w:ind w:left="720" w:right="4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Merchant Services Agreement </w:t>
      </w:r>
      <w:r>
        <w:rPr>
          <w:rFonts w:ascii="Times New Roman" w:cs="Times New Roman" w:eastAsia="Times New Roman" w:hAnsi="Times New Roman"/>
          <w:sz w:val="20"/>
          <w:szCs w:val="20"/>
          <w:color w:val="auto"/>
        </w:rPr>
        <w:t>means the agreement for merchant services between the Bank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Reading Entertainment Australia Group.</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Month </w:t>
      </w:r>
      <w:r>
        <w:rPr>
          <w:rFonts w:ascii="Times New Roman" w:cs="Times New Roman" w:eastAsia="Times New Roman" w:hAnsi="Times New Roman"/>
          <w:sz w:val="20"/>
          <w:szCs w:val="20"/>
          <w:color w:val="auto"/>
        </w:rPr>
        <w:t>means a calendar month.</w:t>
      </w:r>
    </w:p>
    <w:p>
      <w:pPr>
        <w:spacing w:after="0" w:line="229" w:lineRule="exact"/>
        <w:rPr>
          <w:sz w:val="20"/>
          <w:szCs w:val="20"/>
          <w:color w:val="auto"/>
        </w:rPr>
      </w:pPr>
    </w:p>
    <w:p>
      <w:pPr>
        <w:ind w:left="720" w:right="13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Net Sale Proceeds </w:t>
      </w:r>
      <w:r>
        <w:rPr>
          <w:rFonts w:ascii="Times New Roman" w:cs="Times New Roman" w:eastAsia="Times New Roman" w:hAnsi="Times New Roman"/>
          <w:sz w:val="20"/>
          <w:szCs w:val="20"/>
          <w:color w:val="auto"/>
        </w:rPr>
        <w:t>means in relation to the sale of the Auburn Property, the gross sale or disposal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out in the sale contract less the aggregate of estate agent commissions, conveyancing fees, adjustments (for both water and council rates), land tax owners corporation fees and fees associated with the discharge or release of an Encumbrance over the Auburn Property and any GST payable in relation to the sale contract.</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Outstanding Accommodation </w:t>
      </w:r>
      <w:r>
        <w:rPr>
          <w:rFonts w:ascii="Times New Roman" w:cs="Times New Roman" w:eastAsia="Times New Roman" w:hAnsi="Times New Roman"/>
          <w:sz w:val="20"/>
          <w:szCs w:val="20"/>
          <w:color w:val="auto"/>
        </w:rPr>
        <w:t>means at any time, the aggregate of:</w:t>
      </w:r>
    </w:p>
    <w:p>
      <w:pPr>
        <w:spacing w:after="0" w:line="25" w:lineRule="exact"/>
        <w:rPr>
          <w:sz w:val="20"/>
          <w:szCs w:val="20"/>
          <w:color w:val="auto"/>
        </w:rPr>
      </w:pPr>
    </w:p>
    <w:p>
      <w:pPr>
        <w:ind w:left="1400" w:hanging="676"/>
        <w:spacing w:after="0"/>
        <w:tabs>
          <w:tab w:leader="none" w:pos="14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of the unpaid Advances outstanding under the Corporate Markets Loan Facility;</w:t>
      </w:r>
    </w:p>
    <w:p>
      <w:pPr>
        <w:ind w:left="1380" w:right="159" w:hanging="656"/>
        <w:spacing w:after="0" w:line="239" w:lineRule="auto"/>
        <w:tabs>
          <w:tab w:leader="none" w:pos="142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Face Values of all Current Bank Guarantees and all Indemnity Amounts in relation to each Bank Guarantee which are due and payable; and</w:t>
      </w:r>
    </w:p>
    <w:p>
      <w:pPr>
        <w:ind w:left="1380" w:right="359" w:hanging="656"/>
        <w:spacing w:after="0" w:line="239" w:lineRule="auto"/>
        <w:tabs>
          <w:tab w:leader="none" w:pos="141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clauses 5.5, 10 and 18.14 only and for no other purposes, any other amounts which the Borrower owes to the Bank or which the Borrower may owe to the Bank under or in connection with the Facilities and includes:</w:t>
      </w:r>
    </w:p>
    <w:p>
      <w:pPr>
        <w:spacing w:after="0" w:line="1" w:lineRule="exact"/>
        <w:rPr>
          <w:rFonts w:ascii="Times New Roman" w:cs="Times New Roman" w:eastAsia="Times New Roman" w:hAnsi="Times New Roman"/>
          <w:sz w:val="20"/>
          <w:szCs w:val="20"/>
          <w:color w:val="auto"/>
        </w:rPr>
      </w:pPr>
    </w:p>
    <w:p>
      <w:pPr>
        <w:ind w:left="2020" w:right="259" w:hanging="648"/>
        <w:spacing w:after="0" w:line="239" w:lineRule="auto"/>
        <w:tabs>
          <w:tab w:leader="none" w:pos="2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amounts which the Borrower owes to the Bank or which the Borrower may owe to the Bank under or in connection with any Hedging Transaction; and</w:t>
      </w:r>
    </w:p>
    <w:p>
      <w:pPr>
        <w:ind w:left="2020" w:hanging="648"/>
        <w:spacing w:after="0"/>
        <w:tabs>
          <w:tab w:leader="none" w:pos="20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costs and fees payable under the Transaction Documents,</w:t>
      </w:r>
    </w:p>
    <w:p>
      <w:pPr>
        <w:spacing w:after="0" w:line="207" w:lineRule="exact"/>
        <w:rPr>
          <w:sz w:val="20"/>
          <w:szCs w:val="20"/>
          <w:color w:val="auto"/>
        </w:rPr>
      </w:pPr>
    </w:p>
    <w:p>
      <w:pPr>
        <w:ind w:left="720" w:right="139"/>
        <w:spacing w:after="0" w:line="254" w:lineRule="auto"/>
        <w:rPr>
          <w:sz w:val="20"/>
          <w:szCs w:val="20"/>
          <w:color w:val="auto"/>
        </w:rPr>
      </w:pPr>
      <w:r>
        <w:rPr>
          <w:rFonts w:ascii="Times New Roman" w:cs="Times New Roman" w:eastAsia="Times New Roman" w:hAnsi="Times New Roman"/>
          <w:sz w:val="20"/>
          <w:szCs w:val="20"/>
          <w:color w:val="auto"/>
        </w:rPr>
        <w:t>whether such amounts are owing actually or contingently and whether such amounts are then due for payment or will or may become due for payment and includes all interest, costs and fees payable under the Transaction Documents.</w:t>
      </w:r>
    </w:p>
    <w:p>
      <w:pPr>
        <w:spacing w:after="0" w:line="188" w:lineRule="exact"/>
        <w:rPr>
          <w:sz w:val="20"/>
          <w:szCs w:val="20"/>
          <w:color w:val="auto"/>
        </w:rPr>
      </w:pPr>
    </w:p>
    <w:p>
      <w:pPr>
        <w:ind w:left="720" w:right="879"/>
        <w:spacing w:after="0" w:line="269" w:lineRule="auto"/>
        <w:rPr>
          <w:sz w:val="20"/>
          <w:szCs w:val="20"/>
          <w:color w:val="auto"/>
        </w:rPr>
      </w:pPr>
      <w:r>
        <w:rPr>
          <w:rFonts w:ascii="Times New Roman" w:cs="Times New Roman" w:eastAsia="Times New Roman" w:hAnsi="Times New Roman"/>
          <w:sz w:val="20"/>
          <w:szCs w:val="20"/>
          <w:color w:val="auto"/>
        </w:rPr>
        <w:t>When used in relation to any Facility, it means the Outstanding Accommodation in relation to Advances or Drawings under that Facility (as applicable).</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Overdue Money </w:t>
      </w:r>
      <w:r>
        <w:rPr>
          <w:rFonts w:ascii="Times New Roman" w:cs="Times New Roman" w:eastAsia="Times New Roman" w:hAnsi="Times New Roman"/>
          <w:sz w:val="20"/>
          <w:szCs w:val="20"/>
          <w:color w:val="auto"/>
        </w:rPr>
        <w:t>means money due and payable from time to time under each Transaction Document.</w:t>
      </w:r>
    </w:p>
    <w:p>
      <w:pPr>
        <w:spacing w:after="0" w:line="229" w:lineRule="exact"/>
        <w:rPr>
          <w:sz w:val="20"/>
          <w:szCs w:val="20"/>
          <w:color w:val="auto"/>
        </w:rPr>
      </w:pPr>
    </w:p>
    <w:p>
      <w:pPr>
        <w:ind w:left="720" w:right="1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Overdue Rate </w:t>
      </w:r>
      <w:r>
        <w:rPr>
          <w:rFonts w:ascii="Times New Roman" w:cs="Times New Roman" w:eastAsia="Times New Roman" w:hAnsi="Times New Roman"/>
          <w:sz w:val="20"/>
          <w:szCs w:val="20"/>
          <w:color w:val="auto"/>
        </w:rPr>
        <w:t>means at any time, the aggregate of the Interest Rate and a default margin of 1.00% per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annum.</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Parent </w:t>
      </w:r>
      <w:r>
        <w:rPr>
          <w:rFonts w:ascii="Times New Roman" w:cs="Times New Roman" w:eastAsia="Times New Roman" w:hAnsi="Times New Roman"/>
          <w:sz w:val="20"/>
          <w:szCs w:val="20"/>
          <w:u w:val="single" w:color="auto"/>
          <w:color w:val="auto"/>
        </w:rPr>
        <w:t>means Reading International Cinemas LLC.</w:t>
      </w:r>
    </w:p>
    <w:p>
      <w:pPr>
        <w:spacing w:after="0" w:line="26" w:lineRule="exact"/>
        <w:rPr>
          <w:sz w:val="20"/>
          <w:szCs w:val="20"/>
          <w:color w:val="auto"/>
        </w:rPr>
      </w:pPr>
    </w:p>
    <w:p>
      <w:pPr>
        <w:ind w:left="720" w:right="79"/>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Parent Subordination </w:t>
      </w:r>
      <w:r>
        <w:rPr>
          <w:rFonts w:ascii="Times New Roman" w:cs="Times New Roman" w:eastAsia="Times New Roman" w:hAnsi="Times New Roman"/>
          <w:sz w:val="19"/>
          <w:szCs w:val="19"/>
          <w:color w:val="auto"/>
        </w:rPr>
        <w:t>Agreement means the document entitled ‘subordination deed’ dated on or about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date of this document between the Borrower, Reading International Cinemas LLC and the Bank.</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Permitted Disposal </w:t>
      </w:r>
      <w:r>
        <w:rPr>
          <w:rFonts w:ascii="Times New Roman" w:cs="Times New Roman" w:eastAsia="Times New Roman" w:hAnsi="Times New Roman"/>
          <w:sz w:val="20"/>
          <w:szCs w:val="20"/>
          <w:color w:val="auto"/>
        </w:rPr>
        <w:t>means a disposal:</w:t>
      </w:r>
    </w:p>
    <w:p>
      <w:pPr>
        <w:spacing w:after="0" w:line="25" w:lineRule="exact"/>
        <w:rPr>
          <w:sz w:val="20"/>
          <w:szCs w:val="20"/>
          <w:color w:val="auto"/>
        </w:rPr>
      </w:pPr>
    </w:p>
    <w:p>
      <w:pPr>
        <w:ind w:left="1400" w:hanging="676"/>
        <w:spacing w:after="0"/>
        <w:tabs>
          <w:tab w:leader="none" w:pos="14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assets between the Transaction Parties;</w:t>
      </w:r>
    </w:p>
    <w:p>
      <w:pPr>
        <w:ind w:left="1380" w:right="799" w:hanging="656"/>
        <w:spacing w:after="0" w:line="239" w:lineRule="auto"/>
        <w:tabs>
          <w:tab w:leader="none" w:pos="142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represented by a lease or licence of real property granted by a Transaction Party in the ordinary course of business of the Reading Entertainment Australia Group;</w:t>
      </w:r>
    </w:p>
    <w:p>
      <w:pPr>
        <w:ind w:left="1400" w:hanging="676"/>
        <w:spacing w:after="0"/>
        <w:tabs>
          <w:tab w:leader="none" w:pos="14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trading stock or cash made in the ordinary course of business;</w:t>
      </w:r>
    </w:p>
    <w:p>
      <w:pPr>
        <w:ind w:left="1380" w:right="299" w:hanging="656"/>
        <w:spacing w:after="0" w:line="239" w:lineRule="auto"/>
        <w:tabs>
          <w:tab w:leader="none" w:pos="142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plant and equipment in exchange for other assets comparable or superior as to type, value and quality;</w:t>
      </w:r>
    </w:p>
    <w:p>
      <w:pPr>
        <w:ind w:left="1400" w:hanging="676"/>
        <w:spacing w:after="0"/>
        <w:tabs>
          <w:tab w:leader="none" w:pos="14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obsolete or redundant assets;</w:t>
      </w:r>
    </w:p>
    <w:p>
      <w:pPr>
        <w:ind w:left="1380" w:right="599" w:hanging="656"/>
        <w:spacing w:after="0" w:line="239" w:lineRule="auto"/>
        <w:tabs>
          <w:tab w:leader="none" w:pos="138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as a result of a Permitted Encumbrance or a Distribution or payment permitted by </w:t>
      </w:r>
      <w:r>
        <w:rPr>
          <w:rFonts w:ascii="Times New Roman" w:cs="Times New Roman" w:eastAsia="Times New Roman" w:hAnsi="Times New Roman"/>
          <w:sz w:val="20"/>
          <w:szCs w:val="20"/>
          <w:b w:val="1"/>
          <w:bCs w:val="1"/>
          <w:color w:val="auto"/>
        </w:rPr>
        <w:t xml:space="preserve">clause 9.6(f)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clause 9.6(k);</w:t>
      </w:r>
    </w:p>
    <w:p>
      <w:pPr>
        <w:ind w:left="1380" w:right="139" w:hanging="656"/>
        <w:spacing w:after="0" w:line="239" w:lineRule="auto"/>
        <w:tabs>
          <w:tab w:leader="none" w:pos="142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assets that are the subject of a floating charge (or its equivalent) under a Collateral Security, provided the disposal is made in the ordinary course of business; or</w:t>
      </w:r>
    </w:p>
    <w:p>
      <w:pPr>
        <w:ind w:left="1380" w:right="199" w:hanging="656"/>
        <w:spacing w:after="0" w:line="239" w:lineRule="auto"/>
        <w:tabs>
          <w:tab w:leader="none" w:pos="142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aggregate value of the assets disposed of in the 12 month period ending on the date of the relevant disposal (and including the value of the relevant disposal) does not exceed $2,000,000;</w:t>
      </w:r>
    </w:p>
    <w:p>
      <w:pPr>
        <w:spacing w:after="0" w:line="1" w:lineRule="exact"/>
        <w:rPr>
          <w:rFonts w:ascii="Times New Roman" w:cs="Times New Roman" w:eastAsia="Times New Roman" w:hAnsi="Times New Roman"/>
          <w:sz w:val="20"/>
          <w:szCs w:val="20"/>
          <w:color w:val="auto"/>
        </w:rPr>
      </w:pPr>
    </w:p>
    <w:p>
      <w:pPr>
        <w:ind w:left="1360" w:hanging="636"/>
        <w:spacing w:after="0"/>
        <w:tabs>
          <w:tab w:leader="none" w:pos="13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 the Auburn Property;</w:t>
      </w:r>
    </w:p>
    <w:p>
      <w:pPr>
        <w:ind w:left="1360" w:hanging="636"/>
        <w:spacing w:after="0"/>
        <w:tabs>
          <w:tab w:leader="none" w:pos="13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 cash under any Permitted Distribution; and</w:t>
      </w:r>
    </w:p>
    <w:p>
      <w:pPr>
        <w:ind w:left="1420" w:hanging="696"/>
        <w:spacing w:after="0"/>
        <w:tabs>
          <w:tab w:leader="none" w:pos="14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 cash being payments of any expenses pursuant to clause 9.13(b).</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Permitted Distribution </w:t>
      </w:r>
      <w:r>
        <w:rPr>
          <w:rFonts w:ascii="Times New Roman" w:cs="Times New Roman" w:eastAsia="Times New Roman" w:hAnsi="Times New Roman"/>
          <w:sz w:val="20"/>
          <w:szCs w:val="20"/>
          <w:u w:val="single" w:color="auto"/>
          <w:color w:val="auto"/>
        </w:rPr>
        <w:t>means a Distribution:</w:t>
      </w:r>
    </w:p>
    <w:p>
      <w:pPr>
        <w:sectPr>
          <w:pgSz w:w="11900" w:h="16838" w:orient="portrait"/>
          <w:cols w:equalWidth="0" w:num="1">
            <w:col w:w="9019"/>
          </w:cols>
          <w:pgMar w:left="1440" w:top="114" w:right="1440" w:bottom="0" w:gutter="0" w:footer="0" w:header="0"/>
        </w:sectPr>
      </w:pPr>
    </w:p>
    <w:bookmarkStart w:id="63" w:name="page64"/>
    <w:bookmarkEnd w:id="63"/>
    <w:p>
      <w:pPr>
        <w:spacing w:after="0" w:line="59" w:lineRule="exact"/>
        <w:rPr>
          <w:sz w:val="20"/>
          <w:szCs w:val="20"/>
          <w:color w:val="auto"/>
        </w:rPr>
      </w:pPr>
    </w:p>
    <w:p>
      <w:pPr>
        <w:ind w:left="1400" w:hanging="676"/>
        <w:spacing w:after="0"/>
        <w:tabs>
          <w:tab w:leader="none" w:pos="14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made at any time on or prior to the Relevant Date:</w:t>
      </w:r>
    </w:p>
    <w:p>
      <w:pPr>
        <w:spacing w:after="0" w:line="20" w:lineRule="exact"/>
        <w:rPr>
          <w:rFonts w:ascii="Times New Roman" w:cs="Times New Roman" w:eastAsia="Times New Roman" w:hAnsi="Times New Roman"/>
          <w:sz w:val="20"/>
          <w:szCs w:val="20"/>
          <w:color w:val="auto"/>
        </w:rPr>
      </w:pPr>
    </w:p>
    <w:p>
      <w:pPr>
        <w:ind w:left="2020" w:right="119" w:hanging="648"/>
        <w:spacing w:after="0" w:line="239" w:lineRule="auto"/>
        <w:tabs>
          <w:tab w:leader="none" w:pos="201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 an amount up to $15,000,000 of the Net Sale Proceeds provided that the Quarterly Financial Statements for the Quarter ending 30 June 2021 reveals a variance of 10% or less to the forecasts provided to the Bank on 19 February 2021;</w:t>
      </w:r>
    </w:p>
    <w:p>
      <w:pPr>
        <w:spacing w:after="0" w:line="1" w:lineRule="exact"/>
        <w:rPr>
          <w:rFonts w:ascii="Times New Roman" w:cs="Times New Roman" w:eastAsia="Times New Roman" w:hAnsi="Times New Roman"/>
          <w:sz w:val="20"/>
          <w:szCs w:val="20"/>
          <w:color w:val="auto"/>
        </w:rPr>
      </w:pPr>
    </w:p>
    <w:p>
      <w:pPr>
        <w:ind w:left="2020" w:right="239" w:hanging="648"/>
        <w:spacing w:after="0" w:line="239" w:lineRule="auto"/>
        <w:tabs>
          <w:tab w:leader="none" w:pos="201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 an amount up to 66.67% of the Remaining Proceeds provided such Distribution is made by way of dividend to the Parent;</w:t>
      </w:r>
    </w:p>
    <w:p>
      <w:pPr>
        <w:spacing w:after="0" w:line="1" w:lineRule="exact"/>
        <w:rPr>
          <w:sz w:val="20"/>
          <w:szCs w:val="20"/>
          <w:color w:val="auto"/>
        </w:rPr>
      </w:pPr>
    </w:p>
    <w:p>
      <w:pPr>
        <w:ind w:left="1380" w:right="139"/>
        <w:spacing w:after="0" w:line="239" w:lineRule="auto"/>
        <w:rPr>
          <w:sz w:val="20"/>
          <w:szCs w:val="20"/>
          <w:color w:val="auto"/>
        </w:rPr>
      </w:pPr>
      <w:r>
        <w:rPr>
          <w:rFonts w:ascii="Times New Roman" w:cs="Times New Roman" w:eastAsia="Times New Roman" w:hAnsi="Times New Roman"/>
          <w:sz w:val="20"/>
          <w:szCs w:val="20"/>
          <w:u w:val="single" w:color="auto"/>
          <w:color w:val="auto"/>
        </w:rPr>
        <w:t>and at each time of making such distributions or payments, no Event of Default, Potential Event of Default or Review Event subsists or would be caused by making such distributions or payments;</w:t>
      </w:r>
    </w:p>
    <w:p>
      <w:pPr>
        <w:spacing w:after="0" w:line="1" w:lineRule="exact"/>
        <w:rPr>
          <w:sz w:val="20"/>
          <w:szCs w:val="20"/>
          <w:color w:val="auto"/>
        </w:rPr>
      </w:pPr>
    </w:p>
    <w:p>
      <w:pPr>
        <w:ind w:left="1380" w:right="419" w:hanging="656"/>
        <w:spacing w:after="0" w:line="239" w:lineRule="auto"/>
        <w:tabs>
          <w:tab w:leader="none" w:pos="142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made at any time after the Relevant Date, provided that at each time of making such distributions or payments, no Event of Default, Potential Event of Default or Review Event subsists or would be caused by making such distributions or payments; or</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made with the Bank’s prior written consent.</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Permitted Encumbrance </w:t>
      </w:r>
      <w:r>
        <w:rPr>
          <w:rFonts w:ascii="Times New Roman" w:cs="Times New Roman" w:eastAsia="Times New Roman" w:hAnsi="Times New Roman"/>
          <w:sz w:val="20"/>
          <w:szCs w:val="20"/>
          <w:color w:val="auto"/>
        </w:rPr>
        <w:t>means:</w:t>
      </w:r>
    </w:p>
    <w:p>
      <w:pPr>
        <w:spacing w:after="0" w:line="26" w:lineRule="exact"/>
        <w:rPr>
          <w:sz w:val="20"/>
          <w:szCs w:val="20"/>
          <w:color w:val="auto"/>
        </w:rPr>
      </w:pPr>
    </w:p>
    <w:p>
      <w:pPr>
        <w:ind w:left="1380" w:right="659" w:hanging="656"/>
        <w:spacing w:after="0" w:line="239" w:lineRule="auto"/>
        <w:tabs>
          <w:tab w:leader="none" w:pos="141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Encumbrance which has been approved by the Bank (including the Security Interests created by any Transaction Document);</w:t>
      </w:r>
    </w:p>
    <w:p>
      <w:pPr>
        <w:ind w:left="1380" w:right="759" w:hanging="656"/>
        <w:spacing w:after="0" w:line="239" w:lineRule="auto"/>
        <w:tabs>
          <w:tab w:leader="none" w:pos="142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of set off or combination arising by operation of law or practice over money deposited with a bank or financial institution in the ordinary course of the business of a Transaction Party;</w:t>
      </w:r>
    </w:p>
    <w:p>
      <w:pPr>
        <w:spacing w:after="0" w:line="1" w:lineRule="exact"/>
        <w:rPr>
          <w:rFonts w:ascii="Times New Roman" w:cs="Times New Roman" w:eastAsia="Times New Roman" w:hAnsi="Times New Roman"/>
          <w:sz w:val="20"/>
          <w:szCs w:val="20"/>
          <w:color w:val="auto"/>
        </w:rPr>
      </w:pPr>
    </w:p>
    <w:p>
      <w:pPr>
        <w:ind w:left="1380" w:right="299" w:hanging="656"/>
        <w:spacing w:after="0" w:line="239" w:lineRule="auto"/>
        <w:tabs>
          <w:tab w:leader="none" w:pos="141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Encumbrance which arises by operation of law in the ordinary course of the business of a Transaction Party provided the debt secured by that Encumbrance is paid when due or contested in good faith by appropriate proceedings;</w:t>
      </w:r>
    </w:p>
    <w:p>
      <w:pPr>
        <w:spacing w:after="0" w:line="1" w:lineRule="exact"/>
        <w:rPr>
          <w:rFonts w:ascii="Times New Roman" w:cs="Times New Roman" w:eastAsia="Times New Roman" w:hAnsi="Times New Roman"/>
          <w:sz w:val="20"/>
          <w:szCs w:val="20"/>
          <w:color w:val="auto"/>
        </w:rPr>
      </w:pPr>
    </w:p>
    <w:p>
      <w:pPr>
        <w:ind w:left="1380" w:right="199" w:hanging="656"/>
        <w:spacing w:after="0" w:line="252" w:lineRule="auto"/>
        <w:tabs>
          <w:tab w:leader="none" w:pos="1422"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every easement, restrictive covenant, caveat or similar restriction over property, right of way, exception, encroachment, reservation, restriction, condition 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w:t>
      </w:r>
    </w:p>
    <w:p>
      <w:pPr>
        <w:ind w:left="1380" w:right="119" w:hanging="656"/>
        <w:spacing w:after="0" w:line="252" w:lineRule="auto"/>
        <w:tabs>
          <w:tab w:leader="none" w:pos="141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w:t>
      </w:r>
    </w:p>
    <w:p>
      <w:pPr>
        <w:ind w:left="1380" w:right="99" w:hanging="656"/>
        <w:spacing w:after="0" w:line="239" w:lineRule="auto"/>
        <w:tabs>
          <w:tab w:leader="none" w:pos="138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workers’ compensation, unemployment insurance and other types of social security;</w:t>
      </w:r>
    </w:p>
    <w:p>
      <w:pPr>
        <w:spacing w:after="0" w:line="2" w:lineRule="exact"/>
        <w:rPr>
          <w:rFonts w:ascii="Times New Roman" w:cs="Times New Roman" w:eastAsia="Times New Roman" w:hAnsi="Times New Roman"/>
          <w:sz w:val="20"/>
          <w:szCs w:val="20"/>
          <w:color w:val="auto"/>
        </w:rPr>
      </w:pPr>
    </w:p>
    <w:p>
      <w:pPr>
        <w:ind w:left="1380" w:right="659" w:hanging="656"/>
        <w:spacing w:after="0" w:line="239" w:lineRule="auto"/>
        <w:tabs>
          <w:tab w:leader="none" w:pos="142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Encumbrance incurred or deposit made in the ordinary course of the business of a Transaction Party in respect of a leasehold property, the purchase of assets or the use of utilities, provided that:</w:t>
      </w:r>
    </w:p>
    <w:p>
      <w:pPr>
        <w:spacing w:after="0" w:line="1" w:lineRule="exact"/>
        <w:rPr>
          <w:rFonts w:ascii="Times New Roman" w:cs="Times New Roman" w:eastAsia="Times New Roman" w:hAnsi="Times New Roman"/>
          <w:sz w:val="20"/>
          <w:szCs w:val="20"/>
          <w:color w:val="auto"/>
        </w:rPr>
      </w:pPr>
    </w:p>
    <w:p>
      <w:pPr>
        <w:jc w:val="both"/>
        <w:ind w:left="2020" w:right="319" w:hanging="648"/>
        <w:spacing w:after="0" w:line="239" w:lineRule="auto"/>
        <w:tabs>
          <w:tab w:leader="none" w:pos="201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Encumbrance incurred or deposit made in respect of the purchase of assets which secures an aggregate amount greater than $250,000 the Bank has given prior written consent to the Borrower; and</w:t>
      </w:r>
    </w:p>
    <w:p>
      <w:pPr>
        <w:spacing w:after="0" w:line="1" w:lineRule="exact"/>
        <w:rPr>
          <w:rFonts w:ascii="Times New Roman" w:cs="Times New Roman" w:eastAsia="Times New Roman" w:hAnsi="Times New Roman"/>
          <w:sz w:val="20"/>
          <w:szCs w:val="20"/>
          <w:color w:val="auto"/>
        </w:rPr>
      </w:pPr>
    </w:p>
    <w:p>
      <w:pPr>
        <w:ind w:left="2020" w:right="219" w:hanging="648"/>
        <w:spacing w:after="0" w:line="239" w:lineRule="auto"/>
        <w:tabs>
          <w:tab w:leader="none" w:pos="201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recourse of the holder of that Encumbrance is limited to the leasehold interest, the assets purchased or use of utilities and the proceeds of enforcement of the Encumbrance.</w:t>
      </w:r>
    </w:p>
    <w:p>
      <w:pPr>
        <w:spacing w:after="0" w:line="1" w:lineRule="exact"/>
        <w:rPr>
          <w:rFonts w:ascii="Times New Roman" w:cs="Times New Roman" w:eastAsia="Times New Roman" w:hAnsi="Times New Roman"/>
          <w:sz w:val="20"/>
          <w:szCs w:val="20"/>
          <w:color w:val="auto"/>
        </w:rPr>
      </w:pPr>
    </w:p>
    <w:p>
      <w:pPr>
        <w:ind w:left="1380" w:right="199" w:hanging="656"/>
        <w:spacing w:after="0" w:line="239" w:lineRule="auto"/>
        <w:tabs>
          <w:tab w:leader="none" w:pos="142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retention of title arrangement in respect of trading stock acquired or to be acquired by a Transaction Party in the ordinary course of business;</w:t>
      </w:r>
    </w:p>
    <w:p>
      <w:pPr>
        <w:ind w:left="1380" w:right="639" w:hanging="656"/>
        <w:spacing w:after="0" w:line="246" w:lineRule="auto"/>
        <w:tabs>
          <w:tab w:leader="none" w:pos="137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easement, caveat or other restriction in relation to a Freehold Property that would be apparent from a title search conducted before the date of this document.</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Permitted Financial Accommodation </w:t>
      </w:r>
      <w:r>
        <w:rPr>
          <w:rFonts w:ascii="Times New Roman" w:cs="Times New Roman" w:eastAsia="Times New Roman" w:hAnsi="Times New Roman"/>
          <w:sz w:val="20"/>
          <w:szCs w:val="20"/>
          <w:color w:val="auto"/>
        </w:rPr>
        <w:t>means:</w:t>
      </w:r>
    </w:p>
    <w:p>
      <w:pPr>
        <w:spacing w:after="0" w:line="25" w:lineRule="exact"/>
        <w:rPr>
          <w:sz w:val="20"/>
          <w:szCs w:val="20"/>
          <w:color w:val="auto"/>
        </w:rPr>
      </w:pPr>
    </w:p>
    <w:p>
      <w:pPr>
        <w:ind w:left="1400" w:hanging="676"/>
        <w:spacing w:after="0"/>
        <w:tabs>
          <w:tab w:leader="none" w:pos="14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accommodation granted by a Transaction Party to another Transaction Party;</w:t>
      </w:r>
    </w:p>
    <w:p>
      <w:pPr>
        <w:ind w:left="1380" w:right="359" w:hanging="656"/>
        <w:spacing w:after="0" w:line="239" w:lineRule="auto"/>
        <w:tabs>
          <w:tab w:leader="none" w:pos="15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granted by Reading Entertainment Australia Group to the Parent, up to 33.33% of the Remaining Proceeds;</w:t>
      </w:r>
    </w:p>
    <w:p>
      <w:pPr>
        <w:ind w:left="1380" w:right="559" w:hanging="656"/>
        <w:spacing w:after="0" w:line="239" w:lineRule="auto"/>
        <w:tabs>
          <w:tab w:leader="none" w:pos="150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trade credit extended by a Transaction Party to its customers on normal commercial terms and in the ordinary course of business; or</w:t>
      </w:r>
    </w:p>
    <w:p>
      <w:pPr>
        <w:ind w:left="1520" w:hanging="796"/>
        <w:spacing w:after="0"/>
        <w:tabs>
          <w:tab w:leader="none" w:pos="15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financial accommodation granted with the prior consent of the Bank.</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Permitted Financial Indebtedness </w:t>
      </w:r>
      <w:r>
        <w:rPr>
          <w:rFonts w:ascii="Times New Roman" w:cs="Times New Roman" w:eastAsia="Times New Roman" w:hAnsi="Times New Roman"/>
          <w:sz w:val="20"/>
          <w:szCs w:val="20"/>
          <w:color w:val="auto"/>
        </w:rPr>
        <w:t>means:</w:t>
      </w:r>
    </w:p>
    <w:p>
      <w:pPr>
        <w:spacing w:after="0" w:line="25" w:lineRule="exact"/>
        <w:rPr>
          <w:sz w:val="20"/>
          <w:szCs w:val="20"/>
          <w:color w:val="auto"/>
        </w:rPr>
      </w:pPr>
    </w:p>
    <w:p>
      <w:pPr>
        <w:ind w:left="1400" w:hanging="676"/>
        <w:spacing w:after="0"/>
        <w:tabs>
          <w:tab w:leader="none" w:pos="14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debt incurred in the ordinary course of business of the Transaction Parties;</w:t>
      </w:r>
    </w:p>
    <w:p>
      <w:pPr>
        <w:ind w:left="1420" w:hanging="696"/>
        <w:spacing w:after="0"/>
        <w:tabs>
          <w:tab w:leader="none" w:pos="14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Indebtedness incurred under the Transaction Documents;</w:t>
      </w:r>
    </w:p>
    <w:p>
      <w:pPr>
        <w:ind w:left="1400" w:hanging="676"/>
        <w:spacing w:after="0"/>
        <w:tabs>
          <w:tab w:leader="none" w:pos="14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Indebtedness owing from one Transaction Party to another Transaction Party;</w:t>
      </w:r>
    </w:p>
    <w:p>
      <w:pPr>
        <w:ind w:left="1420" w:hanging="696"/>
        <w:spacing w:after="0"/>
        <w:tabs>
          <w:tab w:leader="none" w:pos="14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Subordinated Debt;</w:t>
      </w:r>
    </w:p>
    <w:p>
      <w:pPr>
        <w:ind w:left="1400" w:hanging="676"/>
        <w:spacing w:after="0"/>
        <w:tabs>
          <w:tab w:leader="none" w:pos="14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$225,000 loan from the landlord of the Westlakes Cinema property;</w:t>
      </w:r>
    </w:p>
    <w:p>
      <w:pPr>
        <w:ind w:left="1380" w:hanging="656"/>
        <w:spacing w:after="0"/>
        <w:tabs>
          <w:tab w:leader="none" w:pos="13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$400,000 loan from the landlord of the Rhodes Cinema property;</w:t>
      </w:r>
    </w:p>
    <w:p>
      <w:pPr>
        <w:ind w:left="1380" w:right="319" w:hanging="656"/>
        <w:spacing w:after="0" w:line="271" w:lineRule="auto"/>
        <w:tabs>
          <w:tab w:leader="none" w:pos="142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Indebtedness arising under any performance or similar bond guaranteeing performance by a Transaction Party under any contract entered into in the ordinary course of</w:t>
      </w:r>
    </w:p>
    <w:p>
      <w:pPr>
        <w:sectPr>
          <w:pgSz w:w="11900" w:h="16898" w:orient="portrait"/>
          <w:cols w:equalWidth="0" w:num="1">
            <w:col w:w="9019"/>
          </w:cols>
          <w:pgMar w:left="1440" w:top="118" w:right="1440" w:bottom="0" w:gutter="0" w:footer="0" w:header="0"/>
        </w:sectPr>
      </w:pPr>
    </w:p>
    <w:bookmarkStart w:id="64" w:name="page65"/>
    <w:bookmarkEnd w:id="64"/>
    <w:p>
      <w:pPr>
        <w:spacing w:after="0" w:line="8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business;</w:t>
      </w:r>
    </w:p>
    <w:p>
      <w:pPr>
        <w:spacing w:after="0" w:line="21" w:lineRule="exact"/>
        <w:rPr>
          <w:sz w:val="20"/>
          <w:szCs w:val="20"/>
          <w:color w:val="auto"/>
        </w:rPr>
      </w:pPr>
    </w:p>
    <w:p>
      <w:pPr>
        <w:ind w:left="1380" w:right="599" w:hanging="656"/>
        <w:spacing w:after="0" w:line="239" w:lineRule="auto"/>
        <w:tabs>
          <w:tab w:leader="none" w:pos="142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Indebtedness arising under a guarantee given to a landlord in respect of a lease entered into by a Transaction Party;</w:t>
      </w:r>
    </w:p>
    <w:p>
      <w:pPr>
        <w:ind w:left="1380" w:right="839" w:hanging="656"/>
        <w:spacing w:after="0" w:line="239" w:lineRule="auto"/>
        <w:tabs>
          <w:tab w:leader="none" w:pos="137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Indebtedness under finance or capital leases of vehicles, plant, equipment or computers; and</w:t>
      </w:r>
    </w:p>
    <w:p>
      <w:pPr>
        <w:ind w:left="1380" w:right="139" w:hanging="656"/>
        <w:spacing w:after="0" w:line="242" w:lineRule="auto"/>
        <w:tabs>
          <w:tab w:leader="none" w:pos="137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Indebtedness not permitted by the preceding paragraphs and the outstanding principal amount of which does not exceed $2,000,000 in aggregate for the Transaction Parties at any time.</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PPS Act </w:t>
      </w:r>
      <w:r>
        <w:rPr>
          <w:rFonts w:ascii="Times New Roman" w:cs="Times New Roman" w:eastAsia="Times New Roman" w:hAnsi="Times New Roman"/>
          <w:sz w:val="20"/>
          <w:szCs w:val="20"/>
          <w:color w:val="auto"/>
        </w:rPr>
        <w:t>means the Personal Property Securities Act 2009 (Cth).</w:t>
      </w:r>
    </w:p>
    <w:p>
      <w:pPr>
        <w:spacing w:after="0" w:line="229" w:lineRule="exact"/>
        <w:rPr>
          <w:sz w:val="20"/>
          <w:szCs w:val="20"/>
          <w:color w:val="auto"/>
        </w:rPr>
      </w:pPr>
    </w:p>
    <w:p>
      <w:pPr>
        <w:ind w:left="720" w:right="7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PPS property </w:t>
      </w:r>
      <w:r>
        <w:rPr>
          <w:rFonts w:ascii="Times New Roman" w:cs="Times New Roman" w:eastAsia="Times New Roman" w:hAnsi="Times New Roman"/>
          <w:sz w:val="20"/>
          <w:szCs w:val="20"/>
          <w:color w:val="auto"/>
        </w:rPr>
        <w:t>means all property (other than Excluded Property) over which the Borrower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Security Provider is legally capable under the PPS Act of granting a security interest.</w:t>
      </w:r>
    </w:p>
    <w:p>
      <w:pPr>
        <w:spacing w:after="0" w:line="165" w:lineRule="exact"/>
        <w:rPr>
          <w:sz w:val="20"/>
          <w:szCs w:val="20"/>
          <w:color w:val="auto"/>
        </w:rPr>
      </w:pPr>
    </w:p>
    <w:p>
      <w:pPr>
        <w:ind w:left="720" w:right="8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Potential Event of Default </w:t>
      </w:r>
      <w:r>
        <w:rPr>
          <w:rFonts w:ascii="Times New Roman" w:cs="Times New Roman" w:eastAsia="Times New Roman" w:hAnsi="Times New Roman"/>
          <w:sz w:val="20"/>
          <w:szCs w:val="20"/>
          <w:color w:val="auto"/>
        </w:rPr>
        <w:t>means any thing which, with the giving of notice, lapse of time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determination of materiality, will constitute an Event of Default.</w:t>
      </w:r>
    </w:p>
    <w:p>
      <w:pPr>
        <w:spacing w:after="0" w:line="165" w:lineRule="exact"/>
        <w:rPr>
          <w:sz w:val="20"/>
          <w:szCs w:val="20"/>
          <w:color w:val="auto"/>
        </w:rPr>
      </w:pPr>
    </w:p>
    <w:p>
      <w:pPr>
        <w:ind w:left="720" w:right="259"/>
        <w:spacing w:after="0" w:line="256" w:lineRule="auto"/>
        <w:rPr>
          <w:sz w:val="20"/>
          <w:szCs w:val="20"/>
          <w:color w:val="auto"/>
        </w:rPr>
      </w:pPr>
      <w:r>
        <w:rPr>
          <w:rFonts w:ascii="Times New Roman" w:cs="Times New Roman" w:eastAsia="Times New Roman" w:hAnsi="Times New Roman"/>
          <w:sz w:val="20"/>
          <w:szCs w:val="20"/>
          <w:b w:val="1"/>
          <w:bCs w:val="1"/>
          <w:color w:val="auto"/>
        </w:rPr>
        <w:t>Pricing Period means</w:t>
      </w:r>
      <w:r>
        <w:rPr>
          <w:rFonts w:ascii="Times New Roman" w:cs="Times New Roman" w:eastAsia="Times New Roman" w:hAnsi="Times New Roman"/>
          <w:sz w:val="20"/>
          <w:szCs w:val="20"/>
          <w:color w:val="auto"/>
        </w:rPr>
        <w:t>, in relation to an Advance under the Corporate Markets Loan Facility,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period having the duration selected in accordance with </w:t>
      </w:r>
      <w:r>
        <w:rPr>
          <w:rFonts w:ascii="Times New Roman" w:cs="Times New Roman" w:eastAsia="Times New Roman" w:hAnsi="Times New Roman"/>
          <w:sz w:val="20"/>
          <w:szCs w:val="20"/>
          <w:b w:val="1"/>
          <w:bCs w:val="1"/>
          <w:color w:val="auto"/>
        </w:rPr>
        <w:t>clause 6.1</w:t>
      </w:r>
      <w:r>
        <w:rPr>
          <w:rFonts w:ascii="Times New Roman" w:cs="Times New Roman" w:eastAsia="Times New Roman" w:hAnsi="Times New Roman"/>
          <w:sz w:val="20"/>
          <w:szCs w:val="20"/>
          <w:color w:val="auto"/>
        </w:rPr>
        <w:t xml:space="preserve"> and beginning on the Funding Date in relation to the Advance.</w:t>
      </w:r>
    </w:p>
    <w:p>
      <w:pPr>
        <w:spacing w:after="0" w:line="182" w:lineRule="exact"/>
        <w:rPr>
          <w:sz w:val="20"/>
          <w:szCs w:val="20"/>
          <w:color w:val="auto"/>
        </w:rPr>
      </w:pPr>
    </w:p>
    <w:p>
      <w:pPr>
        <w:ind w:left="720" w:right="9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Quarter </w:t>
      </w:r>
      <w:r>
        <w:rPr>
          <w:rFonts w:ascii="Times New Roman" w:cs="Times New Roman" w:eastAsia="Times New Roman" w:hAnsi="Times New Roman"/>
          <w:sz w:val="20"/>
          <w:szCs w:val="20"/>
          <w:color w:val="auto"/>
        </w:rPr>
        <w:t>means each three month period ending on 31 March, 30 June, 30 September and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in each year.</w:t>
      </w:r>
    </w:p>
    <w:p>
      <w:pPr>
        <w:spacing w:after="0" w:line="165" w:lineRule="exact"/>
        <w:rPr>
          <w:sz w:val="20"/>
          <w:szCs w:val="20"/>
          <w:color w:val="auto"/>
        </w:rPr>
      </w:pPr>
    </w:p>
    <w:p>
      <w:pPr>
        <w:ind w:left="720" w:right="1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Reading Entertainment Australia Group </w:t>
      </w:r>
      <w:r>
        <w:rPr>
          <w:rFonts w:ascii="Times New Roman" w:cs="Times New Roman" w:eastAsia="Times New Roman" w:hAnsi="Times New Roman"/>
          <w:sz w:val="20"/>
          <w:szCs w:val="20"/>
          <w:color w:val="auto"/>
        </w:rPr>
        <w:t>means, at any time, the Borrower and any subsidiary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and </w:t>
      </w:r>
      <w:r>
        <w:rPr>
          <w:rFonts w:ascii="Times New Roman" w:cs="Times New Roman" w:eastAsia="Times New Roman" w:hAnsi="Times New Roman"/>
          <w:sz w:val="20"/>
          <w:szCs w:val="20"/>
          <w:b w:val="1"/>
          <w:bCs w:val="1"/>
          <w:color w:val="auto"/>
        </w:rPr>
        <w:t>Reading Entertainment Australia Group Member</w:t>
      </w:r>
      <w:r>
        <w:rPr>
          <w:rFonts w:ascii="Times New Roman" w:cs="Times New Roman" w:eastAsia="Times New Roman" w:hAnsi="Times New Roman"/>
          <w:sz w:val="20"/>
          <w:szCs w:val="20"/>
          <w:color w:val="auto"/>
        </w:rPr>
        <w:t xml:space="preserve"> means any one of them.</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Release Date </w:t>
      </w:r>
      <w:r>
        <w:rPr>
          <w:rFonts w:ascii="Times New Roman" w:cs="Times New Roman" w:eastAsia="Times New Roman" w:hAnsi="Times New Roman"/>
          <w:sz w:val="20"/>
          <w:szCs w:val="20"/>
          <w:color w:val="auto"/>
        </w:rPr>
        <w:t>means the Business Day following the later of:</w:t>
      </w:r>
    </w:p>
    <w:p>
      <w:pPr>
        <w:spacing w:after="0" w:line="25" w:lineRule="exact"/>
        <w:rPr>
          <w:sz w:val="20"/>
          <w:szCs w:val="20"/>
          <w:color w:val="auto"/>
        </w:rPr>
      </w:pPr>
    </w:p>
    <w:p>
      <w:pPr>
        <w:ind w:left="1400" w:hanging="676"/>
        <w:spacing w:after="0"/>
        <w:tabs>
          <w:tab w:leader="none" w:pos="14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latest of the Expiry Dates of all Current Bank Guarantees; and</w:t>
      </w:r>
    </w:p>
    <w:p>
      <w:pPr>
        <w:ind w:left="1380" w:right="139" w:hanging="656"/>
        <w:spacing w:after="0" w:line="241" w:lineRule="auto"/>
        <w:tabs>
          <w:tab w:leader="none" w:pos="142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w:t>
      </w:r>
    </w:p>
    <w:p>
      <w:pPr>
        <w:spacing w:after="0" w:line="196" w:lineRule="exact"/>
        <w:rPr>
          <w:sz w:val="20"/>
          <w:szCs w:val="20"/>
          <w:color w:val="auto"/>
        </w:rPr>
      </w:pPr>
    </w:p>
    <w:p>
      <w:pPr>
        <w:ind w:left="720" w:right="2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Relevant Date </w:t>
      </w:r>
      <w:r>
        <w:rPr>
          <w:rFonts w:ascii="Times New Roman" w:cs="Times New Roman" w:eastAsia="Times New Roman" w:hAnsi="Times New Roman"/>
          <w:sz w:val="20"/>
          <w:szCs w:val="20"/>
          <w:color w:val="auto"/>
        </w:rPr>
        <w:t>means the date on which the Bank receives the Interim Compliance Certificate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Quarter ending on 31 December 2021 in accordance with </w:t>
      </w:r>
      <w:r>
        <w:rPr>
          <w:rFonts w:ascii="Times New Roman" w:cs="Times New Roman" w:eastAsia="Times New Roman" w:hAnsi="Times New Roman"/>
          <w:sz w:val="20"/>
          <w:szCs w:val="20"/>
          <w:b w:val="1"/>
          <w:bCs w:val="1"/>
          <w:color w:val="auto"/>
        </w:rPr>
        <w:t>clause 9.5(c).</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Relevant Jurisdictio</w:t>
      </w:r>
      <w:r>
        <w:rPr>
          <w:rFonts w:ascii="Times New Roman" w:cs="Times New Roman" w:eastAsia="Times New Roman" w:hAnsi="Times New Roman"/>
          <w:sz w:val="20"/>
          <w:szCs w:val="20"/>
          <w:color w:val="auto"/>
        </w:rPr>
        <w:t>n means Victoria.</w:t>
      </w:r>
    </w:p>
    <w:p>
      <w:pPr>
        <w:spacing w:after="0" w:line="229" w:lineRule="exact"/>
        <w:rPr>
          <w:sz w:val="20"/>
          <w:szCs w:val="20"/>
          <w:color w:val="auto"/>
        </w:rPr>
      </w:pPr>
    </w:p>
    <w:p>
      <w:pPr>
        <w:ind w:left="720" w:right="7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Relevant Period </w:t>
      </w:r>
      <w:r>
        <w:rPr>
          <w:rFonts w:ascii="Times New Roman" w:cs="Times New Roman" w:eastAsia="Times New Roman" w:hAnsi="Times New Roman"/>
          <w:sz w:val="20"/>
          <w:szCs w:val="20"/>
          <w:color w:val="auto"/>
        </w:rPr>
        <w:t>means the period from (and including) 31 August 2020 to (and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Relevant Date.</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Remaining Proceeds </w:t>
      </w:r>
      <w:r>
        <w:rPr>
          <w:rFonts w:ascii="Times New Roman" w:cs="Times New Roman" w:eastAsia="Times New Roman" w:hAnsi="Times New Roman"/>
          <w:sz w:val="20"/>
          <w:szCs w:val="20"/>
          <w:color w:val="auto"/>
        </w:rPr>
        <w:t>means the Net Sale Proceeds less:</w:t>
      </w:r>
    </w:p>
    <w:p>
      <w:pPr>
        <w:spacing w:after="0" w:line="26" w:lineRule="exact"/>
        <w:rPr>
          <w:sz w:val="20"/>
          <w:szCs w:val="20"/>
          <w:color w:val="auto"/>
        </w:rPr>
      </w:pPr>
    </w:p>
    <w:p>
      <w:pPr>
        <w:ind w:left="1380" w:right="459" w:hanging="656"/>
        <w:spacing w:after="0" w:line="239" w:lineRule="auto"/>
        <w:tabs>
          <w:tab w:leader="none" w:pos="141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$20,000,000, being the prepayment amount made by the Borrower in accordance to clause 5.4(b); and</w:t>
      </w:r>
    </w:p>
    <w:p>
      <w:pPr>
        <w:ind w:left="1520" w:hanging="796"/>
        <w:spacing w:after="0"/>
        <w:tabs>
          <w:tab w:leader="none" w:pos="152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$15,000,000 and any other amounts retained by the Borrower in accordance with clause 9.13.</w:t>
      </w:r>
    </w:p>
    <w:p>
      <w:pPr>
        <w:spacing w:after="0" w:line="215" w:lineRule="exact"/>
        <w:rPr>
          <w:sz w:val="20"/>
          <w:szCs w:val="20"/>
          <w:color w:val="auto"/>
        </w:rPr>
      </w:pPr>
    </w:p>
    <w:p>
      <w:pPr>
        <w:ind w:left="720" w:right="53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Receiver means </w:t>
      </w:r>
      <w:r>
        <w:rPr>
          <w:rFonts w:ascii="Times New Roman" w:cs="Times New Roman" w:eastAsia="Times New Roman" w:hAnsi="Times New Roman"/>
          <w:sz w:val="19"/>
          <w:szCs w:val="19"/>
          <w:color w:val="auto"/>
        </w:rPr>
        <w:t>a receiver or receiver and manager appointed by the Bank under any Transaction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 and any person who derives a right directly or indirectly from a Receiver.</w:t>
      </w:r>
    </w:p>
    <w:p>
      <w:pPr>
        <w:spacing w:after="0" w:line="142" w:lineRule="exact"/>
        <w:rPr>
          <w:sz w:val="20"/>
          <w:szCs w:val="20"/>
          <w:color w:val="auto"/>
        </w:rPr>
      </w:pPr>
    </w:p>
    <w:p>
      <w:pPr>
        <w:ind w:left="720" w:right="15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Reference Banks </w:t>
      </w:r>
      <w:r>
        <w:rPr>
          <w:rFonts w:ascii="Times New Roman" w:cs="Times New Roman" w:eastAsia="Times New Roman" w:hAnsi="Times New Roman"/>
          <w:sz w:val="20"/>
          <w:szCs w:val="20"/>
          <w:color w:val="auto"/>
        </w:rPr>
        <w:t>means each of Australia and New Zealand Banking Group Limited, Commonwealth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of Australia and Westpac Banking Corporation, or any other banks or financial institutions determined by the Bank from time to time following consultation with the Borrower.</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Regulatory Event </w:t>
      </w:r>
      <w:r>
        <w:rPr>
          <w:rFonts w:ascii="Times New Roman" w:cs="Times New Roman" w:eastAsia="Times New Roman" w:hAnsi="Times New Roman"/>
          <w:sz w:val="20"/>
          <w:szCs w:val="20"/>
          <w:color w:val="auto"/>
        </w:rPr>
        <w:t>means any:</w:t>
      </w:r>
    </w:p>
    <w:p>
      <w:pPr>
        <w:spacing w:after="0" w:line="25" w:lineRule="exact"/>
        <w:rPr>
          <w:sz w:val="20"/>
          <w:szCs w:val="20"/>
          <w:color w:val="auto"/>
        </w:rPr>
      </w:pPr>
    </w:p>
    <w:p>
      <w:pPr>
        <w:ind w:left="1400" w:hanging="676"/>
        <w:spacing w:after="0"/>
        <w:tabs>
          <w:tab w:leader="none" w:pos="14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or introduction of a new, law or other form of regulation;</w:t>
      </w:r>
    </w:p>
    <w:p>
      <w:pPr>
        <w:ind w:left="1420" w:hanging="696"/>
        <w:spacing w:after="0"/>
        <w:tabs>
          <w:tab w:leader="none" w:pos="14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or introduction of a new, practice or policy of an Government Body;</w:t>
      </w:r>
    </w:p>
    <w:p>
      <w:pPr>
        <w:ind w:left="1380" w:right="839" w:hanging="656"/>
        <w:spacing w:after="0" w:line="239" w:lineRule="auto"/>
        <w:tabs>
          <w:tab w:leader="none" w:pos="141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 into a Transaction Party or any related entity of a Transaction Party by a Government Body;</w:t>
      </w:r>
    </w:p>
    <w:p>
      <w:pPr>
        <w:ind w:left="1380" w:right="379" w:hanging="656"/>
        <w:spacing w:after="0" w:line="239" w:lineRule="auto"/>
        <w:tabs>
          <w:tab w:leader="none" w:pos="142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application for or grant of an injunction or order in respect of any Encumbrance, Facility or account held with the Bank made by a Government Body, or</w:t>
      </w:r>
    </w:p>
    <w:p>
      <w:pPr>
        <w:ind w:left="1380" w:right="199" w:hanging="656"/>
        <w:spacing w:after="0" w:line="246" w:lineRule="auto"/>
        <w:tabs>
          <w:tab w:leader="none" w:pos="141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or introduction of a new, code of practice or custom relating to the provision of the Services which a reasonable and prudent banker would comply with,</w:t>
      </w:r>
    </w:p>
    <w:p>
      <w:pPr>
        <w:spacing w:after="0" w:line="195" w:lineRule="exact"/>
        <w:rPr>
          <w:sz w:val="20"/>
          <w:szCs w:val="20"/>
          <w:color w:val="auto"/>
        </w:rPr>
      </w:pPr>
    </w:p>
    <w:p>
      <w:pPr>
        <w:ind w:left="720" w:right="659"/>
        <w:spacing w:after="0" w:line="269" w:lineRule="auto"/>
        <w:rPr>
          <w:sz w:val="20"/>
          <w:szCs w:val="20"/>
          <w:color w:val="auto"/>
        </w:rPr>
      </w:pPr>
      <w:r>
        <w:rPr>
          <w:rFonts w:ascii="Times New Roman" w:cs="Times New Roman" w:eastAsia="Times New Roman" w:hAnsi="Times New Roman"/>
          <w:sz w:val="20"/>
          <w:szCs w:val="20"/>
          <w:color w:val="auto"/>
        </w:rPr>
        <w:t>whether in Australia or elsewhere, that, in the Bank’s good faith opinion, applies in any way to a Transaction Party, or the Service.</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Representative </w:t>
      </w:r>
      <w:r>
        <w:rPr>
          <w:rFonts w:ascii="Times New Roman" w:cs="Times New Roman" w:eastAsia="Times New Roman" w:hAnsi="Times New Roman"/>
          <w:sz w:val="20"/>
          <w:szCs w:val="20"/>
          <w:color w:val="auto"/>
        </w:rPr>
        <w:t>of a person means an officer, employee, contractor or agent of that person.</w:t>
      </w:r>
    </w:p>
    <w:p>
      <w:pPr>
        <w:spacing w:after="0" w:line="229" w:lineRule="exact"/>
        <w:rPr>
          <w:sz w:val="20"/>
          <w:szCs w:val="20"/>
          <w:color w:val="auto"/>
        </w:rPr>
      </w:pPr>
    </w:p>
    <w:p>
      <w:pPr>
        <w:ind w:left="720" w:right="25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Reset Margin </w:t>
      </w:r>
      <w:r>
        <w:rPr>
          <w:rFonts w:ascii="Times New Roman" w:cs="Times New Roman" w:eastAsia="Times New Roman" w:hAnsi="Times New Roman"/>
          <w:sz w:val="19"/>
          <w:szCs w:val="19"/>
          <w:color w:val="auto"/>
        </w:rPr>
        <w:t>means the reset margin (if any) applicable if a Pricing Period is, or becomes, shorter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than three months, as determined in accordance with </w:t>
      </w:r>
      <w:r>
        <w:rPr>
          <w:rFonts w:ascii="Times New Roman" w:cs="Times New Roman" w:eastAsia="Times New Roman" w:hAnsi="Times New Roman"/>
          <w:sz w:val="19"/>
          <w:szCs w:val="19"/>
          <w:b w:val="1"/>
          <w:bCs w:val="1"/>
          <w:color w:val="auto"/>
        </w:rPr>
        <w:t>clause 6.6</w:t>
      </w:r>
      <w:r>
        <w:rPr>
          <w:rFonts w:ascii="Times New Roman" w:cs="Times New Roman" w:eastAsia="Times New Roman" w:hAnsi="Times New Roman"/>
          <w:sz w:val="19"/>
          <w:szCs w:val="19"/>
          <w:color w:val="auto"/>
        </w:rPr>
        <w:t>. It is 0.02% per annum (indicatively).</w:t>
      </w:r>
    </w:p>
    <w:p>
      <w:pPr>
        <w:sectPr>
          <w:pgSz w:w="11900" w:h="16924" w:orient="portrait"/>
          <w:cols w:equalWidth="0" w:num="1">
            <w:col w:w="9019"/>
          </w:cols>
          <w:pgMar w:left="1440" w:top="118" w:right="1440" w:bottom="0" w:gutter="0" w:footer="0" w:header="0"/>
        </w:sectPr>
      </w:pPr>
    </w:p>
    <w:bookmarkStart w:id="65" w:name="page66"/>
    <w:bookmarkEnd w:id="65"/>
    <w:p>
      <w:pPr>
        <w:ind w:left="720" w:right="5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Restatement Deed </w:t>
      </w:r>
      <w:r>
        <w:rPr>
          <w:rFonts w:ascii="Times New Roman" w:cs="Times New Roman" w:eastAsia="Times New Roman" w:hAnsi="Times New Roman"/>
          <w:sz w:val="20"/>
          <w:szCs w:val="20"/>
          <w:color w:val="auto"/>
        </w:rPr>
        <w:t>means the document entitled ‘Restatement Deed’ executed in December 2015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Bank and the Transaction Parties.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Review Event </w:t>
      </w:r>
      <w:r>
        <w:rPr>
          <w:rFonts w:ascii="Times New Roman" w:cs="Times New Roman" w:eastAsia="Times New Roman" w:hAnsi="Times New Roman"/>
          <w:sz w:val="20"/>
          <w:szCs w:val="20"/>
          <w:color w:val="auto"/>
        </w:rPr>
        <w:t>means any event or circumstance described in clause 10.4.</w:t>
      </w:r>
    </w:p>
    <w:p>
      <w:pPr>
        <w:spacing w:after="0" w:line="229" w:lineRule="exact"/>
        <w:rPr>
          <w:sz w:val="20"/>
          <w:szCs w:val="20"/>
          <w:color w:val="auto"/>
        </w:rPr>
      </w:pPr>
    </w:p>
    <w:p>
      <w:pPr>
        <w:ind w:left="720" w:right="3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Revolving Tranche </w:t>
      </w:r>
      <w:r>
        <w:rPr>
          <w:rFonts w:ascii="Times New Roman" w:cs="Times New Roman" w:eastAsia="Times New Roman" w:hAnsi="Times New Roman"/>
          <w:sz w:val="20"/>
          <w:szCs w:val="20"/>
          <w:color w:val="auto"/>
        </w:rPr>
        <w:t>means at any time, the aggregate of the unpaid Advances outstanding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Markets Loan Facility at that time less the Term Tranche at that time.</w:t>
      </w:r>
    </w:p>
    <w:p>
      <w:pPr>
        <w:spacing w:after="0" w:line="165" w:lineRule="exact"/>
        <w:rPr>
          <w:sz w:val="20"/>
          <w:szCs w:val="20"/>
          <w:color w:val="auto"/>
        </w:rPr>
      </w:pPr>
    </w:p>
    <w:p>
      <w:pPr>
        <w:ind w:left="720" w:right="3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Secured Property </w:t>
      </w:r>
      <w:r>
        <w:rPr>
          <w:rFonts w:ascii="Times New Roman" w:cs="Times New Roman" w:eastAsia="Times New Roman" w:hAnsi="Times New Roman"/>
          <w:sz w:val="20"/>
          <w:szCs w:val="20"/>
          <w:color w:val="auto"/>
        </w:rPr>
        <w:t>means all property which, from time to time, is subject to a Security which 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of the Collateral Security.</w:t>
      </w:r>
    </w:p>
    <w:p>
      <w:pPr>
        <w:spacing w:after="0" w:line="165" w:lineRule="exact"/>
        <w:rPr>
          <w:sz w:val="20"/>
          <w:szCs w:val="20"/>
          <w:color w:val="auto"/>
        </w:rPr>
      </w:pPr>
    </w:p>
    <w:p>
      <w:pPr>
        <w:ind w:left="720" w:right="13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Security </w:t>
      </w:r>
      <w:r>
        <w:rPr>
          <w:rFonts w:ascii="Times New Roman" w:cs="Times New Roman" w:eastAsia="Times New Roman" w:hAnsi="Times New Roman"/>
          <w:sz w:val="20"/>
          <w:szCs w:val="20"/>
          <w:color w:val="auto"/>
        </w:rPr>
        <w:t>means any document or transaction which reserves or creates a Security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Security Interest means any interest or right which secures the payment of a debt or other monetary obligation or the compliance with any other obligation. It includes any retention of title to any property and any right to set off or withhold payment of any deposit or other money.</w:t>
      </w:r>
    </w:p>
    <w:p>
      <w:pPr>
        <w:spacing w:after="0" w:line="189" w:lineRule="exact"/>
        <w:rPr>
          <w:sz w:val="20"/>
          <w:szCs w:val="20"/>
          <w:color w:val="auto"/>
        </w:rPr>
      </w:pPr>
    </w:p>
    <w:p>
      <w:pPr>
        <w:ind w:left="720" w:right="6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Security Provider </w:t>
      </w:r>
      <w:r>
        <w:rPr>
          <w:rFonts w:ascii="Times New Roman" w:cs="Times New Roman" w:eastAsia="Times New Roman" w:hAnsi="Times New Roman"/>
          <w:sz w:val="20"/>
          <w:szCs w:val="20"/>
          <w:color w:val="auto"/>
        </w:rPr>
        <w:t>means each person who gives a Collateral Security (other than a related body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of the Bank).</w:t>
      </w:r>
    </w:p>
    <w:p>
      <w:pPr>
        <w:spacing w:after="0" w:line="165" w:lineRule="exact"/>
        <w:rPr>
          <w:sz w:val="20"/>
          <w:szCs w:val="20"/>
          <w:color w:val="auto"/>
        </w:rPr>
      </w:pPr>
    </w:p>
    <w:p>
      <w:pPr>
        <w:ind w:left="720" w:right="8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Service </w:t>
      </w:r>
      <w:r>
        <w:rPr>
          <w:rFonts w:ascii="Times New Roman" w:cs="Times New Roman" w:eastAsia="Times New Roman" w:hAnsi="Times New Roman"/>
          <w:sz w:val="20"/>
          <w:szCs w:val="20"/>
          <w:color w:val="auto"/>
        </w:rPr>
        <w:t>means any service the Bank provides to the Borrower under or in relation to a Facility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making or processing any payment or issuing any document.</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Subordinated Debt </w:t>
      </w:r>
      <w:r>
        <w:rPr>
          <w:rFonts w:ascii="Times New Roman" w:cs="Times New Roman" w:eastAsia="Times New Roman" w:hAnsi="Times New Roman"/>
          <w:sz w:val="20"/>
          <w:szCs w:val="20"/>
          <w:color w:val="auto"/>
        </w:rPr>
        <w:t>means:</w:t>
      </w:r>
    </w:p>
    <w:p>
      <w:pPr>
        <w:spacing w:after="0" w:line="233" w:lineRule="exact"/>
        <w:rPr>
          <w:sz w:val="20"/>
          <w:szCs w:val="20"/>
          <w:color w:val="auto"/>
        </w:rPr>
      </w:pPr>
    </w:p>
    <w:p>
      <w:pPr>
        <w:ind w:left="1380" w:right="139" w:hanging="656"/>
        <w:spacing w:after="0" w:line="247" w:lineRule="auto"/>
        <w:tabs>
          <w:tab w:leader="none" w:pos="141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Indebtedness that is or may become owing by the Borrower to Reading International Cinemas, LLC, that is fully subordinated on the terms set out in the Parent Subordination Agreement; and</w:t>
      </w:r>
    </w:p>
    <w:p>
      <w:pPr>
        <w:ind w:left="1380" w:right="539" w:hanging="656"/>
        <w:spacing w:after="0" w:line="241" w:lineRule="auto"/>
        <w:tabs>
          <w:tab w:leader="none" w:pos="142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Indebtedness that is or may become owing by a Transaction Party to Reading International Inc (or any subsidiary or affiliate of Reading International Inc) that is fully subordinated on substantially the same terms (except for the name and other details of the subordinated lender) as those set out in the Parent Subordination Agreement.</w:t>
      </w:r>
    </w:p>
    <w:p>
      <w:pPr>
        <w:spacing w:after="0" w:line="198" w:lineRule="exact"/>
        <w:rPr>
          <w:sz w:val="20"/>
          <w:szCs w:val="20"/>
          <w:color w:val="auto"/>
        </w:rPr>
      </w:pPr>
    </w:p>
    <w:p>
      <w:pPr>
        <w:ind w:left="720" w:right="13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Tax </w:t>
      </w:r>
      <w:r>
        <w:rPr>
          <w:rFonts w:ascii="Times New Roman" w:cs="Times New Roman" w:eastAsia="Times New Roman" w:hAnsi="Times New Roman"/>
          <w:sz w:val="20"/>
          <w:szCs w:val="20"/>
          <w:color w:val="auto"/>
        </w:rPr>
        <w:t>means a tax (including any tax in the nature of a goods and services tax), rate, levy, impost or duty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a tax on the net overall income of the Bank) and any interest, penalty, fine or expense relating to any of them.</w:t>
      </w:r>
    </w:p>
    <w:p>
      <w:pPr>
        <w:spacing w:after="0" w:line="182" w:lineRule="exact"/>
        <w:rPr>
          <w:sz w:val="20"/>
          <w:szCs w:val="20"/>
          <w:color w:val="auto"/>
        </w:rPr>
      </w:pPr>
    </w:p>
    <w:p>
      <w:pPr>
        <w:jc w:val="both"/>
        <w:ind w:left="720" w:right="31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Term Tranche </w:t>
      </w:r>
      <w:r>
        <w:rPr>
          <w:rFonts w:ascii="Times New Roman" w:cs="Times New Roman" w:eastAsia="Times New Roman" w:hAnsi="Times New Roman"/>
          <w:sz w:val="20"/>
          <w:szCs w:val="20"/>
          <w:color w:val="auto"/>
        </w:rPr>
        <w:t>means the first $43,000,000 of the unpaid Advances outstanding under the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Markets Loan Facility on the ‘Amendment Date’ as defined in the Amendment Deed, as that amount may be reduced from time to time in accordance with </w:t>
      </w:r>
      <w:r>
        <w:rPr>
          <w:rFonts w:ascii="Times New Roman" w:cs="Times New Roman" w:eastAsia="Times New Roman" w:hAnsi="Times New Roman"/>
          <w:sz w:val="20"/>
          <w:szCs w:val="20"/>
          <w:b w:val="1"/>
          <w:bCs w:val="1"/>
          <w:color w:val="auto"/>
        </w:rPr>
        <w:t>clause 5.6.</w:t>
      </w:r>
    </w:p>
    <w:p>
      <w:pPr>
        <w:spacing w:after="0" w:line="182" w:lineRule="exact"/>
        <w:rPr>
          <w:sz w:val="20"/>
          <w:szCs w:val="20"/>
          <w:color w:val="auto"/>
        </w:rPr>
      </w:pPr>
    </w:p>
    <w:p>
      <w:pPr>
        <w:ind w:left="720" w:right="3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Termination Date </w:t>
      </w:r>
      <w:r>
        <w:rPr>
          <w:rFonts w:ascii="Times New Roman" w:cs="Times New Roman" w:eastAsia="Times New Roman" w:hAnsi="Times New Roman"/>
          <w:sz w:val="20"/>
          <w:szCs w:val="20"/>
          <w:color w:val="auto"/>
        </w:rPr>
        <w:t>means, in respect of each Facility, the Termination Date set out in</w:t>
      </w:r>
      <w:r>
        <w:rPr>
          <w:rFonts w:ascii="Times New Roman" w:cs="Times New Roman" w:eastAsia="Times New Roman" w:hAnsi="Times New Roman"/>
          <w:sz w:val="20"/>
          <w:szCs w:val="20"/>
          <w:b w:val="1"/>
          <w:bCs w:val="1"/>
          <w:color w:val="auto"/>
        </w:rPr>
        <w:t xml:space="preserve"> schedule 2</w:t>
      </w:r>
      <w:r>
        <w:rPr>
          <w:rFonts w:ascii="Times New Roman" w:cs="Times New Roman" w:eastAsia="Times New Roman" w:hAnsi="Times New Roman"/>
          <w:sz w:val="20"/>
          <w:szCs w:val="20"/>
          <w:color w:val="auto"/>
        </w:rPr>
        <w: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other date agreed in writing by the parties.</w:t>
      </w:r>
    </w:p>
    <w:p>
      <w:pPr>
        <w:spacing w:after="0" w:line="165" w:lineRule="exact"/>
        <w:rPr>
          <w:sz w:val="20"/>
          <w:szCs w:val="20"/>
          <w:color w:val="auto"/>
        </w:rPr>
      </w:pPr>
    </w:p>
    <w:p>
      <w:pPr>
        <w:ind w:left="720" w:right="7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Total Gross Debt </w:t>
      </w:r>
      <w:r>
        <w:rPr>
          <w:rFonts w:ascii="Times New Roman" w:cs="Times New Roman" w:eastAsia="Times New Roman" w:hAnsi="Times New Roman"/>
          <w:sz w:val="20"/>
          <w:szCs w:val="20"/>
          <w:color w:val="auto"/>
        </w:rPr>
        <w:t>means, on any date, all Financial Indebtedness of the Reading Entertainment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Australia Group, but excluding any Excluded Financial Indebtedness.</w:t>
      </w:r>
    </w:p>
    <w:p>
      <w:pPr>
        <w:spacing w:after="0" w:line="165" w:lineRule="exact"/>
        <w:rPr>
          <w:sz w:val="20"/>
          <w:szCs w:val="20"/>
          <w:color w:val="auto"/>
        </w:rPr>
      </w:pPr>
    </w:p>
    <w:p>
      <w:pPr>
        <w:ind w:left="720" w:right="77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Total Lease Payments </w:t>
      </w:r>
      <w:r>
        <w:rPr>
          <w:rFonts w:ascii="Times New Roman" w:cs="Times New Roman" w:eastAsia="Times New Roman" w:hAnsi="Times New Roman"/>
          <w:sz w:val="20"/>
          <w:szCs w:val="20"/>
          <w:color w:val="auto"/>
        </w:rPr>
        <w:t>means the aggregate amount of all rental expenditure of the Reading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Entertainment Australia Group, other than rental expenditure payable to any Transaction Party, calculated in accordance with Accounting Standards, for that period.</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Transaction Documents </w:t>
      </w:r>
      <w:r>
        <w:rPr>
          <w:rFonts w:ascii="Times New Roman" w:cs="Times New Roman" w:eastAsia="Times New Roman" w:hAnsi="Times New Roman"/>
          <w:sz w:val="20"/>
          <w:szCs w:val="20"/>
          <w:color w:val="auto"/>
        </w:rPr>
        <w:t>means:</w:t>
      </w:r>
    </w:p>
    <w:p>
      <w:pPr>
        <w:spacing w:after="0" w:line="25" w:lineRule="exact"/>
        <w:rPr>
          <w:sz w:val="20"/>
          <w:szCs w:val="20"/>
          <w:color w:val="auto"/>
        </w:rPr>
      </w:pPr>
    </w:p>
    <w:p>
      <w:pPr>
        <w:ind w:left="1600" w:hanging="876"/>
        <w:spacing w:after="0"/>
        <w:tabs>
          <w:tab w:leader="none" w:pos="16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document;</w:t>
      </w:r>
    </w:p>
    <w:p>
      <w:pPr>
        <w:ind w:left="1420" w:hanging="696"/>
        <w:spacing w:after="0"/>
        <w:tabs>
          <w:tab w:leader="none" w:pos="1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used;</w:t>
      </w:r>
    </w:p>
    <w:p>
      <w:pPr>
        <w:ind w:left="1400" w:hanging="676"/>
        <w:spacing w:after="0"/>
        <w:tabs>
          <w:tab w:leader="none" w:pos="14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Accession Deed;</w:t>
      </w:r>
    </w:p>
    <w:p>
      <w:pPr>
        <w:ind w:left="1420" w:hanging="696"/>
        <w:spacing w:after="0"/>
        <w:tabs>
          <w:tab w:leader="none" w:pos="1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Security;</w:t>
      </w:r>
    </w:p>
    <w:p>
      <w:pPr>
        <w:ind w:left="1400" w:hanging="676"/>
        <w:spacing w:after="0"/>
        <w:tabs>
          <w:tab w:leader="none" w:pos="14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Subordination Agreement;</w:t>
      </w:r>
    </w:p>
    <w:p>
      <w:pPr>
        <w:ind w:left="1380" w:right="619" w:hanging="656"/>
        <w:spacing w:after="0" w:line="239" w:lineRule="auto"/>
        <w:tabs>
          <w:tab w:leader="none" w:pos="138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ISDA Master Agreement dated 17 June 2011 between the Bank and the Borrower, as amended from time to time;</w:t>
      </w:r>
    </w:p>
    <w:p>
      <w:pPr>
        <w:ind w:left="1380" w:right="519" w:hanging="656"/>
        <w:spacing w:after="0" w:line="239" w:lineRule="auto"/>
        <w:tabs>
          <w:tab w:leader="none" w:pos="142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deed of consent referred to in item 12 (Deed of consent) of </w:t>
      </w:r>
      <w:r>
        <w:rPr>
          <w:rFonts w:ascii="Times New Roman" w:cs="Times New Roman" w:eastAsia="Times New Roman" w:hAnsi="Times New Roman"/>
          <w:sz w:val="20"/>
          <w:szCs w:val="20"/>
          <w:b w:val="1"/>
          <w:bCs w:val="1"/>
          <w:color w:val="auto"/>
        </w:rPr>
        <w:t>schedule 3</w:t>
      </w:r>
      <w:r>
        <w:rPr>
          <w:rFonts w:ascii="Times New Roman" w:cs="Times New Roman" w:eastAsia="Times New Roman" w:hAnsi="Times New Roman"/>
          <w:sz w:val="20"/>
          <w:szCs w:val="20"/>
          <w:color w:val="auto"/>
        </w:rPr>
        <w:t xml:space="preserve"> upon it being executed by the relevant parties;</w:t>
      </w:r>
    </w:p>
    <w:p>
      <w:pPr>
        <w:ind w:left="1420" w:hanging="696"/>
        <w:spacing w:after="0"/>
        <w:tabs>
          <w:tab w:leader="none" w:pos="1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relating to the priority of any Security which is a Collateral Security;</w:t>
      </w:r>
    </w:p>
    <w:p>
      <w:pPr>
        <w:ind w:left="1360" w:hanging="636"/>
        <w:spacing w:after="0"/>
        <w:tabs>
          <w:tab w:leader="none" w:pos="1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Merchant Services Agreement;</w:t>
      </w:r>
    </w:p>
    <w:p>
      <w:pPr>
        <w:ind w:left="1360" w:hanging="636"/>
        <w:spacing w:after="0"/>
        <w:tabs>
          <w:tab w:leader="none" w:pos="13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 which the Borrower and the Bank agree is a Transaction Document for the</w:t>
      </w:r>
    </w:p>
    <w:p>
      <w:pPr>
        <w:ind w:left="1380" w:right="219" w:hanging="656"/>
        <w:spacing w:after="0" w:line="246" w:lineRule="auto"/>
        <w:tabs>
          <w:tab w:leader="none" w:pos="142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document entered into for the purpose of amending, novating, restating or replacing any of them.</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 xml:space="preserve">Transaction Parties </w:t>
      </w:r>
      <w:r>
        <w:rPr>
          <w:rFonts w:ascii="Times New Roman" w:cs="Times New Roman" w:eastAsia="Times New Roman" w:hAnsi="Times New Roman"/>
          <w:sz w:val="20"/>
          <w:szCs w:val="20"/>
          <w:color w:val="auto"/>
        </w:rPr>
        <w:t>means the Borrower and each Guarantor.</w:t>
      </w:r>
    </w:p>
    <w:p>
      <w:pPr>
        <w:spacing w:after="0" w:line="229" w:lineRule="exact"/>
        <w:rPr>
          <w:sz w:val="20"/>
          <w:szCs w:val="20"/>
          <w:color w:val="auto"/>
        </w:rPr>
      </w:pPr>
    </w:p>
    <w:p>
      <w:pPr>
        <w:ind w:left="720" w:right="67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Trust </w:t>
      </w:r>
      <w:r>
        <w:rPr>
          <w:rFonts w:ascii="Times New Roman" w:cs="Times New Roman" w:eastAsia="Times New Roman" w:hAnsi="Times New Roman"/>
          <w:sz w:val="20"/>
          <w:szCs w:val="20"/>
          <w:color w:val="auto"/>
        </w:rPr>
        <w:t>means, in relation to any Transaction Party that enters into a Transaction Document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as trustee of a trust, the relevant trust.</w:t>
      </w:r>
    </w:p>
    <w:p>
      <w:pPr>
        <w:sectPr>
          <w:pgSz w:w="11900" w:h="16838" w:orient="portrait"/>
          <w:cols w:equalWidth="0" w:num="1">
            <w:col w:w="9019"/>
          </w:cols>
          <w:pgMar w:left="1440" w:top="342" w:right="1440" w:bottom="0" w:gutter="0" w:footer="0" w:header="0"/>
        </w:sectPr>
      </w:pPr>
    </w:p>
    <w:bookmarkStart w:id="66" w:name="page67"/>
    <w:bookmarkEnd w:id="66"/>
    <w:p>
      <w:pPr>
        <w:ind w:left="720" w:right="77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Trust Deed </w:t>
      </w:r>
      <w:r>
        <w:rPr>
          <w:rFonts w:ascii="Times New Roman" w:cs="Times New Roman" w:eastAsia="Times New Roman" w:hAnsi="Times New Roman"/>
          <w:sz w:val="20"/>
          <w:szCs w:val="20"/>
          <w:color w:val="auto"/>
        </w:rPr>
        <w:t>means, in relation to a Trust, the trust deed or other document which establishes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evidences that Trust.</w:t>
      </w:r>
    </w:p>
    <w:p>
      <w:pPr>
        <w:spacing w:after="0" w:line="166" w:lineRule="exact"/>
        <w:rPr>
          <w:sz w:val="20"/>
          <w:szCs w:val="20"/>
          <w:color w:val="auto"/>
        </w:rPr>
      </w:pPr>
    </w:p>
    <w:p>
      <w:pPr>
        <w:ind w:left="720" w:right="339"/>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Trustee </w:t>
      </w:r>
      <w:r>
        <w:rPr>
          <w:rFonts w:ascii="Times New Roman" w:cs="Times New Roman" w:eastAsia="Times New Roman" w:hAnsi="Times New Roman"/>
          <w:sz w:val="20"/>
          <w:szCs w:val="20"/>
          <w:color w:val="auto"/>
        </w:rPr>
        <w:t>means a Transaction Party that enters into a Transaction Document acting as the trustee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w:t>
      </w:r>
    </w:p>
    <w:p>
      <w:pPr>
        <w:jc w:val="both"/>
        <w:ind w:left="720" w:right="11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Valuation </w:t>
      </w:r>
      <w:r>
        <w:rPr>
          <w:rFonts w:ascii="Times New Roman" w:cs="Times New Roman" w:eastAsia="Times New Roman" w:hAnsi="Times New Roman"/>
          <w:sz w:val="20"/>
          <w:szCs w:val="20"/>
          <w:color w:val="auto"/>
        </w:rPr>
        <w:t>means a valuation of the Freehold Properties or leasehold properties included in the Secured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addressed to the Bank, by an Approved Valuer in form and substance satisfactory to the Bank in all respects.</w:t>
      </w:r>
    </w:p>
    <w:p>
      <w:pPr>
        <w:spacing w:after="0" w:line="196" w:lineRule="exact"/>
        <w:rPr>
          <w:sz w:val="20"/>
          <w:szCs w:val="20"/>
          <w:color w:val="auto"/>
        </w:rPr>
      </w:pPr>
    </w:p>
    <w:p>
      <w:pPr>
        <w:ind w:left="720" w:right="205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Verification Certificate </w:t>
      </w:r>
      <w:r>
        <w:rPr>
          <w:rFonts w:ascii="Times New Roman" w:cs="Times New Roman" w:eastAsia="Times New Roman" w:hAnsi="Times New Roman"/>
          <w:sz w:val="20"/>
          <w:szCs w:val="20"/>
          <w:color w:val="auto"/>
        </w:rPr>
        <w:t>means a certificate in substantially the form set out in</w:t>
      </w:r>
      <w:r>
        <w:rPr>
          <w:rFonts w:ascii="Times New Roman" w:cs="Times New Roman" w:eastAsia="Times New Roman" w:hAnsi="Times New Roman"/>
          <w:sz w:val="20"/>
          <w:szCs w:val="20"/>
          <w:b w:val="1"/>
          <w:bCs w:val="1"/>
          <w:color w:val="auto"/>
        </w:rPr>
        <w:t xml:space="preserve"> schedule 6</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Unless expressed to the contrary, in this document:</w:t>
      </w:r>
    </w:p>
    <w:p>
      <w:pPr>
        <w:ind w:left="1400" w:hanging="676"/>
        <w:spacing w:after="0"/>
        <w:tabs>
          <w:tab w:leader="none" w:pos="14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vice versa;</w:t>
      </w:r>
    </w:p>
    <w:p>
      <w:pPr>
        <w:ind w:left="1420" w:hanging="696"/>
        <w:spacing w:after="0"/>
        <w:tabs>
          <w:tab w:leader="none" w:pos="14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gender includes the other genders;</w:t>
      </w:r>
    </w:p>
    <w:p>
      <w:pPr>
        <w:ind w:left="1400" w:hanging="676"/>
        <w:spacing w:after="0"/>
        <w:tabs>
          <w:tab w:leader="none" w:pos="14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word or phrase is defined its other grammatical forms have corresponding meanings;</w:t>
      </w:r>
    </w:p>
    <w:p>
      <w:pPr>
        <w:ind w:left="1420" w:hanging="696"/>
        <w:spacing w:after="0"/>
        <w:tabs>
          <w:tab w:leader="none" w:pos="14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means includes without limitation;</w:t>
      </w:r>
    </w:p>
    <w:p>
      <w:pPr>
        <w:ind w:left="1380" w:right="439" w:hanging="656"/>
        <w:spacing w:after="0" w:line="239" w:lineRule="auto"/>
        <w:tabs>
          <w:tab w:leader="none" w:pos="141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rule of construction will apply to a clause to the disadvantage of a party merely because that party put forward the clause or would otherwise benefit from it; and</w:t>
      </w:r>
    </w:p>
    <w:p>
      <w:pPr>
        <w:ind w:left="1380" w:hanging="656"/>
        <w:spacing w:after="0"/>
        <w:tabs>
          <w:tab w:leader="none" w:pos="13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w:t>
      </w:r>
    </w:p>
    <w:p>
      <w:pPr>
        <w:ind w:left="2020" w:right="219" w:hanging="648"/>
        <w:spacing w:after="0" w:line="239" w:lineRule="auto"/>
        <w:tabs>
          <w:tab w:leader="none" w:pos="201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includes a partnership, joint venture, unincorporated association, corporation and a government or statutory body or authority;</w:t>
      </w:r>
    </w:p>
    <w:p>
      <w:pPr>
        <w:ind w:left="2020" w:right="299" w:hanging="648"/>
        <w:spacing w:after="0" w:line="239" w:lineRule="auto"/>
        <w:tabs>
          <w:tab w:leader="none" w:pos="201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includes the person’s legal personal representatives, successors, assigns and persons substituted by novation;</w:t>
      </w:r>
    </w:p>
    <w:p>
      <w:pPr>
        <w:ind w:left="2020" w:right="359" w:hanging="648"/>
        <w:spacing w:after="0" w:line="239" w:lineRule="auto"/>
        <w:tabs>
          <w:tab w:leader="none" w:pos="202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legislation includes subordinate legislation under it and includes that legislation and subordinate legislation as modified or replaced;</w:t>
      </w:r>
    </w:p>
    <w:p>
      <w:pPr>
        <w:ind w:left="2020" w:right="559" w:hanging="648"/>
        <w:spacing w:after="0" w:line="239" w:lineRule="auto"/>
        <w:tabs>
          <w:tab w:leader="none" w:pos="206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obligation includes a representation or warranty and a reference to a failure to comply with an obligation includes a breach of representation or warranty;</w:t>
      </w:r>
    </w:p>
    <w:p>
      <w:pPr>
        <w:ind w:left="2060" w:hanging="688"/>
        <w:spacing w:after="0"/>
        <w:tabs>
          <w:tab w:leader="none" w:pos="20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right includes a benefit, remedy, discretion or power;</w:t>
      </w:r>
    </w:p>
    <w:p>
      <w:pPr>
        <w:ind w:left="2060" w:hanging="688"/>
        <w:spacing w:after="0"/>
        <w:tabs>
          <w:tab w:leader="none" w:pos="20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is to local time in Melbourne;</w:t>
      </w:r>
    </w:p>
    <w:p>
      <w:pPr>
        <w:ind w:left="2060" w:hanging="688"/>
        <w:spacing w:after="0"/>
        <w:tabs>
          <w:tab w:leader="none" w:pos="20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 “dollars” is a reference to Australian currency;</w:t>
      </w:r>
    </w:p>
    <w:p>
      <w:pPr>
        <w:ind w:left="2020" w:right="259" w:hanging="648"/>
        <w:spacing w:after="0" w:line="239" w:lineRule="auto"/>
        <w:tabs>
          <w:tab w:leader="none" w:pos="205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or any other document includes the document as novated, varied or replaced and despite any change in the identity of the parties;</w:t>
      </w:r>
    </w:p>
    <w:p>
      <w:pPr>
        <w:ind w:left="2020" w:right="639" w:hanging="648"/>
        <w:spacing w:after="0" w:line="239" w:lineRule="auto"/>
        <w:tabs>
          <w:tab w:leader="none" w:pos="206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writing includes any mode of representing or reproducing words in tangible and permanently visible form, and includes fax transmissions;</w:t>
      </w:r>
    </w:p>
    <w:p>
      <w:pPr>
        <w:jc w:val="both"/>
        <w:ind w:left="2020" w:right="419" w:hanging="648"/>
        <w:spacing w:after="0" w:line="252" w:lineRule="auto"/>
        <w:tabs>
          <w:tab w:leader="none" w:pos="2062"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thing (including any amount) is a reference to the whole or any part of it and a reference to a group of things or persons is a reference to any one or more of them;</w:t>
      </w:r>
    </w:p>
    <w:p>
      <w:pPr>
        <w:ind w:left="2060" w:hanging="688"/>
        <w:spacing w:after="0"/>
        <w:tabs>
          <w:tab w:leader="none" w:pos="20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document includes all schedules and annexures to it; and</w:t>
      </w:r>
    </w:p>
    <w:p>
      <w:pPr>
        <w:ind w:left="2020" w:right="219" w:hanging="648"/>
        <w:spacing w:after="0" w:line="246" w:lineRule="auto"/>
        <w:tabs>
          <w:tab w:leader="none" w:pos="206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clause, schedule or annexure is a reference to a clause, schedule or annexure, as the case may be, of this document.</w:t>
      </w:r>
    </w:p>
    <w:p>
      <w:pPr>
        <w:spacing w:after="0" w:line="18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Headings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Headings do not affect the interpretation of this document.</w:t>
      </w:r>
    </w:p>
    <w:p>
      <w:pPr>
        <w:spacing w:after="0" w:line="21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Corporations Act, GST and Accounting Standards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Unless expressed to the contrary:</w:t>
      </w:r>
    </w:p>
    <w:p>
      <w:pPr>
        <w:ind w:left="1380" w:right="119" w:hanging="656"/>
        <w:spacing w:after="0" w:line="239" w:lineRule="auto"/>
        <w:tabs>
          <w:tab w:leader="none" w:pos="141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 “controller”, “corporation”, “disclosing entity”, “holding company”, “marketable security”, “prospective liability”, “public company”, “related body corporate” and “subsidiary” each has the meaning which it is defined to have in the Corporations Act;</w:t>
      </w:r>
    </w:p>
    <w:p>
      <w:pPr>
        <w:spacing w:after="0" w:line="1" w:lineRule="exact"/>
        <w:rPr>
          <w:rFonts w:ascii="Times New Roman" w:cs="Times New Roman" w:eastAsia="Times New Roman" w:hAnsi="Times New Roman"/>
          <w:sz w:val="20"/>
          <w:szCs w:val="20"/>
          <w:color w:val="auto"/>
        </w:rPr>
      </w:pPr>
    </w:p>
    <w:p>
      <w:pPr>
        <w:ind w:left="1380" w:right="279" w:hanging="656"/>
        <w:spacing w:after="0" w:line="239" w:lineRule="auto"/>
        <w:tabs>
          <w:tab w:leader="none" w:pos="142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 event”, “consideration”, “GST”, “input tax credit”, “supply”, “taxable supply” and “tax invoice” each has the meaning which it is defined to have in the A New Tax System (Goods and Services Tax) Act 1999; and</w:t>
      </w:r>
    </w:p>
    <w:p>
      <w:pPr>
        <w:spacing w:after="0" w:line="1" w:lineRule="exact"/>
        <w:rPr>
          <w:rFonts w:ascii="Times New Roman" w:cs="Times New Roman" w:eastAsia="Times New Roman" w:hAnsi="Times New Roman"/>
          <w:sz w:val="20"/>
          <w:szCs w:val="20"/>
          <w:color w:val="auto"/>
        </w:rPr>
      </w:pPr>
    </w:p>
    <w:p>
      <w:pPr>
        <w:ind w:left="1380" w:right="619" w:hanging="656"/>
        <w:spacing w:after="0" w:line="239" w:lineRule="auto"/>
        <w:tabs>
          <w:tab w:leader="none" w:pos="141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entity”, “entity” and “finance lease” each has the meaning which it has in the Accounting Standards.</w:t>
      </w:r>
    </w:p>
    <w:p>
      <w:pPr>
        <w:ind w:left="1420" w:hanging="696"/>
        <w:spacing w:after="0"/>
        <w:tabs>
          <w:tab w:leader="none" w:pos="1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have the meanings given to them in the PPS Act.</w:t>
      </w:r>
    </w:p>
    <w:p>
      <w:pPr>
        <w:spacing w:after="0" w:line="198"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Subsisting Events of Default and Potential Events of Default</w:t>
      </w:r>
    </w:p>
    <w:p>
      <w:pPr>
        <w:spacing w:after="0" w:line="33" w:lineRule="exact"/>
        <w:rPr>
          <w:sz w:val="20"/>
          <w:szCs w:val="20"/>
          <w:color w:val="auto"/>
        </w:rPr>
      </w:pPr>
    </w:p>
    <w:p>
      <w:pPr>
        <w:ind w:left="1380" w:right="759" w:hanging="656"/>
        <w:spacing w:after="0" w:line="239" w:lineRule="auto"/>
        <w:tabs>
          <w:tab w:leader="none" w:pos="141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Event of Default subsists if it has occurred and has not been waived by the Bank in accordance with this document or remedied.</w:t>
      </w:r>
    </w:p>
    <w:p>
      <w:pPr>
        <w:spacing w:after="0" w:line="1" w:lineRule="exact"/>
        <w:rPr>
          <w:rFonts w:ascii="Times New Roman" w:cs="Times New Roman" w:eastAsia="Times New Roman" w:hAnsi="Times New Roman"/>
          <w:sz w:val="20"/>
          <w:szCs w:val="20"/>
          <w:color w:val="auto"/>
        </w:rPr>
      </w:pPr>
    </w:p>
    <w:p>
      <w:pPr>
        <w:ind w:left="1380" w:right="639" w:hanging="656"/>
        <w:spacing w:after="0" w:line="246" w:lineRule="auto"/>
        <w:tabs>
          <w:tab w:leader="none" w:pos="142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Potential Event of Default subsists if it exists and has not been waived by the Bank in accordance with this document or remedied.</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6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87"/>
              </w:rPr>
              <w:t>1.6</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Not used</w:t>
            </w:r>
          </w:p>
        </w:tc>
      </w:tr>
      <w:tr>
        <w:trPr>
          <w:trHeight w:val="286"/>
        </w:trPr>
        <w:tc>
          <w:tcPr>
            <w:tcW w:w="6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87"/>
              </w:rPr>
              <w:t>1.7</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5"/>
              </w:rPr>
              <w:t>Inconsistency</w:t>
            </w:r>
          </w:p>
        </w:tc>
      </w:tr>
    </w:tbl>
    <w:p>
      <w:pPr>
        <w:ind w:left="720" w:right="459"/>
        <w:spacing w:after="0" w:line="246" w:lineRule="auto"/>
        <w:rPr>
          <w:sz w:val="20"/>
          <w:szCs w:val="20"/>
          <w:color w:val="auto"/>
        </w:rPr>
      </w:pPr>
      <w:r>
        <w:rPr>
          <w:rFonts w:ascii="Times New Roman" w:cs="Times New Roman" w:eastAsia="Times New Roman" w:hAnsi="Times New Roman"/>
          <w:sz w:val="20"/>
          <w:szCs w:val="20"/>
          <w:color w:val="auto"/>
        </w:rPr>
        <w:t>If there is any inconsistency between this document and any other Transaction Document, then this document prevails to the extent of that inconsistency.</w:t>
      </w:r>
    </w:p>
    <w:p>
      <w:pPr>
        <w:sectPr>
          <w:pgSz w:w="11900" w:h="16838" w:orient="portrait"/>
          <w:cols w:equalWidth="0" w:num="1">
            <w:col w:w="9019"/>
          </w:cols>
          <w:pgMar w:left="1440" w:top="114" w:right="1440" w:bottom="49" w:gutter="0" w:footer="0" w:header="0"/>
        </w:sectPr>
      </w:pPr>
    </w:p>
    <w:p>
      <w:pPr>
        <w:spacing w:after="0" w:line="186" w:lineRule="exact"/>
        <w:rPr>
          <w:sz w:val="20"/>
          <w:szCs w:val="20"/>
          <w:color w:val="auto"/>
        </w:rPr>
      </w:pPr>
    </w:p>
    <w:p>
      <w:pPr>
        <w:ind w:left="860" w:hanging="784"/>
        <w:spacing w:after="0"/>
        <w:tabs>
          <w:tab w:leader="none" w:pos="860" w:val="left"/>
        </w:tabs>
        <w:numPr>
          <w:ilvl w:val="0"/>
          <w:numId w:val="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Consideration</w:t>
      </w:r>
    </w:p>
    <w:p>
      <w:pPr>
        <w:sectPr>
          <w:pgSz w:w="11900" w:h="16838" w:orient="portrait"/>
          <w:cols w:equalWidth="0" w:num="1">
            <w:col w:w="9019"/>
          </w:cols>
          <w:pgMar w:left="1440" w:top="114" w:right="1440" w:bottom="49" w:gutter="0" w:footer="0" w:header="0"/>
          <w:type w:val="continuous"/>
        </w:sectPr>
      </w:pPr>
    </w:p>
    <w:bookmarkStart w:id="67" w:name="page68"/>
    <w:bookmarkEnd w:id="67"/>
    <w:p>
      <w:pPr>
        <w:spacing w:after="0" w:line="46" w:lineRule="exact"/>
        <w:rPr>
          <w:sz w:val="20"/>
          <w:szCs w:val="20"/>
          <w:color w:val="auto"/>
        </w:rPr>
      </w:pPr>
    </w:p>
    <w:p>
      <w:pPr>
        <w:ind w:left="720" w:right="479"/>
        <w:spacing w:after="0" w:line="268" w:lineRule="auto"/>
        <w:rPr>
          <w:sz w:val="20"/>
          <w:szCs w:val="20"/>
          <w:color w:val="auto"/>
        </w:rPr>
      </w:pPr>
      <w:r>
        <w:rPr>
          <w:rFonts w:ascii="Times New Roman" w:cs="Times New Roman" w:eastAsia="Times New Roman" w:hAnsi="Times New Roman"/>
          <w:sz w:val="20"/>
          <w:szCs w:val="20"/>
          <w:color w:val="auto"/>
        </w:rPr>
        <w:t>The Borrower enters into this document in consideration of the Bank agreeing to make the Facility available in accordance with this document.</w:t>
      </w:r>
    </w:p>
    <w:p>
      <w:pPr>
        <w:spacing w:after="0" w:line="165" w:lineRule="exact"/>
        <w:rPr>
          <w:sz w:val="20"/>
          <w:szCs w:val="20"/>
          <w:color w:val="auto"/>
        </w:rPr>
      </w:pPr>
    </w:p>
    <w:p>
      <w:pPr>
        <w:ind w:left="860" w:hanging="784"/>
        <w:spacing w:after="0"/>
        <w:tabs>
          <w:tab w:leader="none" w:pos="860" w:val="left"/>
        </w:tabs>
        <w:numPr>
          <w:ilvl w:val="0"/>
          <w:numId w:val="88"/>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Conditions precedent</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Not used</w:t>
      </w:r>
    </w:p>
    <w:p>
      <w:pPr>
        <w:spacing w:after="0" w:line="9"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Conditions precedent to Advances and Drawings</w:t>
      </w:r>
    </w:p>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obligation of the Bank to make any Advances or Drawings is subject to the further conditions</w:t>
      </w:r>
    </w:p>
    <w:p>
      <w:pPr>
        <w:ind w:left="720"/>
        <w:spacing w:after="0"/>
        <w:rPr>
          <w:sz w:val="20"/>
          <w:szCs w:val="20"/>
          <w:color w:val="auto"/>
        </w:rPr>
      </w:pPr>
      <w:r>
        <w:rPr>
          <w:rFonts w:ascii="Times New Roman" w:cs="Times New Roman" w:eastAsia="Times New Roman" w:hAnsi="Times New Roman"/>
          <w:sz w:val="20"/>
          <w:szCs w:val="20"/>
          <w:color w:val="auto"/>
        </w:rPr>
        <w:t>precedent that the Bank is satisfied in its absolute discretion that:</w:t>
      </w:r>
    </w:p>
    <w:p>
      <w:pPr>
        <w:ind w:left="720"/>
        <w:spacing w:after="0"/>
        <w:tabs>
          <w:tab w:leader="none" w:pos="1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xml:space="preserve">the representations and warranties set out in </w:t>
      </w:r>
      <w:r>
        <w:rPr>
          <w:rFonts w:ascii="Times New Roman" w:cs="Times New Roman" w:eastAsia="Times New Roman" w:hAnsi="Times New Roman"/>
          <w:sz w:val="20"/>
          <w:szCs w:val="20"/>
          <w:b w:val="1"/>
          <w:bCs w:val="1"/>
          <w:color w:val="auto"/>
        </w:rPr>
        <w:t>clause 8.1</w:t>
      </w:r>
      <w:r>
        <w:rPr>
          <w:rFonts w:ascii="Times New Roman" w:cs="Times New Roman" w:eastAsia="Times New Roman" w:hAnsi="Times New Roman"/>
          <w:sz w:val="20"/>
          <w:szCs w:val="20"/>
          <w:color w:val="auto"/>
        </w:rPr>
        <w:t xml:space="preserve"> are correct and in all material respects</w:t>
      </w:r>
    </w:p>
    <w:p>
      <w:pPr>
        <w:ind w:left="1380"/>
        <w:spacing w:after="0"/>
        <w:rPr>
          <w:sz w:val="20"/>
          <w:szCs w:val="20"/>
          <w:color w:val="auto"/>
        </w:rPr>
      </w:pPr>
      <w:r>
        <w:rPr>
          <w:rFonts w:ascii="Times New Roman" w:cs="Times New Roman" w:eastAsia="Times New Roman" w:hAnsi="Times New Roman"/>
          <w:sz w:val="20"/>
          <w:szCs w:val="20"/>
          <w:color w:val="auto"/>
        </w:rPr>
        <w:t>not misleading in any material respect when the Funding Notice is given and on the Funding</w:t>
      </w:r>
    </w:p>
    <w:p>
      <w:pPr>
        <w:ind w:left="1380"/>
        <w:spacing w:after="0"/>
        <w:rPr>
          <w:sz w:val="20"/>
          <w:szCs w:val="20"/>
          <w:color w:val="auto"/>
        </w:rPr>
      </w:pPr>
      <w:r>
        <w:rPr>
          <w:rFonts w:ascii="Times New Roman" w:cs="Times New Roman" w:eastAsia="Times New Roman" w:hAnsi="Times New Roman"/>
          <w:sz w:val="20"/>
          <w:szCs w:val="20"/>
          <w:color w:val="auto"/>
        </w:rPr>
        <w:t>Date;</w:t>
      </w: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all fees and charges then due and payable in connection with the Facility have been paid</w:t>
      </w:r>
    </w:p>
    <w:p>
      <w:pPr>
        <w:ind w:left="1380"/>
        <w:spacing w:after="0"/>
        <w:rPr>
          <w:sz w:val="20"/>
          <w:szCs w:val="20"/>
          <w:color w:val="auto"/>
        </w:rPr>
      </w:pPr>
      <w:r>
        <w:rPr>
          <w:rFonts w:ascii="Times New Roman" w:cs="Times New Roman" w:eastAsia="Times New Roman" w:hAnsi="Times New Roman"/>
          <w:sz w:val="20"/>
          <w:szCs w:val="20"/>
          <w:color w:val="auto"/>
        </w:rPr>
        <w:t xml:space="preserve">(including the Restructure Fee set out in </w:t>
      </w:r>
      <w:r>
        <w:rPr>
          <w:rFonts w:ascii="Times New Roman" w:cs="Times New Roman" w:eastAsia="Times New Roman" w:hAnsi="Times New Roman"/>
          <w:sz w:val="20"/>
          <w:szCs w:val="20"/>
          <w:b w:val="1"/>
          <w:bCs w:val="1"/>
          <w:color w:val="auto"/>
        </w:rPr>
        <w:t>clause 9.1(a))</w:t>
      </w:r>
      <w:r>
        <w:rPr>
          <w:rFonts w:ascii="Times New Roman" w:cs="Times New Roman" w:eastAsia="Times New Roman" w:hAnsi="Times New Roman"/>
          <w:sz w:val="20"/>
          <w:szCs w:val="20"/>
          <w:color w:val="auto"/>
        </w:rPr>
        <w:t>; and</w:t>
      </w:r>
    </w:p>
    <w:p>
      <w:pPr>
        <w:ind w:left="720"/>
        <w:spacing w:after="0"/>
        <w:tabs>
          <w:tab w:leader="none" w:pos="138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no Event of Default or Potential Event of Default subsists when the Funding Notice is given</w:t>
      </w:r>
    </w:p>
    <w:p>
      <w:pPr>
        <w:ind w:left="1380"/>
        <w:spacing w:after="0"/>
        <w:rPr>
          <w:sz w:val="20"/>
          <w:szCs w:val="20"/>
          <w:color w:val="auto"/>
        </w:rPr>
      </w:pPr>
      <w:r>
        <w:rPr>
          <w:rFonts w:ascii="Times New Roman" w:cs="Times New Roman" w:eastAsia="Times New Roman" w:hAnsi="Times New Roman"/>
          <w:sz w:val="20"/>
          <w:szCs w:val="20"/>
          <w:color w:val="auto"/>
        </w:rPr>
        <w:t>and on the Funding Date.</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352"/>
        </w:trPr>
        <w:tc>
          <w:tcPr>
            <w:tcW w:w="520" w:type="dxa"/>
            <w:vAlign w:val="bottom"/>
          </w:tcPr>
          <w:p>
            <w:pPr>
              <w:spacing w:after="0"/>
              <w:rPr>
                <w:sz w:val="20"/>
                <w:szCs w:val="20"/>
                <w:color w:val="auto"/>
              </w:rPr>
            </w:pPr>
            <w:r>
              <w:rPr>
                <w:rFonts w:ascii="Times New Roman" w:cs="Times New Roman" w:eastAsia="Times New Roman" w:hAnsi="Times New Roman"/>
                <w:sz w:val="29"/>
                <w:szCs w:val="29"/>
                <w:color w:val="auto"/>
              </w:rPr>
              <w:t>4</w:t>
            </w:r>
          </w:p>
        </w:tc>
        <w:tc>
          <w:tcPr>
            <w:tcW w:w="1140" w:type="dxa"/>
            <w:vAlign w:val="bottom"/>
          </w:tcPr>
          <w:p>
            <w:pPr>
              <w:jc w:val="center"/>
              <w:ind w:left="134"/>
              <w:spacing w:after="0"/>
              <w:rPr>
                <w:sz w:val="20"/>
                <w:szCs w:val="20"/>
                <w:color w:val="auto"/>
              </w:rPr>
            </w:pPr>
            <w:r>
              <w:rPr>
                <w:rFonts w:ascii="Times New Roman" w:cs="Times New Roman" w:eastAsia="Times New Roman" w:hAnsi="Times New Roman"/>
                <w:sz w:val="29"/>
                <w:szCs w:val="29"/>
                <w:color w:val="auto"/>
                <w:w w:val="99"/>
              </w:rPr>
              <w:t>Facility</w:t>
            </w: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4.1</w:t>
            </w:r>
          </w:p>
        </w:tc>
        <w:tc>
          <w:tcPr>
            <w:tcW w:w="1140" w:type="dxa"/>
            <w:vAlign w:val="bottom"/>
          </w:tcPr>
          <w:p>
            <w:pPr>
              <w:jc w:val="center"/>
              <w:ind w:left="174"/>
              <w:spacing w:after="0"/>
              <w:rPr>
                <w:sz w:val="20"/>
                <w:szCs w:val="20"/>
                <w:color w:val="auto"/>
              </w:rPr>
            </w:pPr>
            <w:r>
              <w:rPr>
                <w:rFonts w:ascii="Times New Roman" w:cs="Times New Roman" w:eastAsia="Times New Roman" w:hAnsi="Times New Roman"/>
                <w:sz w:val="22"/>
                <w:szCs w:val="22"/>
                <w:b w:val="1"/>
                <w:bCs w:val="1"/>
                <w:color w:val="auto"/>
                <w:w w:val="96"/>
              </w:rPr>
              <w:t>Nature</w:t>
            </w:r>
          </w:p>
        </w:tc>
      </w:tr>
    </w:tbl>
    <w:p>
      <w:pPr>
        <w:ind w:left="1400" w:hanging="676"/>
        <w:spacing w:after="0"/>
        <w:tabs>
          <w:tab w:leader="none" w:pos="14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color w:val="auto"/>
        </w:rPr>
        <w:t>clauses 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10.2</w:t>
      </w:r>
      <w:r>
        <w:rPr>
          <w:rFonts w:ascii="Times New Roman" w:cs="Times New Roman" w:eastAsia="Times New Roman" w:hAnsi="Times New Roman"/>
          <w:sz w:val="20"/>
          <w:szCs w:val="20"/>
          <w:color w:val="auto"/>
        </w:rPr>
        <w:t>, the Bank will make available:</w:t>
      </w:r>
    </w:p>
    <w:p>
      <w:pPr>
        <w:spacing w:after="0" w:line="13" w:lineRule="exact"/>
        <w:rPr>
          <w:rFonts w:ascii="Times New Roman" w:cs="Times New Roman" w:eastAsia="Times New Roman" w:hAnsi="Times New Roman"/>
          <w:sz w:val="20"/>
          <w:szCs w:val="20"/>
          <w:color w:val="auto"/>
        </w:rPr>
      </w:pPr>
    </w:p>
    <w:p>
      <w:pPr>
        <w:ind w:left="2020" w:right="399" w:hanging="648"/>
        <w:spacing w:after="0" w:line="239" w:lineRule="auto"/>
        <w:tabs>
          <w:tab w:leader="none" w:pos="201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Corporate Markets Loan Facility under which it will make Advances; and</w:t>
      </w:r>
    </w:p>
    <w:p>
      <w:pPr>
        <w:ind w:left="2020" w:right="279" w:hanging="648"/>
        <w:spacing w:after="0" w:line="239" w:lineRule="auto"/>
        <w:tabs>
          <w:tab w:leader="none" w:pos="2019"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Guarantee Facility under which it will issue Bank Guarantees at the request of the Borrower,</w:t>
      </w:r>
    </w:p>
    <w:p>
      <w:pPr>
        <w:ind w:left="720"/>
        <w:spacing w:after="0"/>
        <w:rPr>
          <w:sz w:val="20"/>
          <w:szCs w:val="20"/>
          <w:color w:val="auto"/>
        </w:rPr>
      </w:pPr>
      <w:r>
        <w:rPr>
          <w:rFonts w:ascii="Times New Roman" w:cs="Times New Roman" w:eastAsia="Times New Roman" w:hAnsi="Times New Roman"/>
          <w:sz w:val="20"/>
          <w:szCs w:val="20"/>
          <w:color w:val="auto"/>
        </w:rPr>
        <w:t>in accordance with this document.</w:t>
      </w:r>
    </w:p>
    <w:p>
      <w:pPr>
        <w:ind w:left="1380" w:right="179" w:hanging="656"/>
        <w:spacing w:after="0" w:line="242" w:lineRule="auto"/>
        <w:tabs>
          <w:tab w:leader="none" w:pos="142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request one or more Advances and Drawings in accordance with this </w:t>
      </w:r>
      <w:r>
        <w:rPr>
          <w:rFonts w:ascii="Times New Roman" w:cs="Times New Roman" w:eastAsia="Times New Roman" w:hAnsi="Times New Roman"/>
          <w:sz w:val="20"/>
          <w:szCs w:val="20"/>
          <w:b w:val="1"/>
          <w:bCs w:val="1"/>
          <w:color w:val="auto"/>
        </w:rPr>
        <w:t xml:space="preserve">clause 4, </w:t>
      </w:r>
      <w:r>
        <w:rPr>
          <w:rFonts w:ascii="Times New Roman" w:cs="Times New Roman" w:eastAsia="Times New Roman" w:hAnsi="Times New Roman"/>
          <w:sz w:val="20"/>
          <w:szCs w:val="20"/>
          <w:color w:val="auto"/>
        </w:rPr>
        <w:t>but so that the Outstanding Accommodation under each Facility does not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exceed the relevant Facility Limit.</w:t>
      </w:r>
    </w:p>
    <w:p>
      <w:pPr>
        <w:spacing w:after="0" w:line="1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33" w:lineRule="exact"/>
        <w:rPr>
          <w:sz w:val="20"/>
          <w:szCs w:val="20"/>
          <w:color w:val="auto"/>
        </w:rPr>
      </w:pPr>
    </w:p>
    <w:p>
      <w:pPr>
        <w:jc w:val="both"/>
        <w:ind w:left="720" w:right="199"/>
        <w:spacing w:after="0" w:line="243" w:lineRule="auto"/>
        <w:rPr>
          <w:sz w:val="20"/>
          <w:szCs w:val="20"/>
          <w:color w:val="auto"/>
        </w:rPr>
      </w:pPr>
      <w:r>
        <w:rPr>
          <w:rFonts w:ascii="Times New Roman" w:cs="Times New Roman" w:eastAsia="Times New Roman" w:hAnsi="Times New Roman"/>
          <w:sz w:val="20"/>
          <w:szCs w:val="20"/>
          <w:color w:val="auto"/>
        </w:rPr>
        <w:t>The Borrower must only use Advances and Drawings under each Facility for the relevant purposes set out in schedule 2, and the Borrower must promptly repay to the Bank all Advances and Drawings not used for these purposes.</w:t>
      </w:r>
    </w:p>
    <w:p>
      <w:pPr>
        <w:spacing w:after="0" w:line="189"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Advances and Drawings</w:t>
      </w:r>
    </w:p>
    <w:p>
      <w:pPr>
        <w:spacing w:after="0" w:line="33" w:lineRule="exact"/>
        <w:rPr>
          <w:sz w:val="20"/>
          <w:szCs w:val="20"/>
          <w:color w:val="auto"/>
        </w:rPr>
      </w:pPr>
    </w:p>
    <w:p>
      <w:pPr>
        <w:jc w:val="both"/>
        <w:ind w:left="1380" w:right="159" w:hanging="656"/>
        <w:spacing w:after="0" w:line="239" w:lineRule="auto"/>
        <w:tabs>
          <w:tab w:leader="none" w:pos="141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request an Advance or a Drawing by giving a Funding Notice to the Bank by 11.00 am at least one clear Business Day before the date the proposed Advance or Drawing is required.</w:t>
      </w:r>
    </w:p>
    <w:p>
      <w:pPr>
        <w:spacing w:after="0" w:line="2" w:lineRule="exact"/>
        <w:rPr>
          <w:rFonts w:ascii="Times New Roman" w:cs="Times New Roman" w:eastAsia="Times New Roman" w:hAnsi="Times New Roman"/>
          <w:sz w:val="20"/>
          <w:szCs w:val="20"/>
          <w:color w:val="auto"/>
        </w:rPr>
      </w:pPr>
    </w:p>
    <w:p>
      <w:pPr>
        <w:ind w:left="1380" w:right="139" w:hanging="656"/>
        <w:spacing w:after="0" w:line="239" w:lineRule="auto"/>
        <w:tabs>
          <w:tab w:leader="none" w:pos="142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Advance under the Corporate Markets Loan Facility must not be for an amount which, when added to the Outstanding Accommodation (if any) under that Facility, causes the Facility Limit for that Facility to be exceeded. In determining with an Advance will cause the Facility Limit to be exceeded:</w:t>
      </w:r>
    </w:p>
    <w:p>
      <w:pPr>
        <w:spacing w:after="0" w:line="1" w:lineRule="exact"/>
        <w:rPr>
          <w:rFonts w:ascii="Times New Roman" w:cs="Times New Roman" w:eastAsia="Times New Roman" w:hAnsi="Times New Roman"/>
          <w:sz w:val="20"/>
          <w:szCs w:val="20"/>
          <w:color w:val="auto"/>
        </w:rPr>
      </w:pPr>
    </w:p>
    <w:p>
      <w:pPr>
        <w:ind w:left="2020" w:right="839" w:hanging="648"/>
        <w:spacing w:after="0" w:line="239" w:lineRule="auto"/>
        <w:tabs>
          <w:tab w:leader="none" w:pos="201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all Advances repaid on the Funding Date are excluded from the calculation of the Outstanding Accommodation; and</w:t>
      </w:r>
    </w:p>
    <w:p>
      <w:pPr>
        <w:ind w:left="2020" w:right="359" w:hanging="648"/>
        <w:spacing w:after="0" w:line="239" w:lineRule="auto"/>
        <w:tabs>
          <w:tab w:leader="none" w:pos="201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other Advances which the Borrower has requested to be made on the same Funding Date are included in that calculation.</w:t>
      </w:r>
    </w:p>
    <w:p>
      <w:pPr>
        <w:ind w:left="1380" w:right="179" w:hanging="656"/>
        <w:spacing w:after="0" w:line="239" w:lineRule="auto"/>
        <w:tabs>
          <w:tab w:leader="none" w:pos="141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 Drawing under the Bank Guarantee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w:t>
      </w:r>
    </w:p>
    <w:p>
      <w:pPr>
        <w:spacing w:after="0" w:line="1" w:lineRule="exact"/>
        <w:rPr>
          <w:rFonts w:ascii="Times New Roman" w:cs="Times New Roman" w:eastAsia="Times New Roman" w:hAnsi="Times New Roman"/>
          <w:sz w:val="20"/>
          <w:szCs w:val="20"/>
          <w:color w:val="auto"/>
        </w:rPr>
      </w:pPr>
    </w:p>
    <w:p>
      <w:pPr>
        <w:jc w:val="both"/>
        <w:ind w:left="2020" w:right="659" w:hanging="648"/>
        <w:spacing w:after="0" w:line="239" w:lineRule="auto"/>
        <w:tabs>
          <w:tab w:leader="none" w:pos="201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Face Value of all Bank Guarantees under a Facility which will mature on the Funding Date for the relevant Drawing are excluded from the calculation of the Outstanding Accommodation; and</w:t>
      </w:r>
    </w:p>
    <w:p>
      <w:pPr>
        <w:spacing w:after="0" w:line="1" w:lineRule="exact"/>
        <w:rPr>
          <w:rFonts w:ascii="Times New Roman" w:cs="Times New Roman" w:eastAsia="Times New Roman" w:hAnsi="Times New Roman"/>
          <w:sz w:val="20"/>
          <w:szCs w:val="20"/>
          <w:color w:val="auto"/>
        </w:rPr>
      </w:pPr>
    </w:p>
    <w:p>
      <w:pPr>
        <w:ind w:left="2020" w:right="259" w:hanging="648"/>
        <w:spacing w:after="0" w:line="239" w:lineRule="auto"/>
        <w:tabs>
          <w:tab w:leader="none" w:pos="201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other Drawings which the Borrower has requested to be made under the same Facility and on the same Funding Date are included in that calculation.</w:t>
      </w:r>
    </w:p>
    <w:p>
      <w:pPr>
        <w:spacing w:after="0" w:line="1" w:lineRule="exact"/>
        <w:rPr>
          <w:rFonts w:ascii="Times New Roman" w:cs="Times New Roman" w:eastAsia="Times New Roman" w:hAnsi="Times New Roman"/>
          <w:sz w:val="20"/>
          <w:szCs w:val="20"/>
          <w:color w:val="auto"/>
        </w:rPr>
      </w:pPr>
    </w:p>
    <w:p>
      <w:pPr>
        <w:ind w:left="1380" w:right="339" w:hanging="656"/>
        <w:spacing w:after="0" w:line="246" w:lineRule="auto"/>
        <w:tabs>
          <w:tab w:leader="none" w:pos="142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is only obliged to make Advances or accept any Drawings during the Availability Period.</w:t>
      </w:r>
    </w:p>
    <w:p>
      <w:pPr>
        <w:spacing w:after="0" w:line="18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Funding Notices</w:t>
      </w:r>
    </w:p>
    <w:p>
      <w:pPr>
        <w:spacing w:after="0" w:line="33" w:lineRule="exact"/>
        <w:rPr>
          <w:sz w:val="20"/>
          <w:szCs w:val="20"/>
          <w:color w:val="auto"/>
        </w:rPr>
      </w:pPr>
    </w:p>
    <w:p>
      <w:pPr>
        <w:ind w:left="1400" w:hanging="676"/>
        <w:spacing w:after="0"/>
        <w:tabs>
          <w:tab w:leader="none" w:pos="14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Funding Notice must:</w:t>
      </w:r>
    </w:p>
    <w:p>
      <w:pPr>
        <w:spacing w:after="0" w:line="13"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substantially in the form of schedule 7;</w:t>
      </w:r>
    </w:p>
    <w:p>
      <w:pPr>
        <w:ind w:left="2020" w:hanging="648"/>
        <w:spacing w:after="0"/>
        <w:tabs>
          <w:tab w:leader="none" w:pos="202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signed by an Authorised Representative of the Borrower;</w:t>
      </w:r>
    </w:p>
    <w:p>
      <w:pPr>
        <w:ind w:left="2020" w:right="899" w:hanging="648"/>
        <w:spacing w:after="0" w:line="239" w:lineRule="auto"/>
        <w:tabs>
          <w:tab w:leader="none" w:pos="202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proposed Funding Date which must be a Business Day during the Availability Period;</w:t>
      </w:r>
    </w:p>
    <w:p>
      <w:pPr>
        <w:ind w:left="2020" w:right="839" w:hanging="648"/>
        <w:spacing w:after="0" w:line="239" w:lineRule="auto"/>
        <w:tabs>
          <w:tab w:leader="none" w:pos="2063"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amount of the proposed Advance or the Aggregate Amount of the proposed Drawing;</w:t>
      </w:r>
    </w:p>
    <w:p>
      <w:pPr>
        <w:ind w:left="2060" w:hanging="688"/>
        <w:spacing w:after="0"/>
        <w:tabs>
          <w:tab w:leader="none" w:pos="206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duration of the Pricing Period for each Advance; and</w:t>
      </w:r>
    </w:p>
    <w:p>
      <w:pPr>
        <w:ind w:left="2060" w:hanging="688"/>
        <w:spacing w:after="0"/>
        <w:tabs>
          <w:tab w:leader="none" w:pos="206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Drawing, specify whether the Drawing is:</w:t>
      </w:r>
    </w:p>
    <w:p>
      <w:pPr>
        <w:ind w:left="2660" w:right="79" w:hanging="640"/>
        <w:spacing w:after="0" w:line="271" w:lineRule="auto"/>
        <w:tabs>
          <w:tab w:leader="none" w:pos="2746" w:val="left"/>
        </w:tabs>
        <w:numPr>
          <w:ilvl w:val="2"/>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comprise the issue of a new Bank Guarantee, and if so, also specify the date to be shown as the Expiry Date, the person to be named as the Beneficiary</w:t>
      </w:r>
    </w:p>
    <w:p>
      <w:pPr>
        <w:sectPr>
          <w:pgSz w:w="11900" w:h="16884" w:orient="portrait"/>
          <w:cols w:equalWidth="0" w:num="1">
            <w:col w:w="9019"/>
          </w:cols>
          <w:pgMar w:left="1440" w:top="118" w:right="1440" w:bottom="0" w:gutter="0" w:footer="0" w:header="0"/>
        </w:sectPr>
      </w:pPr>
    </w:p>
    <w:bookmarkStart w:id="68" w:name="page69"/>
    <w:bookmarkEnd w:id="68"/>
    <w:p>
      <w:pPr>
        <w:ind w:left="2660"/>
        <w:spacing w:after="0"/>
        <w:rPr>
          <w:sz w:val="20"/>
          <w:szCs w:val="20"/>
          <w:color w:val="auto"/>
        </w:rPr>
      </w:pPr>
      <w:r>
        <w:rPr>
          <w:rFonts w:ascii="Times New Roman" w:cs="Times New Roman" w:eastAsia="Times New Roman" w:hAnsi="Times New Roman"/>
          <w:sz w:val="20"/>
          <w:szCs w:val="20"/>
          <w:color w:val="auto"/>
        </w:rPr>
        <w:t>and the Face Value of each requested Bank Guarantees; or</w:t>
      </w:r>
    </w:p>
    <w:p>
      <w:pPr>
        <w:spacing w:after="0" w:line="21" w:lineRule="exact"/>
        <w:rPr>
          <w:sz w:val="20"/>
          <w:szCs w:val="20"/>
          <w:color w:val="auto"/>
        </w:rPr>
      </w:pPr>
    </w:p>
    <w:p>
      <w:pPr>
        <w:jc w:val="both"/>
        <w:ind w:left="2660" w:right="319" w:hanging="640"/>
        <w:spacing w:after="0" w:line="239" w:lineRule="auto"/>
        <w:tabs>
          <w:tab w:leader="none" w:pos="273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deemed to comprise an existing bank guarantee that prior to the date of this document has been issued by the Bank at the request of the Borrower and, if so, specify the date shown as the Expiry Date, the person named as the Beneficiary and the Face Value of that bank guarantee.</w:t>
      </w:r>
    </w:p>
    <w:p>
      <w:pPr>
        <w:spacing w:after="0" w:line="1" w:lineRule="exact"/>
        <w:rPr>
          <w:rFonts w:ascii="Times New Roman" w:cs="Times New Roman" w:eastAsia="Times New Roman" w:hAnsi="Times New Roman"/>
          <w:sz w:val="20"/>
          <w:szCs w:val="20"/>
          <w:color w:val="auto"/>
        </w:rPr>
      </w:pPr>
    </w:p>
    <w:p>
      <w:pPr>
        <w:ind w:left="1380" w:right="259" w:hanging="656"/>
        <w:spacing w:after="0" w:line="239" w:lineRule="auto"/>
        <w:tabs>
          <w:tab w:leader="none" w:pos="142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of a Funding Notice is for the benefit of the Bank. The Bank may waive the requirement at any time and in any manner.</w:t>
      </w:r>
    </w:p>
    <w:p>
      <w:pPr>
        <w:ind w:left="1400" w:hanging="676"/>
        <w:spacing w:after="0"/>
        <w:tabs>
          <w:tab w:leader="none" w:pos="14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Funding Notice is irrevocable from the time of its actual receipt in legible form by the Bank.</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900" w:type="dxa"/>
            <w:vAlign w:val="bottom"/>
          </w:tcPr>
          <w:p>
            <w:pPr>
              <w:jc w:val="right"/>
              <w:ind w:right="535"/>
              <w:spacing w:after="0"/>
              <w:rPr>
                <w:sz w:val="20"/>
                <w:szCs w:val="20"/>
                <w:color w:val="auto"/>
              </w:rPr>
            </w:pPr>
            <w:r>
              <w:rPr>
                <w:rFonts w:ascii="Times New Roman" w:cs="Times New Roman" w:eastAsia="Times New Roman" w:hAnsi="Times New Roman"/>
                <w:sz w:val="22"/>
                <w:szCs w:val="22"/>
                <w:b w:val="1"/>
                <w:bCs w:val="1"/>
                <w:color w:val="auto"/>
                <w:w w:val="87"/>
              </w:rPr>
              <w:t>4.5</w:t>
            </w:r>
          </w:p>
        </w:tc>
        <w:tc>
          <w:tcPr>
            <w:tcW w:w="79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Not used</w:t>
            </w:r>
          </w:p>
        </w:tc>
      </w:tr>
      <w:tr>
        <w:trPr>
          <w:trHeight w:val="270"/>
        </w:trPr>
        <w:tc>
          <w:tcPr>
            <w:tcW w:w="900" w:type="dxa"/>
            <w:vAlign w:val="bottom"/>
          </w:tcPr>
          <w:p>
            <w:pPr>
              <w:jc w:val="right"/>
              <w:ind w:right="535"/>
              <w:spacing w:after="0"/>
              <w:rPr>
                <w:sz w:val="20"/>
                <w:szCs w:val="20"/>
                <w:color w:val="auto"/>
              </w:rPr>
            </w:pPr>
            <w:r>
              <w:rPr>
                <w:rFonts w:ascii="Times New Roman" w:cs="Times New Roman" w:eastAsia="Times New Roman" w:hAnsi="Times New Roman"/>
                <w:sz w:val="22"/>
                <w:szCs w:val="22"/>
                <w:b w:val="1"/>
                <w:bCs w:val="1"/>
                <w:color w:val="auto"/>
                <w:w w:val="87"/>
              </w:rPr>
              <w:t>4.6</w:t>
            </w:r>
          </w:p>
        </w:tc>
        <w:tc>
          <w:tcPr>
            <w:tcW w:w="79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Not used</w:t>
            </w:r>
          </w:p>
        </w:tc>
      </w:tr>
      <w:tr>
        <w:trPr>
          <w:trHeight w:val="257"/>
        </w:trPr>
        <w:tc>
          <w:tcPr>
            <w:tcW w:w="900" w:type="dxa"/>
            <w:vAlign w:val="bottom"/>
          </w:tcPr>
          <w:p>
            <w:pPr>
              <w:jc w:val="right"/>
              <w:ind w:right="535"/>
              <w:spacing w:after="0"/>
              <w:rPr>
                <w:sz w:val="20"/>
                <w:szCs w:val="20"/>
                <w:color w:val="auto"/>
              </w:rPr>
            </w:pPr>
            <w:r>
              <w:rPr>
                <w:rFonts w:ascii="Times New Roman" w:cs="Times New Roman" w:eastAsia="Times New Roman" w:hAnsi="Times New Roman"/>
                <w:sz w:val="22"/>
                <w:szCs w:val="22"/>
                <w:b w:val="1"/>
                <w:bCs w:val="1"/>
                <w:color w:val="auto"/>
                <w:w w:val="87"/>
              </w:rPr>
              <w:t>4.7</w:t>
            </w:r>
          </w:p>
        </w:tc>
        <w:tc>
          <w:tcPr>
            <w:tcW w:w="79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Not used</w:t>
            </w:r>
          </w:p>
        </w:tc>
      </w:tr>
      <w:tr>
        <w:trPr>
          <w:trHeight w:val="265"/>
        </w:trPr>
        <w:tc>
          <w:tcPr>
            <w:tcW w:w="900" w:type="dxa"/>
            <w:vAlign w:val="bottom"/>
          </w:tcPr>
          <w:p>
            <w:pPr>
              <w:jc w:val="right"/>
              <w:ind w:right="535"/>
              <w:spacing w:after="0"/>
              <w:rPr>
                <w:sz w:val="20"/>
                <w:szCs w:val="20"/>
                <w:color w:val="auto"/>
              </w:rPr>
            </w:pPr>
            <w:r>
              <w:rPr>
                <w:rFonts w:ascii="Times New Roman" w:cs="Times New Roman" w:eastAsia="Times New Roman" w:hAnsi="Times New Roman"/>
                <w:sz w:val="22"/>
                <w:szCs w:val="22"/>
                <w:b w:val="1"/>
                <w:bCs w:val="1"/>
                <w:color w:val="auto"/>
                <w:w w:val="87"/>
              </w:rPr>
              <w:t>4.8</w:t>
            </w:r>
          </w:p>
        </w:tc>
        <w:tc>
          <w:tcPr>
            <w:tcW w:w="79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Bank Guarantee Facilities</w:t>
            </w:r>
          </w:p>
        </w:tc>
      </w:tr>
      <w:tr>
        <w:trPr>
          <w:trHeight w:val="229"/>
        </w:trPr>
        <w:tc>
          <w:tcPr>
            <w:tcW w:w="8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In the case of the Bank Guarantee Facility on the Funding Date specified in the Funding Notice:</w:t>
            </w:r>
          </w:p>
        </w:tc>
      </w:tr>
      <w:tr>
        <w:trPr>
          <w:trHeight w:val="229"/>
        </w:trPr>
        <w:tc>
          <w:tcPr>
            <w:tcW w:w="9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w:t>
            </w:r>
          </w:p>
        </w:tc>
        <w:tc>
          <w:tcPr>
            <w:tcW w:w="79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the Bank must for the purposes of a Drawing contemplated under clause 4.4(a)(vi)(A), issue</w:t>
            </w:r>
          </w:p>
        </w:tc>
      </w:tr>
      <w:tr>
        <w:trPr>
          <w:trHeight w:val="230"/>
        </w:trPr>
        <w:tc>
          <w:tcPr>
            <w:tcW w:w="900" w:type="dxa"/>
            <w:vAlign w:val="bottom"/>
          </w:tcPr>
          <w:p>
            <w:pPr>
              <w:spacing w:after="0"/>
              <w:rPr>
                <w:sz w:val="19"/>
                <w:szCs w:val="19"/>
                <w:color w:val="auto"/>
              </w:rPr>
            </w:pPr>
          </w:p>
        </w:tc>
        <w:tc>
          <w:tcPr>
            <w:tcW w:w="790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each Bank Guarantee requested in the Funding Notice in accordance with that Funding Notice;</w:t>
            </w:r>
          </w:p>
        </w:tc>
      </w:tr>
      <w:tr>
        <w:trPr>
          <w:trHeight w:val="229"/>
        </w:trPr>
        <w:tc>
          <w:tcPr>
            <w:tcW w:w="900" w:type="dxa"/>
            <w:vAlign w:val="bottom"/>
          </w:tcPr>
          <w:p>
            <w:pPr>
              <w:spacing w:after="0"/>
              <w:rPr>
                <w:sz w:val="19"/>
                <w:szCs w:val="19"/>
                <w:color w:val="auto"/>
              </w:rPr>
            </w:pPr>
          </w:p>
        </w:tc>
        <w:tc>
          <w:tcPr>
            <w:tcW w:w="7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or</w:t>
            </w:r>
          </w:p>
        </w:tc>
      </w:tr>
      <w:tr>
        <w:trPr>
          <w:trHeight w:val="229"/>
        </w:trPr>
        <w:tc>
          <w:tcPr>
            <w:tcW w:w="9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(b)</w:t>
            </w:r>
          </w:p>
        </w:tc>
        <w:tc>
          <w:tcPr>
            <w:tcW w:w="79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the parties agree that for the purposes of a Drawing contemplated under clause 4.4(a)(vi)(B),</w:t>
            </w:r>
          </w:p>
        </w:tc>
      </w:tr>
      <w:tr>
        <w:trPr>
          <w:trHeight w:val="230"/>
        </w:trPr>
        <w:tc>
          <w:tcPr>
            <w:tcW w:w="900" w:type="dxa"/>
            <w:vAlign w:val="bottom"/>
          </w:tcPr>
          <w:p>
            <w:pPr>
              <w:spacing w:after="0"/>
              <w:rPr>
                <w:sz w:val="19"/>
                <w:szCs w:val="19"/>
                <w:color w:val="auto"/>
              </w:rPr>
            </w:pPr>
          </w:p>
        </w:tc>
        <w:tc>
          <w:tcPr>
            <w:tcW w:w="7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existing bank guarantee referred to in the Funding Notice is deemed to be a Bank</w:t>
            </w:r>
          </w:p>
        </w:tc>
      </w:tr>
      <w:tr>
        <w:trPr>
          <w:trHeight w:val="258"/>
        </w:trPr>
        <w:tc>
          <w:tcPr>
            <w:tcW w:w="900" w:type="dxa"/>
            <w:vAlign w:val="bottom"/>
          </w:tcPr>
          <w:p>
            <w:pPr>
              <w:spacing w:after="0"/>
              <w:rPr>
                <w:sz w:val="22"/>
                <w:szCs w:val="22"/>
                <w:color w:val="auto"/>
              </w:rPr>
            </w:pPr>
          </w:p>
        </w:tc>
        <w:tc>
          <w:tcPr>
            <w:tcW w:w="7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Guarantee issued in accordance with the Bank Guarantee Facility and that Funding Notice.</w:t>
            </w:r>
          </w:p>
        </w:tc>
      </w:tr>
      <w:tr>
        <w:trPr>
          <w:trHeight w:val="478"/>
        </w:trPr>
        <w:tc>
          <w:tcPr>
            <w:tcW w:w="900" w:type="dxa"/>
            <w:vAlign w:val="bottom"/>
          </w:tcPr>
          <w:p>
            <w:pPr>
              <w:jc w:val="right"/>
              <w:ind w:right="535"/>
              <w:spacing w:after="0"/>
              <w:rPr>
                <w:sz w:val="20"/>
                <w:szCs w:val="20"/>
                <w:color w:val="auto"/>
              </w:rPr>
            </w:pPr>
            <w:r>
              <w:rPr>
                <w:rFonts w:ascii="Times New Roman" w:cs="Times New Roman" w:eastAsia="Times New Roman" w:hAnsi="Times New Roman"/>
                <w:sz w:val="22"/>
                <w:szCs w:val="22"/>
                <w:b w:val="1"/>
                <w:bCs w:val="1"/>
                <w:color w:val="auto"/>
                <w:w w:val="87"/>
              </w:rPr>
              <w:t>4.9</w:t>
            </w:r>
          </w:p>
        </w:tc>
        <w:tc>
          <w:tcPr>
            <w:tcW w:w="79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Cancellation</w:t>
            </w:r>
          </w:p>
        </w:tc>
      </w:tr>
    </w:tbl>
    <w:p>
      <w:pPr>
        <w:ind w:left="720"/>
        <w:spacing w:after="0"/>
        <w:rPr>
          <w:sz w:val="20"/>
          <w:szCs w:val="20"/>
          <w:color w:val="auto"/>
        </w:rPr>
      </w:pPr>
      <w:r>
        <w:rPr>
          <w:rFonts w:ascii="Times New Roman" w:cs="Times New Roman" w:eastAsia="Times New Roman" w:hAnsi="Times New Roman"/>
          <w:sz w:val="20"/>
          <w:szCs w:val="20"/>
          <w:color w:val="auto"/>
        </w:rPr>
        <w:t>The Borrower may cancel the Available Commitment or any part of it (being</w:t>
      </w:r>
    </w:p>
    <w:p>
      <w:pPr>
        <w:spacing w:after="0" w:line="14" w:lineRule="exact"/>
        <w:rPr>
          <w:sz w:val="20"/>
          <w:szCs w:val="20"/>
          <w:color w:val="auto"/>
        </w:rPr>
      </w:pPr>
    </w:p>
    <w:p>
      <w:pPr>
        <w:ind w:left="720" w:right="279"/>
        <w:spacing w:after="0" w:line="241" w:lineRule="auto"/>
        <w:rPr>
          <w:sz w:val="20"/>
          <w:szCs w:val="20"/>
          <w:color w:val="auto"/>
        </w:rPr>
      </w:pPr>
      <w:r>
        <w:rPr>
          <w:rFonts w:ascii="Times New Roman" w:cs="Times New Roman" w:eastAsia="Times New Roman" w:hAnsi="Times New Roman"/>
          <w:sz w:val="20"/>
          <w:szCs w:val="20"/>
          <w:color w:val="auto"/>
        </w:rPr>
        <w:t>$100,000 or an integral multiple of that amount) by giving 30 Business Days’ notice to the Bank specifying the amount to be cancelled and the date on which the cancellation takes effect. The cancellation takes effect on the date specified in the notice (which must be a date not earlier than five Business Days after the date the Bank receives the notice).</w:t>
      </w:r>
    </w:p>
    <w:p>
      <w:pPr>
        <w:spacing w:after="0" w:line="19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4.10</w:t>
      </w:r>
      <w:r>
        <w:rPr>
          <w:sz w:val="20"/>
          <w:szCs w:val="20"/>
          <w:color w:val="auto"/>
        </w:rPr>
        <w:tab/>
      </w:r>
      <w:r>
        <w:rPr>
          <w:rFonts w:ascii="Times New Roman" w:cs="Times New Roman" w:eastAsia="Times New Roman" w:hAnsi="Times New Roman"/>
          <w:sz w:val="21"/>
          <w:szCs w:val="21"/>
          <w:b w:val="1"/>
          <w:bCs w:val="1"/>
          <w:color w:val="auto"/>
        </w:rPr>
        <w:t>Market disruption</w:t>
      </w:r>
    </w:p>
    <w:p>
      <w:pPr>
        <w:spacing w:after="0" w:line="33" w:lineRule="exact"/>
        <w:rPr>
          <w:sz w:val="20"/>
          <w:szCs w:val="20"/>
          <w:color w:val="auto"/>
        </w:rPr>
      </w:pPr>
    </w:p>
    <w:p>
      <w:pPr>
        <w:ind w:left="1380" w:right="159" w:hanging="656"/>
        <w:spacing w:after="0" w:line="239" w:lineRule="auto"/>
        <w:tabs>
          <w:tab w:leader="none" w:pos="141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Bank determines that a Market Disruption Event occurs or has occurred in relation to an Advance, then the Bank will promptly notify the Borrower, and the Interest Rate on that Advance for that Pricing Period will be the rate per annum which is the sum of:</w:t>
      </w:r>
    </w:p>
    <w:p>
      <w:pPr>
        <w:spacing w:after="0" w:line="2"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Margin for the Advance; and</w:t>
      </w:r>
    </w:p>
    <w:p>
      <w:pPr>
        <w:ind w:left="2020" w:right="139" w:hanging="648"/>
        <w:spacing w:after="0" w:line="252" w:lineRule="auto"/>
        <w:tabs>
          <w:tab w:leader="none" w:pos="2019"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rate notified to the Borrower as soon as practicable and in any event no later than the Business Day before interest is due to be paid in respect of that Pricing Period, to be that which expresses as a percentage rate per annum the cost to the Bank of funding that Advance from whatever source or sources the Bank may reasonably select.</w:t>
      </w:r>
    </w:p>
    <w:p>
      <w:pPr>
        <w:ind w:left="1420" w:hanging="696"/>
        <w:spacing w:after="0"/>
        <w:tabs>
          <w:tab w:leader="none" w:pos="14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clause 4.10(a):</w:t>
      </w:r>
    </w:p>
    <w:p>
      <w:pPr>
        <w:ind w:left="2020" w:hanging="648"/>
        <w:spacing w:after="0"/>
        <w:tabs>
          <w:tab w:leader="none" w:pos="202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Disruption Event means:</w:t>
      </w:r>
    </w:p>
    <w:p>
      <w:pPr>
        <w:ind w:left="2660" w:right="119" w:hanging="640"/>
        <w:spacing w:after="0" w:line="239" w:lineRule="auto"/>
        <w:tabs>
          <w:tab w:leader="none" w:pos="2746"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about the time on the day (Quotation Day) for the Bank to determine the Screen Rate for the relevant currency and Pricing Period, the Screen Rate is not available and the Bank is unable to specify another page or service displaying an appropriate rate; or</w:t>
      </w:r>
    </w:p>
    <w:p>
      <w:pPr>
        <w:spacing w:after="0" w:line="1" w:lineRule="exact"/>
        <w:rPr>
          <w:rFonts w:ascii="Times New Roman" w:cs="Times New Roman" w:eastAsia="Times New Roman" w:hAnsi="Times New Roman"/>
          <w:sz w:val="20"/>
          <w:szCs w:val="20"/>
          <w:color w:val="auto"/>
        </w:rPr>
      </w:pPr>
    </w:p>
    <w:p>
      <w:pPr>
        <w:ind w:left="2660" w:right="219" w:hanging="640"/>
        <w:spacing w:after="0" w:line="239" w:lineRule="auto"/>
        <w:tabs>
          <w:tab w:leader="none" w:pos="2735"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Advance, before 5.00 pm (local time) on the Business Day after the Quotation Day for the relevant period, the Bank notifies the Borrower, that as a result of market circumstances not limited to the Bank the cost to the Bank of funding the Advance exceeds the Screen Rate.</w:t>
      </w:r>
    </w:p>
    <w:p>
      <w:pPr>
        <w:spacing w:after="0" w:line="1"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Screen Rate means the rate specified in paragraph (a) of the definition of “Base Rate”.</w:t>
      </w:r>
    </w:p>
    <w:p>
      <w:pPr>
        <w:spacing w:after="0" w:line="210"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4.11</w:t>
      </w:r>
      <w:r>
        <w:rPr>
          <w:sz w:val="20"/>
          <w:szCs w:val="20"/>
          <w:color w:val="auto"/>
        </w:rPr>
        <w:tab/>
      </w:r>
      <w:r>
        <w:rPr>
          <w:rFonts w:ascii="Times New Roman" w:cs="Times New Roman" w:eastAsia="Times New Roman" w:hAnsi="Times New Roman"/>
          <w:sz w:val="21"/>
          <w:szCs w:val="21"/>
          <w:b w:val="1"/>
          <w:bCs w:val="1"/>
          <w:color w:val="auto"/>
        </w:rPr>
        <w:t>Alternative basis of interest or funding</w:t>
      </w:r>
    </w:p>
    <w:p>
      <w:pPr>
        <w:spacing w:after="0" w:line="33" w:lineRule="exact"/>
        <w:rPr>
          <w:sz w:val="20"/>
          <w:szCs w:val="20"/>
          <w:color w:val="auto"/>
        </w:rPr>
      </w:pPr>
    </w:p>
    <w:p>
      <w:pPr>
        <w:ind w:left="720" w:right="199"/>
        <w:spacing w:after="0" w:line="243" w:lineRule="auto"/>
        <w:rPr>
          <w:sz w:val="20"/>
          <w:szCs w:val="20"/>
          <w:color w:val="auto"/>
        </w:rPr>
      </w:pPr>
      <w:r>
        <w:rPr>
          <w:rFonts w:ascii="Times New Roman" w:cs="Times New Roman" w:eastAsia="Times New Roman" w:hAnsi="Times New Roman"/>
          <w:sz w:val="20"/>
          <w:szCs w:val="20"/>
          <w:color w:val="auto"/>
        </w:rPr>
        <w:t>If a Market Disruption Event occurs and the Bank or the Borrower so requires, the Bank and the Borrower will enter into negotiations (for a period of not more than 30 days) with a view to agreeing a substitute basis for determining the rate of interest or discount.</w:t>
      </w:r>
    </w:p>
    <w:p>
      <w:pPr>
        <w:spacing w:after="0" w:line="189"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4.12</w:t>
      </w:r>
      <w:r>
        <w:rPr>
          <w:sz w:val="20"/>
          <w:szCs w:val="20"/>
          <w:color w:val="auto"/>
        </w:rPr>
        <w:tab/>
      </w:r>
      <w:r>
        <w:rPr>
          <w:rFonts w:ascii="Times New Roman" w:cs="Times New Roman" w:eastAsia="Times New Roman" w:hAnsi="Times New Roman"/>
          <w:sz w:val="21"/>
          <w:szCs w:val="21"/>
          <w:b w:val="1"/>
          <w:bCs w:val="1"/>
          <w:color w:val="auto"/>
        </w:rPr>
        <w:t>Pricing Review Events</w:t>
      </w:r>
    </w:p>
    <w:p>
      <w:pPr>
        <w:spacing w:after="0" w:line="33" w:lineRule="exact"/>
        <w:rPr>
          <w:sz w:val="20"/>
          <w:szCs w:val="20"/>
          <w:color w:val="auto"/>
        </w:rPr>
      </w:pPr>
    </w:p>
    <w:p>
      <w:pPr>
        <w:ind w:left="1400" w:hanging="676"/>
        <w:spacing w:after="0"/>
        <w:tabs>
          <w:tab w:leader="none" w:pos="14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has the right to review the pricing applicable to a Facility (Review):</w:t>
      </w:r>
    </w:p>
    <w:p>
      <w:pPr>
        <w:spacing w:after="0" w:line="13"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if the Bank reasonably believes that an Event of Default subsists;</w:t>
      </w:r>
    </w:p>
    <w:p>
      <w:pPr>
        <w:ind w:left="2020" w:hanging="648"/>
        <w:spacing w:after="0"/>
        <w:tabs>
          <w:tab w:leader="none" w:pos="202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w:t>
      </w:r>
    </w:p>
    <w:p>
      <w:pPr>
        <w:ind w:left="2660" w:right="319" w:hanging="640"/>
        <w:spacing w:after="0" w:line="239" w:lineRule="auto"/>
        <w:tabs>
          <w:tab w:leader="none" w:pos="2746"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occurs in the financial markets which affects financial institutions generally; and/or</w:t>
      </w:r>
    </w:p>
    <w:p>
      <w:pPr>
        <w:ind w:left="2660" w:right="159" w:hanging="640"/>
        <w:spacing w:after="0" w:line="239" w:lineRule="auto"/>
        <w:tabs>
          <w:tab w:leader="none" w:pos="2735"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general change occurs in the cost of funds in the financial markets in which the Bank raises funds (not being a change resulting from a change in the Bank’s credit rating or any other matter relating specifically to the Bank).</w:t>
      </w:r>
    </w:p>
    <w:p>
      <w:pPr>
        <w:spacing w:after="0" w:line="1" w:lineRule="exact"/>
        <w:rPr>
          <w:rFonts w:ascii="Times New Roman" w:cs="Times New Roman" w:eastAsia="Times New Roman" w:hAnsi="Times New Roman"/>
          <w:sz w:val="20"/>
          <w:szCs w:val="20"/>
          <w:color w:val="auto"/>
        </w:rPr>
      </w:pPr>
    </w:p>
    <w:p>
      <w:pPr>
        <w:ind w:left="1380" w:right="239" w:hanging="656"/>
        <w:spacing w:after="0" w:line="242" w:lineRule="auto"/>
        <w:tabs>
          <w:tab w:leader="none" w:pos="142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request the Borrower to provide information in connection with a Review and the Borrower must provide such information as soon as possible following receipt of the request.</w:t>
      </w:r>
    </w:p>
    <w:p>
      <w:pPr>
        <w:spacing w:after="0" w:line="192"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4.13</w:t>
      </w:r>
      <w:r>
        <w:rPr>
          <w:sz w:val="20"/>
          <w:szCs w:val="20"/>
          <w:color w:val="auto"/>
        </w:rPr>
        <w:tab/>
      </w:r>
      <w:r>
        <w:rPr>
          <w:rFonts w:ascii="Times New Roman" w:cs="Times New Roman" w:eastAsia="Times New Roman" w:hAnsi="Times New Roman"/>
          <w:sz w:val="21"/>
          <w:szCs w:val="21"/>
          <w:b w:val="1"/>
          <w:bCs w:val="1"/>
          <w:color w:val="auto"/>
        </w:rPr>
        <w:t>Consequences of a Pricing Review</w:t>
      </w:r>
    </w:p>
    <w:p>
      <w:pPr>
        <w:sectPr>
          <w:pgSz w:w="11900" w:h="16838" w:orient="portrait"/>
          <w:cols w:equalWidth="0" w:num="1">
            <w:col w:w="9019"/>
          </w:cols>
          <w:pgMar w:left="1440" w:top="118" w:right="1440" w:bottom="0" w:gutter="0" w:footer="0" w:header="0"/>
        </w:sectPr>
      </w:pPr>
    </w:p>
    <w:p>
      <w:pPr>
        <w:spacing w:after="0" w:line="33" w:lineRule="exact"/>
        <w:rPr>
          <w:sz w:val="20"/>
          <w:szCs w:val="20"/>
          <w:color w:val="auto"/>
        </w:rPr>
      </w:pPr>
    </w:p>
    <w:p>
      <w:pPr>
        <w:ind w:left="1380" w:right="139" w:hanging="656"/>
        <w:spacing w:after="0" w:line="246" w:lineRule="auto"/>
        <w:tabs>
          <w:tab w:leader="none" w:pos="141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 Review, the Bank may, by giving written notice to the Borrower and/or by way of advertisement in the local or national press:</w:t>
      </w:r>
    </w:p>
    <w:p>
      <w:pPr>
        <w:sectPr>
          <w:pgSz w:w="11900" w:h="16838" w:orient="portrait"/>
          <w:cols w:equalWidth="0" w:num="1">
            <w:col w:w="9019"/>
          </w:cols>
          <w:pgMar w:left="1440" w:top="118" w:right="1440" w:bottom="0" w:gutter="0" w:footer="0" w:header="0"/>
          <w:type w:val="continuous"/>
        </w:sectPr>
      </w:pPr>
    </w:p>
    <w:bookmarkStart w:id="69" w:name="page70"/>
    <w:bookmarkEnd w:id="69"/>
    <w:p>
      <w:pPr>
        <w:ind w:left="2020" w:right="219" w:hanging="648"/>
        <w:spacing w:after="0" w:line="263" w:lineRule="auto"/>
        <w:tabs>
          <w:tab w:leader="none" w:pos="2018"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introduce a new fee, charge or premium or change an existing fee, charge or premium (including its amount, the way in which it is calculated and when it is charged); and</w:t>
      </w:r>
    </w:p>
    <w:p>
      <w:pPr>
        <w:spacing w:after="0" w:line="1" w:lineRule="exact"/>
        <w:rPr>
          <w:rFonts w:ascii="Times New Roman" w:cs="Times New Roman" w:eastAsia="Times New Roman" w:hAnsi="Times New Roman"/>
          <w:sz w:val="19"/>
          <w:szCs w:val="19"/>
          <w:color w:val="auto"/>
        </w:rPr>
      </w:pPr>
    </w:p>
    <w:p>
      <w:pPr>
        <w:ind w:left="2020" w:right="299" w:hanging="648"/>
        <w:spacing w:after="0" w:line="239" w:lineRule="auto"/>
        <w:tabs>
          <w:tab w:leader="none" w:pos="201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acceptance margin, line fee, interest rate or yield rate applicable to a Facility including by changing or introducing a margin (including by making the margin positive or negative), or substituting a different indicator rate for the relevant indicator rate (except where the rate is a fixed rate).</w:t>
      </w:r>
    </w:p>
    <w:p>
      <w:pPr>
        <w:spacing w:after="0" w:line="1" w:lineRule="exact"/>
        <w:rPr>
          <w:rFonts w:ascii="Times New Roman" w:cs="Times New Roman" w:eastAsia="Times New Roman" w:hAnsi="Times New Roman"/>
          <w:sz w:val="20"/>
          <w:szCs w:val="20"/>
          <w:color w:val="auto"/>
        </w:rPr>
      </w:pPr>
    </w:p>
    <w:p>
      <w:pPr>
        <w:ind w:left="1380" w:right="159" w:hanging="656"/>
        <w:spacing w:after="0" w:line="239" w:lineRule="auto"/>
        <w:tabs>
          <w:tab w:leader="none" w:pos="142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Bank gives the Borrower notice under clause 4.10(a) by way of advertisement in the local or national press, the Bank will also endeavour to directly notify the Borrower of the change although the Bank will not be precluded from charging the new or adjusted pricing if it does not directly notify the Borrower.</w:t>
      </w:r>
    </w:p>
    <w:p>
      <w:pPr>
        <w:spacing w:after="0" w:line="1" w:lineRule="exact"/>
        <w:rPr>
          <w:rFonts w:ascii="Times New Roman" w:cs="Times New Roman" w:eastAsia="Times New Roman" w:hAnsi="Times New Roman"/>
          <w:sz w:val="20"/>
          <w:szCs w:val="20"/>
          <w:color w:val="auto"/>
        </w:rPr>
      </w:pPr>
    </w:p>
    <w:p>
      <w:pPr>
        <w:ind w:left="1380" w:right="299" w:hanging="656"/>
        <w:spacing w:after="0" w:line="242" w:lineRule="auto"/>
        <w:tabs>
          <w:tab w:leader="none" w:pos="141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introduction or change of a matter specified in clause 4.10(a) takes effect on the date specified in the relevant notice to the Borrower (which must be at least 30 days after the date on which the notice is given to the Borrower).</w:t>
      </w:r>
    </w:p>
    <w:p>
      <w:pPr>
        <w:spacing w:after="0" w:line="191" w:lineRule="exact"/>
        <w:rPr>
          <w:sz w:val="20"/>
          <w:szCs w:val="20"/>
          <w:color w:val="auto"/>
        </w:rPr>
      </w:pPr>
    </w:p>
    <w:p>
      <w:pPr>
        <w:ind w:left="860" w:hanging="784"/>
        <w:spacing w:after="0"/>
        <w:tabs>
          <w:tab w:leader="none" w:pos="860" w:val="left"/>
        </w:tabs>
        <w:numPr>
          <w:ilvl w:val="0"/>
          <w:numId w:val="100"/>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Payments</w:t>
      </w:r>
    </w:p>
    <w:p>
      <w:pPr>
        <w:spacing w:after="0" w:line="3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6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87"/>
              </w:rPr>
              <w:t>5.1</w:t>
            </w: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Not used</w:t>
            </w:r>
          </w:p>
        </w:tc>
      </w:tr>
      <w:tr>
        <w:trPr>
          <w:trHeight w:val="286"/>
        </w:trPr>
        <w:tc>
          <w:tcPr>
            <w:tcW w:w="6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87"/>
              </w:rPr>
              <w:t>5.2</w:t>
            </w:r>
          </w:p>
        </w:tc>
        <w:tc>
          <w:tcPr>
            <w:tcW w:w="25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Voluntary prepayments</w:t>
            </w:r>
          </w:p>
        </w:tc>
      </w:tr>
    </w:tbl>
    <w:p>
      <w:pPr>
        <w:ind w:left="1400" w:hanging="676"/>
        <w:spacing w:after="0"/>
        <w:tabs>
          <w:tab w:leader="none" w:pos="14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Advance, the Borrower:</w:t>
      </w:r>
    </w:p>
    <w:p>
      <w:pPr>
        <w:ind w:left="2020" w:right="179" w:hanging="648"/>
        <w:spacing w:after="0" w:line="239" w:lineRule="auto"/>
        <w:tabs>
          <w:tab w:leader="none" w:pos="201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prepay any Advance or a part of it (being a minimum of $100,000 or an integral multiple of that amount) by giving 5 Business Days’ notice to the Bank specifying the amount to be prepaid and the date on which the prepayment will be made;</w:t>
      </w:r>
    </w:p>
    <w:p>
      <w:pPr>
        <w:spacing w:after="0" w:line="1" w:lineRule="exact"/>
        <w:rPr>
          <w:rFonts w:ascii="Times New Roman" w:cs="Times New Roman" w:eastAsia="Times New Roman" w:hAnsi="Times New Roman"/>
          <w:sz w:val="20"/>
          <w:szCs w:val="20"/>
          <w:color w:val="auto"/>
        </w:rPr>
      </w:pPr>
    </w:p>
    <w:p>
      <w:pPr>
        <w:ind w:left="2020" w:right="279" w:hanging="648"/>
        <w:spacing w:after="0" w:line="239" w:lineRule="auto"/>
        <w:tabs>
          <w:tab w:leader="none" w:pos="201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subject to clause 4.3, redraw any amount prepaid in accordance with this clause 5.2 which forms part of the Revolving Tranche; and</w:t>
      </w:r>
    </w:p>
    <w:p>
      <w:pPr>
        <w:jc w:val="both"/>
        <w:ind w:left="2020" w:right="159" w:hanging="648"/>
        <w:spacing w:after="0" w:line="239" w:lineRule="auto"/>
        <w:tabs>
          <w:tab w:leader="none" w:pos="202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make any prepayment under this document together with accrued interest on the amount prepaid, any fees payable under clause 9.1 and any Break Costs, but otherwise without premium or penalty.</w:t>
      </w:r>
    </w:p>
    <w:p>
      <w:pPr>
        <w:spacing w:after="0" w:line="1" w:lineRule="exact"/>
        <w:rPr>
          <w:rFonts w:ascii="Times New Roman" w:cs="Times New Roman" w:eastAsia="Times New Roman" w:hAnsi="Times New Roman"/>
          <w:sz w:val="20"/>
          <w:szCs w:val="20"/>
          <w:color w:val="auto"/>
        </w:rPr>
      </w:pPr>
    </w:p>
    <w:p>
      <w:pPr>
        <w:ind w:left="1380" w:right="859" w:hanging="656"/>
        <w:spacing w:after="0" w:line="239" w:lineRule="auto"/>
        <w:tabs>
          <w:tab w:leader="none" w:pos="142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reimburse or repay the Face Value in respect of any Current Bank Guarantee by:</w:t>
      </w:r>
    </w:p>
    <w:p>
      <w:pPr>
        <w:ind w:left="2020" w:right="159" w:hanging="648"/>
        <w:spacing w:after="0" w:line="239" w:lineRule="auto"/>
        <w:tabs>
          <w:tab w:leader="none" w:pos="201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to the Bank, cash collateral (on terms satisfactory to the Bank and subject to clause 10.3) in an amount not less than the Face Value of the Bank Guarantee; or</w:t>
      </w:r>
    </w:p>
    <w:p>
      <w:pPr>
        <w:ind w:left="2020" w:right="259" w:hanging="648"/>
        <w:spacing w:after="0" w:line="242" w:lineRule="auto"/>
        <w:tabs>
          <w:tab w:leader="none" w:pos="201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that Bank Guarantee by returning the original to the Bank together with written confirmation from the Beneficiary that the Bank has no further liability under that Bank Guarantee.</w:t>
      </w:r>
    </w:p>
    <w:p>
      <w:pPr>
        <w:spacing w:after="0" w:line="1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Indemnity in respect of Bank Guarantees</w:t>
      </w:r>
    </w:p>
    <w:p>
      <w:pPr>
        <w:spacing w:after="0" w:line="33" w:lineRule="exact"/>
        <w:rPr>
          <w:sz w:val="20"/>
          <w:szCs w:val="20"/>
          <w:color w:val="auto"/>
        </w:rPr>
      </w:pPr>
    </w:p>
    <w:p>
      <w:pPr>
        <w:ind w:left="1380" w:right="79" w:hanging="656"/>
        <w:spacing w:after="0" w:line="252" w:lineRule="auto"/>
        <w:tabs>
          <w:tab w:leader="none" w:pos="141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clause 12.1, the Borrower indemnifies the Bank against any liability, loss, cost or expense sustained or incurred in relation to any Bank Guarantee or as a direct or indirect consequence of any claim made or purported to be made under any Bank Guarantee, or anything done by any person who is or claims to be entitled to the benefit of a Bank Guarantee.</w:t>
      </w:r>
    </w:p>
    <w:p>
      <w:pPr>
        <w:spacing w:after="0" w:line="1" w:lineRule="exact"/>
        <w:rPr>
          <w:rFonts w:ascii="Times New Roman" w:cs="Times New Roman" w:eastAsia="Times New Roman" w:hAnsi="Times New Roman"/>
          <w:sz w:val="19"/>
          <w:szCs w:val="19"/>
          <w:color w:val="auto"/>
        </w:rPr>
      </w:pPr>
    </w:p>
    <w:p>
      <w:pPr>
        <w:ind w:left="1380" w:right="179" w:hanging="656"/>
        <w:spacing w:after="0" w:line="239" w:lineRule="auto"/>
        <w:tabs>
          <w:tab w:leader="none" w:pos="142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clause 5.3(a), the Borrower must pay to the Bank all amounts claimed by or paid to any Beneficiary in relation to any Bank Guarantee (whether or not the Beneficiary was entitled to make that claim or the Bank was required to make that payment), including any payment made by the Bank under clause 10.2(a)(iv)(B).</w:t>
      </w:r>
    </w:p>
    <w:p>
      <w:pPr>
        <w:spacing w:after="0" w:line="1" w:lineRule="exact"/>
        <w:rPr>
          <w:rFonts w:ascii="Times New Roman" w:cs="Times New Roman" w:eastAsia="Times New Roman" w:hAnsi="Times New Roman"/>
          <w:sz w:val="20"/>
          <w:szCs w:val="20"/>
          <w:color w:val="auto"/>
        </w:rPr>
      </w:pPr>
    </w:p>
    <w:p>
      <w:pPr>
        <w:ind w:left="1380" w:right="339" w:hanging="656"/>
        <w:spacing w:after="0" w:line="239" w:lineRule="auto"/>
        <w:tabs>
          <w:tab w:leader="none" w:pos="141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obligations under clause 5.4 are absolute and unconditional. They are not affected by any reduction, termination or other impairment by set-off, deduction, abatement, counterclaim, agreement, defence, suspension, deferment or otherwise.</w:t>
      </w:r>
    </w:p>
    <w:p>
      <w:pPr>
        <w:spacing w:after="0" w:line="1" w:lineRule="exact"/>
        <w:rPr>
          <w:rFonts w:ascii="Times New Roman" w:cs="Times New Roman" w:eastAsia="Times New Roman" w:hAnsi="Times New Roman"/>
          <w:sz w:val="20"/>
          <w:szCs w:val="20"/>
          <w:color w:val="auto"/>
        </w:rPr>
      </w:pPr>
    </w:p>
    <w:p>
      <w:pPr>
        <w:ind w:left="1380" w:right="119" w:hanging="656"/>
        <w:spacing w:after="0" w:line="239" w:lineRule="auto"/>
        <w:tabs>
          <w:tab w:leader="none" w:pos="142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not released, relieved or discharged from any obligation under this document, nor will such obligation be prejudiced or affected for any reason, including:</w:t>
      </w:r>
    </w:p>
    <w:p>
      <w:pPr>
        <w:ind w:left="2020" w:right="419" w:hanging="648"/>
        <w:spacing w:after="0" w:line="239" w:lineRule="auto"/>
        <w:tabs>
          <w:tab w:leader="none" w:pos="2018"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falsity, inaccuracy, insufficiency or forgery of or in any demand, certificate or declaration or other document which on its face purports to be signed or authorised under a Bank Guarantee;</w:t>
      </w:r>
    </w:p>
    <w:p>
      <w:pPr>
        <w:spacing w:after="0" w:line="1" w:lineRule="exact"/>
        <w:rPr>
          <w:rFonts w:ascii="Times New Roman" w:cs="Times New Roman" w:eastAsia="Times New Roman" w:hAnsi="Times New Roman"/>
          <w:sz w:val="20"/>
          <w:szCs w:val="20"/>
          <w:color w:val="auto"/>
        </w:rPr>
      </w:pPr>
    </w:p>
    <w:p>
      <w:pPr>
        <w:jc w:val="both"/>
        <w:ind w:left="2020" w:right="539" w:hanging="648"/>
        <w:spacing w:after="0" w:line="252" w:lineRule="auto"/>
        <w:tabs>
          <w:tab w:leader="none" w:pos="2019"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Bank to enquire whether a cable, telex or other notification was inaccurately transmitted, received or given by an unauthorised person (other than where such failure occurs due to the wilful default or fraud of the Bank);</w:t>
      </w:r>
    </w:p>
    <w:p>
      <w:pPr>
        <w:ind w:left="2020" w:right="259" w:hanging="648"/>
        <w:spacing w:after="0" w:line="239" w:lineRule="auto"/>
        <w:tabs>
          <w:tab w:leader="none" w:pos="202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impossibility or illegality of performance of, or any invalidity of or affecting, any Transaction Document or Bank Guarantee or any other document;</w:t>
      </w:r>
    </w:p>
    <w:p>
      <w:pPr>
        <w:ind w:left="2020" w:right="199" w:hanging="648"/>
        <w:spacing w:after="0" w:line="239" w:lineRule="auto"/>
        <w:tabs>
          <w:tab w:leader="none" w:pos="2063"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of any Government Body or arbitrator including any law, judgment, decree or order at any time in effect in any jurisdiction affecting any Transaction Document or Bank Guarantee or any document delivered under a Transaction Document;</w:t>
      </w:r>
    </w:p>
    <w:p>
      <w:pPr>
        <w:spacing w:after="0" w:line="1" w:lineRule="exact"/>
        <w:rPr>
          <w:rFonts w:ascii="Times New Roman" w:cs="Times New Roman" w:eastAsia="Times New Roman" w:hAnsi="Times New Roman"/>
          <w:sz w:val="20"/>
          <w:szCs w:val="20"/>
          <w:color w:val="auto"/>
        </w:rPr>
      </w:pPr>
    </w:p>
    <w:p>
      <w:pPr>
        <w:ind w:left="2020" w:right="179" w:hanging="648"/>
        <w:spacing w:after="0" w:line="239" w:lineRule="auto"/>
        <w:tabs>
          <w:tab w:leader="none" w:pos="206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obtain any consent, license or other authorisation necessary or desirable in connection with any Transaction Document or any Bank Guarantee; or</w:t>
      </w:r>
    </w:p>
    <w:p>
      <w:pPr>
        <w:ind w:left="2020" w:right="119" w:hanging="648"/>
        <w:spacing w:after="0" w:line="239" w:lineRule="auto"/>
        <w:tabs>
          <w:tab w:leader="none" w:pos="2063"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cause or circumstance, foreseen or unforeseen, whether or not similar to any of the above, affecting any Transaction Document or Bank Guarantee or any transaction under a Transaction Document or Bank Guarantee,</w:t>
      </w:r>
    </w:p>
    <w:p>
      <w:pPr>
        <w:spacing w:after="0" w:line="1" w:lineRule="exact"/>
        <w:rPr>
          <w:rFonts w:ascii="Times New Roman" w:cs="Times New Roman" w:eastAsia="Times New Roman" w:hAnsi="Times New Roman"/>
          <w:sz w:val="20"/>
          <w:szCs w:val="20"/>
          <w:color w:val="auto"/>
        </w:rPr>
      </w:pPr>
    </w:p>
    <w:p>
      <w:pPr>
        <w:ind w:left="2060" w:hanging="688"/>
        <w:spacing w:after="0"/>
        <w:tabs>
          <w:tab w:leader="none" w:pos="20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the Bank need not inquire into any of these matters.</w:t>
      </w:r>
    </w:p>
    <w:p>
      <w:pPr>
        <w:ind w:left="1380" w:right="139" w:hanging="656"/>
        <w:spacing w:after="0" w:line="241" w:lineRule="auto"/>
        <w:tabs>
          <w:tab w:leader="none" w:pos="141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w:t>
      </w:r>
    </w:p>
    <w:p>
      <w:pPr>
        <w:sectPr>
          <w:pgSz w:w="11900" w:h="16838" w:orient="portrait"/>
          <w:cols w:equalWidth="0" w:num="1">
            <w:col w:w="9019"/>
          </w:cols>
          <w:pgMar w:left="1440" w:top="118" w:right="1440" w:bottom="0" w:gutter="0" w:footer="0" w:header="0"/>
        </w:sectPr>
      </w:pPr>
    </w:p>
    <w:bookmarkStart w:id="70" w:name="page71"/>
    <w:bookmarkEnd w:id="70"/>
    <w:p>
      <w:pPr>
        <w:spacing w:after="0" w:line="91" w:lineRule="exact"/>
        <w:rPr>
          <w:sz w:val="20"/>
          <w:szCs w:val="20"/>
          <w:color w:val="auto"/>
        </w:rPr>
      </w:pPr>
    </w:p>
    <w:p>
      <w:pPr>
        <w:ind w:left="1380" w:right="139" w:hanging="656"/>
        <w:spacing w:after="0" w:line="246" w:lineRule="auto"/>
        <w:tabs>
          <w:tab w:leader="none" w:pos="138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w:t>
      </w:r>
    </w:p>
    <w:p>
      <w:pPr>
        <w:spacing w:after="0" w:line="189"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Mandatory prepayments</w:t>
      </w:r>
    </w:p>
    <w:p>
      <w:pPr>
        <w:spacing w:after="0" w:line="33" w:lineRule="exact"/>
        <w:rPr>
          <w:sz w:val="20"/>
          <w:szCs w:val="20"/>
          <w:color w:val="auto"/>
        </w:rPr>
      </w:pPr>
    </w:p>
    <w:p>
      <w:pPr>
        <w:ind w:left="1380" w:right="99" w:hanging="656"/>
        <w:spacing w:after="0" w:line="239" w:lineRule="auto"/>
        <w:tabs>
          <w:tab w:leader="none" w:pos="141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at the Borrower’s election, in permanent reduction of the unused portion of one or more of the Facility Limits.</w:t>
      </w:r>
    </w:p>
    <w:p>
      <w:pPr>
        <w:spacing w:after="0" w:line="3" w:lineRule="exact"/>
        <w:rPr>
          <w:rFonts w:ascii="Times New Roman" w:cs="Times New Roman" w:eastAsia="Times New Roman" w:hAnsi="Times New Roman"/>
          <w:sz w:val="20"/>
          <w:szCs w:val="20"/>
          <w:color w:val="auto"/>
        </w:rPr>
      </w:pPr>
    </w:p>
    <w:p>
      <w:pPr>
        <w:ind w:left="1380" w:right="539" w:hanging="656"/>
        <w:spacing w:after="0" w:line="261" w:lineRule="auto"/>
        <w:tabs>
          <w:tab w:leader="none" w:pos="1422"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must, in relation to the Permitted Disposal under paragraph (i) of that definition, apply an amount equal to $20,000,000 of the Net Sale Proceeds in permanent reduction of the Outstanding Accommodation under the Corporate Markets Loan Facility.</w:t>
      </w:r>
    </w:p>
    <w:p>
      <w:pPr>
        <w:spacing w:after="0" w:line="175"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Repayment</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Subject to clause 10.2 and clause 10.3, each Borrower must:</w:t>
      </w:r>
    </w:p>
    <w:p>
      <w:pPr>
        <w:spacing w:after="0" w:line="14" w:lineRule="exact"/>
        <w:rPr>
          <w:sz w:val="20"/>
          <w:szCs w:val="20"/>
          <w:color w:val="auto"/>
        </w:rPr>
      </w:pPr>
    </w:p>
    <w:p>
      <w:pPr>
        <w:ind w:left="1380" w:right="279" w:hanging="656"/>
        <w:spacing w:after="0" w:line="239" w:lineRule="auto"/>
        <w:tabs>
          <w:tab w:leader="none" w:pos="141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instalments, in permanent reduction of the Outstanding Accommodation and the Facility Limit for the Corporate Markets Loan Facility, of:</w:t>
      </w:r>
    </w:p>
    <w:p>
      <w:pPr>
        <w:ind w:left="2020" w:hanging="648"/>
        <w:spacing w:after="0"/>
        <w:tabs>
          <w:tab w:leader="none" w:pos="20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 on 31 October 2021;</w:t>
      </w:r>
    </w:p>
    <w:p>
      <w:pPr>
        <w:ind w:left="2120" w:hanging="748"/>
        <w:spacing w:after="0"/>
        <w:tabs>
          <w:tab w:leader="none" w:pos="21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 on 30 April 2022;</w:t>
      </w:r>
    </w:p>
    <w:p>
      <w:pPr>
        <w:ind w:left="2020" w:hanging="648"/>
        <w:spacing w:after="0"/>
        <w:tabs>
          <w:tab w:leader="none" w:pos="20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 on 31 October 2022;</w:t>
      </w:r>
    </w:p>
    <w:p>
      <w:pPr>
        <w:ind w:left="2160" w:hanging="788"/>
        <w:spacing w:after="0"/>
        <w:tabs>
          <w:tab w:leader="none" w:pos="21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 on 30 April 2023; and</w:t>
      </w:r>
    </w:p>
    <w:p>
      <w:pPr>
        <w:ind w:left="2160" w:hanging="788"/>
        <w:spacing w:after="0"/>
        <w:tabs>
          <w:tab w:leader="none" w:pos="21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 on 31 October 2023;</w:t>
      </w:r>
    </w:p>
    <w:p>
      <w:pPr>
        <w:spacing w:after="0" w:line="207" w:lineRule="exact"/>
        <w:rPr>
          <w:rFonts w:ascii="Times New Roman" w:cs="Times New Roman" w:eastAsia="Times New Roman" w:hAnsi="Times New Roman"/>
          <w:sz w:val="20"/>
          <w:szCs w:val="20"/>
          <w:color w:val="auto"/>
        </w:rPr>
      </w:pPr>
    </w:p>
    <w:p>
      <w:pPr>
        <w:ind w:left="1380" w:right="219" w:hanging="656"/>
        <w:spacing w:after="0" w:line="250" w:lineRule="auto"/>
        <w:tabs>
          <w:tab w:leader="none" w:pos="142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 the Outstanding Accommodation in respect of each Facility on the Termination Date in respect of that Facility; and</w:t>
      </w:r>
    </w:p>
    <w:p>
      <w:pPr>
        <w:spacing w:after="0" w:line="1" w:lineRule="exact"/>
        <w:rPr>
          <w:rFonts w:ascii="Times New Roman" w:cs="Times New Roman" w:eastAsia="Times New Roman" w:hAnsi="Times New Roman"/>
          <w:sz w:val="20"/>
          <w:szCs w:val="20"/>
          <w:color w:val="auto"/>
        </w:rPr>
      </w:pPr>
    </w:p>
    <w:p>
      <w:pPr>
        <w:ind w:left="1380" w:right="319" w:hanging="656"/>
        <w:spacing w:after="0" w:line="242" w:lineRule="auto"/>
        <w:tabs>
          <w:tab w:leader="none" w:pos="141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6, and any other provision in a Transaction Document that provides otherwise, pay any other amounts payable in connection with the Transaction Documents, to the Bank on demand.</w:t>
      </w:r>
    </w:p>
    <w:p>
      <w:pPr>
        <w:spacing w:after="0" w:line="1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Tranches</w:t>
      </w:r>
    </w:p>
    <w:p>
      <w:pPr>
        <w:spacing w:after="0" w:line="33" w:lineRule="exact"/>
        <w:rPr>
          <w:sz w:val="20"/>
          <w:szCs w:val="20"/>
          <w:color w:val="auto"/>
        </w:rPr>
      </w:pPr>
    </w:p>
    <w:p>
      <w:pPr>
        <w:ind w:left="720" w:right="219"/>
        <w:spacing w:after="0" w:line="243" w:lineRule="auto"/>
        <w:rPr>
          <w:sz w:val="20"/>
          <w:szCs w:val="20"/>
          <w:color w:val="auto"/>
        </w:rPr>
      </w:pPr>
      <w:r>
        <w:rPr>
          <w:rFonts w:ascii="Times New Roman" w:cs="Times New Roman" w:eastAsia="Times New Roman" w:hAnsi="Times New Roman"/>
          <w:sz w:val="20"/>
          <w:szCs w:val="20"/>
          <w:color w:val="auto"/>
        </w:rPr>
        <w:t>Amounts repaid or prepaid which form part of the Term Tranche may not be redrawn, and the Facility Limit in respect of the Corporate Markets Loan Facility will be reduced by the aggregate amount of such repayments or prepayments.</w:t>
      </w:r>
    </w:p>
    <w:p>
      <w:pPr>
        <w:spacing w:after="0" w:line="189" w:lineRule="exact"/>
        <w:rPr>
          <w:sz w:val="20"/>
          <w:szCs w:val="20"/>
          <w:color w:val="auto"/>
        </w:rPr>
      </w:pPr>
    </w:p>
    <w:p>
      <w:pPr>
        <w:ind w:left="860" w:hanging="784"/>
        <w:spacing w:after="0"/>
        <w:tabs>
          <w:tab w:leader="none" w:pos="860" w:val="left"/>
        </w:tabs>
        <w:numPr>
          <w:ilvl w:val="0"/>
          <w:numId w:val="106"/>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Interest and fees</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Pricing Periods</w:t>
      </w:r>
    </w:p>
    <w:p>
      <w:pPr>
        <w:spacing w:after="0" w:line="9" w:lineRule="exact"/>
        <w:rPr>
          <w:sz w:val="20"/>
          <w:szCs w:val="20"/>
          <w:color w:val="auto"/>
        </w:rPr>
      </w:pPr>
    </w:p>
    <w:p>
      <w:pPr>
        <w:ind w:left="1380" w:right="199" w:hanging="656"/>
        <w:spacing w:after="0" w:line="246" w:lineRule="auto"/>
        <w:tabs>
          <w:tab w:leader="none" w:pos="141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6.1(c), the Pricing Period for each Advance must be a period of 30, 60 or 90 days or six Months or another period agreed by the Bank.</w:t>
      </w:r>
    </w:p>
    <w:p>
      <w:pPr>
        <w:spacing w:after="0" w:line="1" w:lineRule="exact"/>
        <w:rPr>
          <w:rFonts w:ascii="Times New Roman" w:cs="Times New Roman" w:eastAsia="Times New Roman" w:hAnsi="Times New Roman"/>
          <w:sz w:val="20"/>
          <w:szCs w:val="20"/>
          <w:color w:val="auto"/>
        </w:rPr>
      </w:pPr>
    </w:p>
    <w:p>
      <w:pPr>
        <w:ind w:left="1380" w:right="399" w:hanging="656"/>
        <w:spacing w:after="0" w:line="239" w:lineRule="auto"/>
        <w:tabs>
          <w:tab w:leader="none" w:pos="142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6.1(c), the first Pricing Period for an Advance commences on its Funding Date and will have the duration specified in the relevant Funding Notice. Each subsequent Pricing Period for the Advance:</w:t>
      </w:r>
    </w:p>
    <w:p>
      <w:pPr>
        <w:spacing w:after="0" w:line="1"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commences on the day after the preceding Pricing Period for the Advance expires; and</w:t>
      </w:r>
    </w:p>
    <w:p>
      <w:pPr>
        <w:spacing w:after="0" w:line="11" w:lineRule="exact"/>
        <w:rPr>
          <w:rFonts w:ascii="Times New Roman" w:cs="Times New Roman" w:eastAsia="Times New Roman" w:hAnsi="Times New Roman"/>
          <w:sz w:val="19"/>
          <w:szCs w:val="19"/>
          <w:color w:val="auto"/>
        </w:rPr>
      </w:pPr>
    </w:p>
    <w:p>
      <w:pPr>
        <w:ind w:left="2020" w:right="99" w:hanging="648"/>
        <w:spacing w:after="0" w:line="239" w:lineRule="auto"/>
        <w:tabs>
          <w:tab w:leader="none" w:pos="2019"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period notified by the Borrower to the Bank at least two Business Days before the last day of the current Pricing Period, but if the Borrower does not give notice, is of the same duration as the Pricing Period which immediately precedes it.</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Pricing Period:</w:t>
      </w:r>
    </w:p>
    <w:p>
      <w:pPr>
        <w:ind w:left="2020" w:right="79" w:hanging="648"/>
        <w:spacing w:after="0" w:line="239" w:lineRule="auto"/>
        <w:tabs>
          <w:tab w:leader="none" w:pos="201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would otherwise end on a day which is not a Business Day ends on the next Business Day and a Pricing Period which would otherwise end after the Termination Date ends on the Termination Date. For the avoidance of doubt, if a Pricing Period ends on a day that is not followed by a Business Day, the Bank may extend that Pricing Period accordingly (except where this would be contrary to clause 6.1(c)(ii), in which case the Bank may shorten the Pricing Period); and</w:t>
      </w:r>
    </w:p>
    <w:p>
      <w:pPr>
        <w:spacing w:after="0" w:line="2"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adjusted by the Bank where necessary so that:</w:t>
      </w:r>
    </w:p>
    <w:p>
      <w:pPr>
        <w:ind w:left="2760" w:hanging="740"/>
        <w:spacing w:after="0"/>
        <w:tabs>
          <w:tab w:leader="none" w:pos="276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Pricing Period starts on a Business Day;</w:t>
      </w:r>
    </w:p>
    <w:p>
      <w:pPr>
        <w:ind w:left="2740" w:hanging="720"/>
        <w:spacing w:after="0"/>
        <w:tabs>
          <w:tab w:leader="none" w:pos="274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Advances will have the same Pricing Period;</w:t>
      </w:r>
    </w:p>
    <w:p>
      <w:pPr>
        <w:ind w:left="2740" w:hanging="720"/>
        <w:spacing w:after="0"/>
        <w:tabs>
          <w:tab w:leader="none" w:pos="274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Pricing Period does not end after the Termination Date; and</w:t>
      </w:r>
    </w:p>
    <w:p>
      <w:pPr>
        <w:ind w:left="2660" w:right="339" w:hanging="640"/>
        <w:spacing w:after="0" w:line="242" w:lineRule="auto"/>
        <w:tabs>
          <w:tab w:leader="none" w:pos="2746"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new Advance is made during a Pricing Period for an existing Advance, the first Pricing Period for that new Advance ends on the same day as the Pricing Period for the existing Advance.</w:t>
      </w:r>
    </w:p>
    <w:p>
      <w:pPr>
        <w:spacing w:after="0" w:line="1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Payment and rate</w:t>
      </w:r>
    </w:p>
    <w:p>
      <w:pPr>
        <w:spacing w:after="0" w:line="33" w:lineRule="exact"/>
        <w:rPr>
          <w:sz w:val="20"/>
          <w:szCs w:val="20"/>
          <w:color w:val="auto"/>
        </w:rPr>
      </w:pPr>
    </w:p>
    <w:p>
      <w:pPr>
        <w:ind w:left="1400" w:hanging="676"/>
        <w:spacing w:after="0"/>
        <w:tabs>
          <w:tab w:leader="none" w:pos="14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Corporate Markets Loan Facility:</w:t>
      </w:r>
    </w:p>
    <w:p>
      <w:pPr>
        <w:jc w:val="both"/>
        <w:ind w:left="2020" w:right="219" w:hanging="648"/>
        <w:spacing w:after="0" w:line="252" w:lineRule="auto"/>
        <w:tabs>
          <w:tab w:leader="none" w:pos="2018"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for each day is calculated by applying the Daily Interest Rate to the Advance at the end of that day (excluding any amount to which the Overdue Rate applies); and</w:t>
      </w:r>
    </w:p>
    <w:p>
      <w:pPr>
        <w:ind w:left="2020" w:hanging="648"/>
        <w:spacing w:after="0"/>
        <w:tabs>
          <w:tab w:leader="none" w:pos="20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pay accrued interest in respect of:</w:t>
      </w:r>
    </w:p>
    <w:p>
      <w:pPr>
        <w:ind w:left="2660" w:right="139" w:hanging="640"/>
        <w:spacing w:after="0" w:line="246" w:lineRule="auto"/>
        <w:tabs>
          <w:tab w:leader="none" w:pos="2746"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Pricing Period, on the First Business Day after the expiry of that Pricing Period; and</w:t>
      </w:r>
    </w:p>
    <w:p>
      <w:pPr>
        <w:sectPr>
          <w:pgSz w:w="11900" w:h="16930" w:orient="portrait"/>
          <w:cols w:equalWidth="0" w:num="1">
            <w:col w:w="9019"/>
          </w:cols>
          <w:pgMar w:left="1440" w:top="118" w:right="1440" w:bottom="0" w:gutter="0" w:footer="0" w:header="0"/>
        </w:sectPr>
      </w:pPr>
    </w:p>
    <w:bookmarkStart w:id="71" w:name="page72"/>
    <w:bookmarkEnd w:id="71"/>
    <w:p>
      <w:pPr>
        <w:ind w:left="2660" w:right="459" w:hanging="640"/>
        <w:spacing w:after="0" w:line="250" w:lineRule="auto"/>
        <w:tabs>
          <w:tab w:leader="none" w:pos="273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Pricing Period, for the period up to and including the Termination Date, on the Termination Date.</w:t>
      </w:r>
    </w:p>
    <w:p>
      <w:pPr>
        <w:spacing w:after="0" w:line="1" w:lineRule="exact"/>
        <w:rPr>
          <w:rFonts w:ascii="Times New Roman" w:cs="Times New Roman" w:eastAsia="Times New Roman" w:hAnsi="Times New Roman"/>
          <w:sz w:val="20"/>
          <w:szCs w:val="20"/>
          <w:color w:val="auto"/>
        </w:rPr>
      </w:pPr>
    </w:p>
    <w:p>
      <w:pPr>
        <w:ind w:left="1380" w:right="99" w:hanging="656"/>
        <w:spacing w:after="0" w:line="239" w:lineRule="auto"/>
        <w:tabs>
          <w:tab w:leader="none" w:pos="142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pay interest on Overdue Money, and such interest must be paid on demand by the Bank.</w:t>
      </w:r>
    </w:p>
    <w:p>
      <w:pPr>
        <w:ind w:left="1400" w:hanging="676"/>
        <w:spacing w:after="0"/>
        <w:tabs>
          <w:tab w:leader="none" w:pos="14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rate on Overdue Money will be the Overdue Rate.</w:t>
      </w:r>
    </w:p>
    <w:p>
      <w:pPr>
        <w:spacing w:after="0" w:line="198"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Computation of interest</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Interest will:</w:t>
      </w:r>
    </w:p>
    <w:p>
      <w:pPr>
        <w:spacing w:after="0" w:line="208" w:lineRule="exact"/>
        <w:rPr>
          <w:sz w:val="20"/>
          <w:szCs w:val="20"/>
          <w:color w:val="auto"/>
        </w:rPr>
      </w:pPr>
    </w:p>
    <w:p>
      <w:pPr>
        <w:ind w:left="1400" w:hanging="676"/>
        <w:spacing w:after="0"/>
        <w:tabs>
          <w:tab w:leader="none" w:pos="1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 from day to day;</w:t>
      </w:r>
    </w:p>
    <w:p>
      <w:pPr>
        <w:spacing w:after="0" w:line="21" w:lineRule="exact"/>
        <w:rPr>
          <w:rFonts w:ascii="Times New Roman" w:cs="Times New Roman" w:eastAsia="Times New Roman" w:hAnsi="Times New Roman"/>
          <w:sz w:val="20"/>
          <w:szCs w:val="20"/>
          <w:color w:val="auto"/>
        </w:rPr>
      </w:pPr>
    </w:p>
    <w:p>
      <w:pPr>
        <w:ind w:left="1380" w:right="419" w:hanging="656"/>
        <w:spacing w:after="0" w:line="239" w:lineRule="auto"/>
        <w:tabs>
          <w:tab w:leader="none" w:pos="142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computed from and including the day when the money on which interest is payable becomes owing to the Bank by the Borrower until but excluding the day of payment of that money; and</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calculated on the actual number of days elapsed on the basis of a 365 day year.</w:t>
      </w:r>
    </w:p>
    <w:p>
      <w:pPr>
        <w:spacing w:after="0" w:line="198"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Capitalisation of interest</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Bank may:</w:t>
      </w:r>
    </w:p>
    <w:p>
      <w:pPr>
        <w:spacing w:after="0" w:line="14" w:lineRule="exact"/>
        <w:rPr>
          <w:sz w:val="20"/>
          <w:szCs w:val="20"/>
          <w:color w:val="auto"/>
        </w:rPr>
      </w:pPr>
    </w:p>
    <w:p>
      <w:pPr>
        <w:ind w:left="1380" w:right="579" w:hanging="656"/>
        <w:spacing w:after="0" w:line="239" w:lineRule="auto"/>
        <w:tabs>
          <w:tab w:leader="none" w:pos="141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capitalise, on a monthly or other periodical basis as the Bank determines, any part of any interest which becomes due and payable and interest is payable in accordance with this document on capitalised interest; and</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capitalise interest despite:</w:t>
      </w:r>
    </w:p>
    <w:p>
      <w:pPr>
        <w:ind w:left="2020" w:right="219" w:hanging="648"/>
        <w:spacing w:after="0" w:line="239" w:lineRule="auto"/>
        <w:tabs>
          <w:tab w:leader="none" w:pos="2018"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as between the Bank and the Borrower the relationship of Bank and customer has ceased;</w:t>
      </w:r>
    </w:p>
    <w:p>
      <w:pPr>
        <w:ind w:left="2020" w:hanging="648"/>
        <w:spacing w:after="0"/>
        <w:tabs>
          <w:tab w:leader="none" w:pos="20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composition agreed to by the Bank;</w:t>
      </w:r>
    </w:p>
    <w:p>
      <w:pPr>
        <w:ind w:left="2020" w:hanging="648"/>
        <w:spacing w:after="0"/>
        <w:tabs>
          <w:tab w:leader="none" w:pos="20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judgment or order against the Borrower; or</w:t>
      </w:r>
    </w:p>
    <w:p>
      <w:pPr>
        <w:ind w:left="2060" w:hanging="688"/>
        <w:spacing w:after="0"/>
        <w:tabs>
          <w:tab w:leader="none" w:pos="206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thing.</w:t>
      </w:r>
    </w:p>
    <w:p>
      <w:pPr>
        <w:spacing w:after="0" w:line="198"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Merger</w:t>
      </w:r>
    </w:p>
    <w:p>
      <w:pPr>
        <w:spacing w:after="0" w:line="33" w:lineRule="exact"/>
        <w:rPr>
          <w:sz w:val="20"/>
          <w:szCs w:val="20"/>
          <w:color w:val="auto"/>
        </w:rPr>
      </w:pPr>
    </w:p>
    <w:p>
      <w:pPr>
        <w:ind w:left="720" w:right="319"/>
        <w:spacing w:after="0" w:line="241" w:lineRule="auto"/>
        <w:rPr>
          <w:sz w:val="20"/>
          <w:szCs w:val="20"/>
          <w:color w:val="auto"/>
        </w:rPr>
      </w:pPr>
      <w:r>
        <w:rPr>
          <w:rFonts w:ascii="Times New Roman" w:cs="Times New Roman" w:eastAsia="Times New Roman" w:hAnsi="Times New Roman"/>
          <w:sz w:val="20"/>
          <w:szCs w:val="20"/>
          <w:color w:val="auto"/>
        </w:rPr>
        <w:t>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w:t>
      </w:r>
    </w:p>
    <w:p>
      <w:pPr>
        <w:spacing w:after="0" w:line="202" w:lineRule="exact"/>
        <w:rPr>
          <w:sz w:val="20"/>
          <w:szCs w:val="20"/>
          <w:color w:val="auto"/>
        </w:rPr>
      </w:pPr>
    </w:p>
    <w:p>
      <w:pPr>
        <w:ind w:left="720" w:right="539"/>
        <w:spacing w:after="0" w:line="269" w:lineRule="auto"/>
        <w:rPr>
          <w:sz w:val="20"/>
          <w:szCs w:val="20"/>
          <w:color w:val="auto"/>
        </w:rPr>
      </w:pPr>
      <w:r>
        <w:rPr>
          <w:rFonts w:ascii="Times New Roman" w:cs="Times New Roman" w:eastAsia="Times New Roman" w:hAnsi="Times New Roman"/>
          <w:sz w:val="20"/>
          <w:szCs w:val="20"/>
          <w:color w:val="auto"/>
        </w:rPr>
        <w:t>payable under the Transaction Documents and that fixed by or payable under that deed, judgment, order or other thing.</w:t>
      </w:r>
    </w:p>
    <w:p>
      <w:pPr>
        <w:spacing w:after="0" w:line="164"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Reset Margin</w:t>
      </w:r>
    </w:p>
    <w:p>
      <w:pPr>
        <w:spacing w:after="0" w:line="33" w:lineRule="exact"/>
        <w:rPr>
          <w:sz w:val="20"/>
          <w:szCs w:val="20"/>
          <w:color w:val="auto"/>
        </w:rPr>
      </w:pPr>
    </w:p>
    <w:p>
      <w:pPr>
        <w:ind w:left="1380" w:right="239" w:hanging="656"/>
        <w:spacing w:after="0" w:line="239" w:lineRule="auto"/>
        <w:tabs>
          <w:tab w:leader="none" w:pos="141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pay a Reset Margin where a Pricing Period is, or becomes, shorter than 3 months.</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Reset Margin (if any) for a Pricing Period:</w:t>
      </w:r>
    </w:p>
    <w:p>
      <w:pPr>
        <w:ind w:left="2020" w:hanging="648"/>
        <w:spacing w:after="0"/>
        <w:tabs>
          <w:tab w:leader="none" w:pos="202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 determined by the Bank on the commencement of that period;</w:t>
      </w:r>
    </w:p>
    <w:p>
      <w:pPr>
        <w:ind w:left="2020" w:right="519" w:hanging="648"/>
        <w:spacing w:after="0" w:line="239" w:lineRule="auto"/>
        <w:tabs>
          <w:tab w:leader="none" w:pos="2019"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 advised to the Borrower in writing shortly after the commencement of that period; and</w:t>
      </w:r>
    </w:p>
    <w:p>
      <w:pPr>
        <w:ind w:left="2020" w:hanging="648"/>
        <w:spacing w:after="0"/>
        <w:tabs>
          <w:tab w:leader="none" w:pos="202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be fixed for that period.</w:t>
      </w:r>
    </w:p>
    <w:p>
      <w:pPr>
        <w:ind w:left="1380" w:right="259" w:hanging="656"/>
        <w:spacing w:after="0" w:line="239" w:lineRule="auto"/>
        <w:tabs>
          <w:tab w:leader="none" w:pos="141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6.6(b), if a Reset Margin is applicable to a Facility, the Bank may vary the rate of the Reset Margin from time to time (and any rate set out in this document is indicative only). The Bank publishes Reset Margin rates periodically on nab.com.au.</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Reset Margin will be payable in arrears:</w:t>
      </w:r>
    </w:p>
    <w:p>
      <w:pPr>
        <w:ind w:left="2020" w:right="239" w:hanging="648"/>
        <w:spacing w:after="0" w:line="239" w:lineRule="auto"/>
        <w:tabs>
          <w:tab w:leader="none" w:pos="201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first Business Day following the end of each Pricing Period that is shorter than 3 months;</w:t>
      </w:r>
    </w:p>
    <w:p>
      <w:pPr>
        <w:ind w:left="2020" w:hanging="648"/>
        <w:spacing w:after="0"/>
        <w:tabs>
          <w:tab w:leader="none" w:pos="202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Termination Date of the relevant Facility; and</w:t>
      </w:r>
    </w:p>
    <w:p>
      <w:pPr>
        <w:ind w:left="2020" w:hanging="648"/>
        <w:spacing w:after="0"/>
        <w:tabs>
          <w:tab w:leader="none" w:pos="202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early repayment or all or part of the relevant Advance.</w:t>
      </w:r>
    </w:p>
    <w:p>
      <w:pPr>
        <w:ind w:left="1380" w:right="479" w:hanging="656"/>
        <w:spacing w:after="0" w:line="271" w:lineRule="auto"/>
        <w:tabs>
          <w:tab w:leader="none" w:pos="1411"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Reset Margin is calculated on a daily basis on the outstanding principal amount of the relevant Advance on the basis of a 365 day year and the actual number of days elapsed.</w:t>
      </w:r>
    </w:p>
    <w:p>
      <w:pPr>
        <w:spacing w:after="0" w:line="164" w:lineRule="exact"/>
        <w:rPr>
          <w:sz w:val="20"/>
          <w:szCs w:val="20"/>
          <w:color w:val="auto"/>
        </w:rPr>
      </w:pPr>
    </w:p>
    <w:p>
      <w:pPr>
        <w:ind w:left="860" w:hanging="784"/>
        <w:spacing w:after="0"/>
        <w:tabs>
          <w:tab w:leader="none" w:pos="860" w:val="left"/>
        </w:tabs>
        <w:numPr>
          <w:ilvl w:val="0"/>
          <w:numId w:val="114"/>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Payments</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Place, manner and time of payment</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Each Transaction Party must make payments to the Bank under the Transaction Documents:</w:t>
      </w:r>
    </w:p>
    <w:p>
      <w:pPr>
        <w:ind w:left="1400" w:hanging="676"/>
        <w:spacing w:after="0"/>
        <w:tabs>
          <w:tab w:leader="none" w:pos="14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address specified in clause 19.3 or at such other place reasonably required by the Bank;</w:t>
      </w:r>
    </w:p>
    <w:p>
      <w:pPr>
        <w:ind w:left="1420" w:hanging="696"/>
        <w:spacing w:after="0"/>
        <w:tabs>
          <w:tab w:leader="none" w:pos="14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reasonably required by the Bank;</w:t>
      </w:r>
    </w:p>
    <w:p>
      <w:pPr>
        <w:ind w:left="1400" w:hanging="676"/>
        <w:spacing w:after="0"/>
        <w:tabs>
          <w:tab w:leader="none" w:pos="14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11.00 am local time in the place where payment is required to be made; and</w:t>
      </w:r>
    </w:p>
    <w:p>
      <w:pPr>
        <w:ind w:left="1380" w:right="779" w:hanging="656"/>
        <w:spacing w:after="0" w:line="246" w:lineRule="auto"/>
        <w:tabs>
          <w:tab w:leader="none" w:pos="142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immediately available funds and without set-off, counter claim, condition or, unless required by law, deduction or withholding.</w:t>
      </w:r>
    </w:p>
    <w:p>
      <w:pPr>
        <w:spacing w:after="0" w:line="18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Gross-up</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If a Transaction Party is required by law to deduct or withhold Taxes from any payment it must:</w:t>
      </w:r>
    </w:p>
    <w:p>
      <w:pPr>
        <w:ind w:left="1400" w:hanging="676"/>
        <w:spacing w:after="0"/>
        <w:tabs>
          <w:tab w:leader="none" w:pos="14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the required deduction and withholding;</w:t>
      </w:r>
    </w:p>
    <w:p>
      <w:pPr>
        <w:ind w:left="1420" w:hanging="696"/>
        <w:spacing w:after="0"/>
        <w:tabs>
          <w:tab w:leader="none" w:pos="142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full amount deducted or withheld in accordance with the relevant law;</w:t>
      </w:r>
    </w:p>
    <w:p>
      <w:pPr>
        <w:ind w:left="1400" w:hanging="676"/>
        <w:spacing w:after="0"/>
        <w:tabs>
          <w:tab w:leader="none" w:pos="14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Bank an original receipt for each payment; and</w:t>
      </w:r>
    </w:p>
    <w:p>
      <w:pPr>
        <w:sectPr>
          <w:pgSz w:w="11900" w:h="16838" w:orient="portrait"/>
          <w:cols w:equalWidth="0" w:num="1">
            <w:col w:w="9019"/>
          </w:cols>
          <w:pgMar w:left="1440" w:top="118" w:right="1440" w:bottom="0" w:gutter="0" w:footer="0" w:header="0"/>
        </w:sectPr>
      </w:pPr>
    </w:p>
    <w:bookmarkStart w:id="72" w:name="page73"/>
    <w:bookmarkEnd w:id="72"/>
    <w:p>
      <w:pPr>
        <w:ind w:left="1380" w:right="159" w:hanging="656"/>
        <w:spacing w:after="0" w:line="253" w:lineRule="auto"/>
        <w:tabs>
          <w:tab w:leader="none" w:pos="142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an additional amount with such payment so that, after all applicable deductions or withholdings, the Bank actually receives for its own benefit the full amount which would have been payable to the Bank if no deduction or withholding had been required.</w:t>
      </w:r>
    </w:p>
    <w:p>
      <w:pPr>
        <w:spacing w:after="0" w:line="181"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Appropriation</w:t>
      </w:r>
    </w:p>
    <w:p>
      <w:pPr>
        <w:spacing w:after="0" w:line="33" w:lineRule="exact"/>
        <w:rPr>
          <w:sz w:val="20"/>
          <w:szCs w:val="20"/>
          <w:color w:val="auto"/>
        </w:rPr>
      </w:pPr>
    </w:p>
    <w:p>
      <w:pPr>
        <w:ind w:left="720" w:right="379"/>
        <w:spacing w:after="0" w:line="241" w:lineRule="auto"/>
        <w:rPr>
          <w:sz w:val="20"/>
          <w:szCs w:val="20"/>
          <w:color w:val="auto"/>
        </w:rPr>
      </w:pPr>
      <w:r>
        <w:rPr>
          <w:rFonts w:ascii="Times New Roman" w:cs="Times New Roman" w:eastAsia="Times New Roman" w:hAnsi="Times New Roman"/>
          <w:sz w:val="20"/>
          <w:szCs w:val="20"/>
          <w:color w:val="auto"/>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p>
    <w:p>
      <w:pPr>
        <w:spacing w:after="0" w:line="193" w:lineRule="exact"/>
        <w:rPr>
          <w:sz w:val="20"/>
          <w:szCs w:val="20"/>
          <w:color w:val="auto"/>
        </w:rPr>
      </w:pPr>
    </w:p>
    <w:p>
      <w:pPr>
        <w:ind w:left="860" w:hanging="784"/>
        <w:spacing w:after="0"/>
        <w:tabs>
          <w:tab w:leader="none" w:pos="860" w:val="left"/>
        </w:tabs>
        <w:numPr>
          <w:ilvl w:val="0"/>
          <w:numId w:val="118"/>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Representations and warranties</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Nature</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Each Transaction Party represents and warrants that:</w:t>
      </w:r>
    </w:p>
    <w:p>
      <w:pPr>
        <w:spacing w:after="0" w:line="204" w:lineRule="exact"/>
        <w:rPr>
          <w:sz w:val="20"/>
          <w:szCs w:val="20"/>
          <w:color w:val="auto"/>
        </w:rPr>
      </w:pPr>
    </w:p>
    <w:p>
      <w:pPr>
        <w:ind w:left="1380" w:right="119" w:hanging="656"/>
        <w:spacing w:after="0" w:line="246" w:lineRule="auto"/>
        <w:tabs>
          <w:tab w:leader="none" w:pos="141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duly incorporated</w:t>
      </w:r>
      <w:r>
        <w:rPr>
          <w:rFonts w:ascii="Times New Roman" w:cs="Times New Roman" w:eastAsia="Times New Roman" w:hAnsi="Times New Roman"/>
          <w:sz w:val="20"/>
          <w:szCs w:val="20"/>
          <w:color w:val="auto"/>
        </w:rPr>
        <w:t>: if it purports to be a corporation, it is duly incorporated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laws of its place of incorporation, validly exists under those laws and has the capacity to sue or be sued in its own name and to own its property and conduct its business as it is being conducted;</w:t>
      </w:r>
    </w:p>
    <w:p>
      <w:pPr>
        <w:spacing w:after="0" w:line="1" w:lineRule="exact"/>
        <w:rPr>
          <w:rFonts w:ascii="Times New Roman" w:cs="Times New Roman" w:eastAsia="Times New Roman" w:hAnsi="Times New Roman"/>
          <w:sz w:val="20"/>
          <w:szCs w:val="20"/>
          <w:color w:val="auto"/>
        </w:rPr>
      </w:pPr>
    </w:p>
    <w:p>
      <w:pPr>
        <w:ind w:left="1380" w:right="959" w:hanging="656"/>
        <w:spacing w:after="0" w:line="239" w:lineRule="auto"/>
        <w:tabs>
          <w:tab w:leader="none" w:pos="142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capacity</w:t>
      </w:r>
      <w:r>
        <w:rPr>
          <w:rFonts w:ascii="Times New Roman" w:cs="Times New Roman" w:eastAsia="Times New Roman" w:hAnsi="Times New Roman"/>
          <w:sz w:val="20"/>
          <w:szCs w:val="20"/>
          <w:color w:val="auto"/>
        </w:rPr>
        <w:t>: it has capacity unconditionally to execute and deliver and comply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under the Transaction Documents;</w:t>
      </w:r>
    </w:p>
    <w:p>
      <w:pPr>
        <w:ind w:left="1380" w:right="419" w:hanging="656"/>
        <w:spacing w:after="0" w:line="239" w:lineRule="auto"/>
        <w:tabs>
          <w:tab w:leader="none" w:pos="141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action taken</w:t>
      </w:r>
      <w:r>
        <w:rPr>
          <w:rFonts w:ascii="Times New Roman" w:cs="Times New Roman" w:eastAsia="Times New Roman" w:hAnsi="Times New Roman"/>
          <w:sz w:val="20"/>
          <w:szCs w:val="20"/>
          <w:color w:val="auto"/>
        </w:rPr>
        <w:t>: it has taken all necessary action to authorise the unconditional execution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delivery of, and the compliance with its obligations under, the Transaction Documents to which it is a party;</w:t>
      </w:r>
    </w:p>
    <w:p>
      <w:pPr>
        <w:spacing w:after="0" w:line="1" w:lineRule="exact"/>
        <w:rPr>
          <w:rFonts w:ascii="Times New Roman" w:cs="Times New Roman" w:eastAsia="Times New Roman" w:hAnsi="Times New Roman"/>
          <w:sz w:val="20"/>
          <w:szCs w:val="20"/>
          <w:color w:val="auto"/>
        </w:rPr>
      </w:pPr>
    </w:p>
    <w:p>
      <w:pPr>
        <w:ind w:left="1380" w:right="99" w:hanging="656"/>
        <w:spacing w:after="0" w:line="239" w:lineRule="auto"/>
        <w:tabs>
          <w:tab w:leader="none" w:pos="142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binding obligations</w:t>
      </w:r>
      <w:r>
        <w:rPr>
          <w:rFonts w:ascii="Times New Roman" w:cs="Times New Roman" w:eastAsia="Times New Roman" w:hAnsi="Times New Roman"/>
          <w:sz w:val="20"/>
          <w:szCs w:val="20"/>
          <w:color w:val="auto"/>
        </w:rPr>
        <w:t>: each Transaction Document constitutes the valid and legally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of, and is enforceable against it by the Bank in accordance with its terms (subject to any necessary stamping or registration and to equitable principles and insolvency laws);</w:t>
      </w:r>
    </w:p>
    <w:p>
      <w:pPr>
        <w:spacing w:after="0" w:line="1" w:lineRule="exact"/>
        <w:rPr>
          <w:rFonts w:ascii="Times New Roman" w:cs="Times New Roman" w:eastAsia="Times New Roman" w:hAnsi="Times New Roman"/>
          <w:sz w:val="20"/>
          <w:szCs w:val="20"/>
          <w:color w:val="auto"/>
        </w:rPr>
      </w:pPr>
    </w:p>
    <w:p>
      <w:pPr>
        <w:ind w:left="1380" w:right="419" w:hanging="656"/>
        <w:spacing w:after="0" w:line="239" w:lineRule="auto"/>
        <w:tabs>
          <w:tab w:leader="none" w:pos="141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priority</w:t>
      </w:r>
      <w:r>
        <w:rPr>
          <w:rFonts w:ascii="Times New Roman" w:cs="Times New Roman" w:eastAsia="Times New Roman" w:hAnsi="Times New Roman"/>
          <w:sz w:val="20"/>
          <w:szCs w:val="20"/>
          <w:color w:val="auto"/>
        </w:rPr>
        <w:t>: each Security Interest which each Transaction Document purports to create exists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has the priority which the Bank has agreed to (subject to any necessary stamping and registration);</w:t>
      </w:r>
    </w:p>
    <w:p>
      <w:pPr>
        <w:spacing w:after="0" w:line="1" w:lineRule="exact"/>
        <w:rPr>
          <w:rFonts w:ascii="Times New Roman" w:cs="Times New Roman" w:eastAsia="Times New Roman" w:hAnsi="Times New Roman"/>
          <w:sz w:val="20"/>
          <w:szCs w:val="20"/>
          <w:color w:val="auto"/>
        </w:rPr>
      </w:pPr>
    </w:p>
    <w:p>
      <w:pPr>
        <w:ind w:left="1380" w:right="199" w:hanging="656"/>
        <w:spacing w:after="0" w:line="239" w:lineRule="auto"/>
        <w:tabs>
          <w:tab w:leader="none" w:pos="138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authorisations</w:t>
      </w:r>
      <w:r>
        <w:rPr>
          <w:rFonts w:ascii="Times New Roman" w:cs="Times New Roman" w:eastAsia="Times New Roman" w:hAnsi="Times New Roman"/>
          <w:sz w:val="20"/>
          <w:szCs w:val="20"/>
          <w:color w:val="auto"/>
        </w:rPr>
        <w:t>: each authorisation from, and filing and registration with, a Government Body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to enable it to unconditionally execute and deliver and comply with its obligations under the Transaction Documents to which it is a party has been obtained, effected and complied with;</w:t>
      </w:r>
    </w:p>
    <w:p>
      <w:pPr>
        <w:spacing w:after="0" w:line="1" w:lineRule="exact"/>
        <w:rPr>
          <w:rFonts w:ascii="Times New Roman" w:cs="Times New Roman" w:eastAsia="Times New Roman" w:hAnsi="Times New Roman"/>
          <w:sz w:val="20"/>
          <w:szCs w:val="20"/>
          <w:color w:val="auto"/>
        </w:rPr>
      </w:pPr>
    </w:p>
    <w:p>
      <w:pPr>
        <w:ind w:left="1380" w:right="639" w:hanging="656"/>
        <w:spacing w:after="0" w:line="239" w:lineRule="auto"/>
        <w:tabs>
          <w:tab w:leader="none" w:pos="142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contravention</w:t>
      </w:r>
      <w:r>
        <w:rPr>
          <w:rFonts w:ascii="Times New Roman" w:cs="Times New Roman" w:eastAsia="Times New Roman" w:hAnsi="Times New Roman"/>
          <w:sz w:val="20"/>
          <w:szCs w:val="20"/>
          <w:color w:val="auto"/>
        </w:rPr>
        <w:t>: the unconditional execution and delivery of, and compliance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by it under, the Transaction Documents to which it is a party do not:</w:t>
      </w:r>
    </w:p>
    <w:p>
      <w:pPr>
        <w:ind w:left="2020" w:right="819" w:hanging="648"/>
        <w:spacing w:after="0" w:line="239" w:lineRule="auto"/>
        <w:tabs>
          <w:tab w:leader="none" w:pos="201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any law to which it or any of its property is subject or any order or directive from a Government Body binding on it or any of its property;</w:t>
      </w:r>
    </w:p>
    <w:p>
      <w:pPr>
        <w:ind w:left="2020" w:hanging="648"/>
        <w:spacing w:after="0"/>
        <w:tabs>
          <w:tab w:leader="none" w:pos="202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its constituent documents;</w:t>
      </w:r>
    </w:p>
    <w:p>
      <w:pPr>
        <w:ind w:left="2020" w:hanging="648"/>
        <w:spacing w:after="0"/>
        <w:tabs>
          <w:tab w:leader="none" w:pos="202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any agreement or instrument to which it is a party;</w:t>
      </w:r>
    </w:p>
    <w:p>
      <w:pPr>
        <w:ind w:left="2060" w:hanging="688"/>
        <w:spacing w:after="0"/>
        <w:tabs>
          <w:tab w:leader="none" w:pos="20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any obligation it has to any other person; or</w:t>
      </w:r>
    </w:p>
    <w:p>
      <w:pPr>
        <w:ind w:left="2020" w:right="319" w:hanging="648"/>
        <w:spacing w:after="0" w:line="239" w:lineRule="auto"/>
        <w:tabs>
          <w:tab w:leader="none" w:pos="2062"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it to make any payment or delivery in relation to any Financial Indebtedness (other than Excluded Financial Indebtedness) before the scheduled date for that payment or delivery;</w:t>
      </w:r>
    </w:p>
    <w:p>
      <w:pPr>
        <w:spacing w:after="0" w:line="1" w:lineRule="exact"/>
        <w:rPr>
          <w:rFonts w:ascii="Times New Roman" w:cs="Times New Roman" w:eastAsia="Times New Roman" w:hAnsi="Times New Roman"/>
          <w:sz w:val="20"/>
          <w:szCs w:val="20"/>
          <w:color w:val="auto"/>
        </w:rPr>
      </w:pPr>
    </w:p>
    <w:p>
      <w:pPr>
        <w:ind w:left="1380" w:right="159" w:hanging="656"/>
        <w:spacing w:after="0" w:line="252" w:lineRule="auto"/>
        <w:tabs>
          <w:tab w:leader="none" w:pos="142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correct information</w:t>
      </w:r>
      <w:r>
        <w:rPr>
          <w:rFonts w:ascii="Times New Roman" w:cs="Times New Roman" w:eastAsia="Times New Roman" w:hAnsi="Times New Roman"/>
          <w:sz w:val="19"/>
          <w:szCs w:val="19"/>
          <w:color w:val="auto"/>
        </w:rPr>
        <w:t>: all information given and each statement made to any Bank by it or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direction in relation to the Transaction Documents, is correct, complete and not misleading;</w:t>
      </w:r>
    </w:p>
    <w:p>
      <w:pPr>
        <w:ind w:left="1380" w:right="239" w:hanging="656"/>
        <w:spacing w:after="0" w:line="239" w:lineRule="auto"/>
        <w:tabs>
          <w:tab w:leader="none" w:pos="137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full disclosure</w:t>
      </w:r>
      <w:r>
        <w:rPr>
          <w:rFonts w:ascii="Times New Roman" w:cs="Times New Roman" w:eastAsia="Times New Roman" w:hAnsi="Times New Roman"/>
          <w:sz w:val="20"/>
          <w:szCs w:val="20"/>
          <w:color w:val="auto"/>
        </w:rPr>
        <w:t>: it has disclosed to the Bank all information which the Borrower has or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access to and which is relevant to the assessment by the Bank of the nature and amount of the risks undertaken by the Bank becoming a creditor of or taking a Security from it;</w:t>
      </w:r>
    </w:p>
    <w:p>
      <w:pPr>
        <w:spacing w:after="0" w:line="1" w:lineRule="exact"/>
        <w:rPr>
          <w:rFonts w:ascii="Times New Roman" w:cs="Times New Roman" w:eastAsia="Times New Roman" w:hAnsi="Times New Roman"/>
          <w:sz w:val="20"/>
          <w:szCs w:val="20"/>
          <w:color w:val="auto"/>
        </w:rPr>
      </w:pPr>
    </w:p>
    <w:p>
      <w:pPr>
        <w:ind w:left="1380" w:right="559" w:hanging="656"/>
        <w:spacing w:after="0" w:line="239" w:lineRule="auto"/>
        <w:tabs>
          <w:tab w:leader="none" w:pos="137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the Financial Statements of each of Transaction Party given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under clause 9.3:</w:t>
      </w:r>
    </w:p>
    <w:p>
      <w:pPr>
        <w:jc w:val="both"/>
        <w:ind w:left="2020" w:right="419" w:hanging="648"/>
        <w:spacing w:after="0" w:line="239" w:lineRule="auto"/>
        <w:tabs>
          <w:tab w:leader="none" w:pos="201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 true, fair and accurate statement of their respective financial performance and position and their respective consolidated financial performance and position at the date to which they are prepared; and</w:t>
      </w:r>
    </w:p>
    <w:p>
      <w:pPr>
        <w:spacing w:after="0" w:line="1" w:lineRule="exact"/>
        <w:rPr>
          <w:rFonts w:ascii="Times New Roman" w:cs="Times New Roman" w:eastAsia="Times New Roman" w:hAnsi="Times New Roman"/>
          <w:sz w:val="20"/>
          <w:szCs w:val="20"/>
          <w:color w:val="auto"/>
        </w:rPr>
      </w:pPr>
    </w:p>
    <w:p>
      <w:pPr>
        <w:ind w:left="2020" w:right="259" w:hanging="648"/>
        <w:spacing w:after="0" w:line="239" w:lineRule="auto"/>
        <w:tabs>
          <w:tab w:leader="none" w:pos="2019"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prepared in accordance with clause 9.2 and 9.3, except for such departures expressly disclosed in those Financial Statements;</w:t>
      </w:r>
    </w:p>
    <w:p>
      <w:pPr>
        <w:ind w:left="1380" w:right="339" w:hanging="656"/>
        <w:spacing w:after="0" w:line="239" w:lineRule="auto"/>
        <w:tabs>
          <w:tab w:leader="none" w:pos="142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change in financial position</w:t>
      </w:r>
      <w:r>
        <w:rPr>
          <w:rFonts w:ascii="Times New Roman" w:cs="Times New Roman" w:eastAsia="Times New Roman" w:hAnsi="Times New Roman"/>
          <w:sz w:val="20"/>
          <w:szCs w:val="20"/>
          <w:color w:val="auto"/>
        </w:rPr>
        <w:t>: there has been no change in the financial performance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 of a Transaction Party since the date to which the last Financial Statements given to the Bank under clause 9.3 were prepared, which has a Material Adverse Effect;</w:t>
      </w:r>
    </w:p>
    <w:p>
      <w:pPr>
        <w:spacing w:after="0" w:line="1" w:lineRule="exact"/>
        <w:rPr>
          <w:rFonts w:ascii="Times New Roman" w:cs="Times New Roman" w:eastAsia="Times New Roman" w:hAnsi="Times New Roman"/>
          <w:sz w:val="20"/>
          <w:szCs w:val="20"/>
          <w:color w:val="auto"/>
        </w:rPr>
      </w:pPr>
    </w:p>
    <w:p>
      <w:pPr>
        <w:ind w:left="1380" w:right="339" w:hanging="656"/>
        <w:spacing w:after="0" w:line="239" w:lineRule="auto"/>
        <w:tabs>
          <w:tab w:leader="none" w:pos="137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related party transaction</w:t>
      </w:r>
      <w:r>
        <w:rPr>
          <w:rFonts w:ascii="Times New Roman" w:cs="Times New Roman" w:eastAsia="Times New Roman" w:hAnsi="Times New Roman"/>
          <w:sz w:val="20"/>
          <w:szCs w:val="20"/>
          <w:color w:val="auto"/>
        </w:rPr>
        <w:t>: no person has contravened or will contravene sections 208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209 of the Corporations Act due to a Transaction Party entering into or performing its obligations under a Transaction Document;</w:t>
      </w:r>
    </w:p>
    <w:p>
      <w:pPr>
        <w:spacing w:after="0" w:line="1" w:lineRule="exact"/>
        <w:rPr>
          <w:rFonts w:ascii="Times New Roman" w:cs="Times New Roman" w:eastAsia="Times New Roman" w:hAnsi="Times New Roman"/>
          <w:sz w:val="20"/>
          <w:szCs w:val="20"/>
          <w:color w:val="auto"/>
        </w:rPr>
      </w:pPr>
    </w:p>
    <w:p>
      <w:pPr>
        <w:ind w:left="1380" w:right="179" w:hanging="656"/>
        <w:spacing w:after="0" w:line="239" w:lineRule="auto"/>
        <w:tabs>
          <w:tab w:leader="none" w:pos="147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proceeding</w:t>
      </w:r>
      <w:r>
        <w:rPr>
          <w:rFonts w:ascii="Times New Roman" w:cs="Times New Roman" w:eastAsia="Times New Roman" w:hAnsi="Times New Roman"/>
          <w:sz w:val="20"/>
          <w:szCs w:val="20"/>
          <w:color w:val="auto"/>
        </w:rPr>
        <w:t>: except as notified to the Bank in writing before the date of this document,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litigation, arbitration or administrative proceeding is current, pending or, to the knowledge of the Borrower, threatened, which has, or the adverse determination of which would be likely to have, a Material Adverse Effect;</w:t>
      </w:r>
    </w:p>
    <w:p>
      <w:pPr>
        <w:spacing w:after="0" w:line="1" w:lineRule="exact"/>
        <w:rPr>
          <w:rFonts w:ascii="Times New Roman" w:cs="Times New Roman" w:eastAsia="Times New Roman" w:hAnsi="Times New Roman"/>
          <w:sz w:val="20"/>
          <w:szCs w:val="20"/>
          <w:color w:val="auto"/>
        </w:rPr>
      </w:pPr>
    </w:p>
    <w:p>
      <w:pPr>
        <w:ind w:left="1380" w:right="759" w:hanging="656"/>
        <w:spacing w:after="0" w:line="239" w:lineRule="auto"/>
        <w:tabs>
          <w:tab w:leader="none" w:pos="142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trust</w:t>
      </w:r>
      <w:r>
        <w:rPr>
          <w:rFonts w:ascii="Times New Roman" w:cs="Times New Roman" w:eastAsia="Times New Roman" w:hAnsi="Times New Roman"/>
          <w:sz w:val="20"/>
          <w:szCs w:val="20"/>
          <w:color w:val="auto"/>
        </w:rPr>
        <w:t>: except as notified to the Bank in writing before the date of this document,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Party enters into a Transaction Document as trustee of any trust;</w:t>
      </w:r>
    </w:p>
    <w:p>
      <w:pPr>
        <w:ind w:left="1380" w:right="259" w:hanging="656"/>
        <w:spacing w:after="0" w:line="239" w:lineRule="auto"/>
        <w:tabs>
          <w:tab w:leader="none" w:pos="142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sole owner and no Encumbrances</w:t>
      </w:r>
      <w:r>
        <w:rPr>
          <w:rFonts w:ascii="Times New Roman" w:cs="Times New Roman" w:eastAsia="Times New Roman" w:hAnsi="Times New Roman"/>
          <w:sz w:val="20"/>
          <w:szCs w:val="20"/>
          <w:color w:val="auto"/>
        </w:rPr>
        <w:t>: except as notified to the Bank in writing before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document:</w:t>
      </w:r>
    </w:p>
    <w:p>
      <w:pPr>
        <w:ind w:left="2020" w:right="119" w:hanging="648"/>
        <w:spacing w:after="0" w:line="246" w:lineRule="auto"/>
        <w:tabs>
          <w:tab w:leader="none" w:pos="201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Transaction Party is the sole legal and beneficial owner of the property it purports to own; and</w:t>
      </w:r>
    </w:p>
    <w:p>
      <w:pPr>
        <w:sectPr>
          <w:pgSz w:w="11900" w:h="16838" w:orient="portrait"/>
          <w:cols w:equalWidth="0" w:num="1">
            <w:col w:w="9019"/>
          </w:cols>
          <w:pgMar w:left="1440" w:top="118" w:right="1440" w:bottom="0" w:gutter="0" w:footer="0" w:header="0"/>
        </w:sectPr>
      </w:pPr>
    </w:p>
    <w:bookmarkStart w:id="73" w:name="page74"/>
    <w:bookmarkEnd w:id="73"/>
    <w:p>
      <w:pPr>
        <w:ind w:left="2020" w:right="599" w:hanging="648"/>
        <w:spacing w:after="0" w:line="250" w:lineRule="auto"/>
        <w:tabs>
          <w:tab w:leader="none" w:pos="2019"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Encumbrances over the property of any Transaction Party other than Permitted Encumbrances;</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 existing default: </w:t>
      </w:r>
      <w:r>
        <w:rPr>
          <w:rFonts w:ascii="Times New Roman" w:cs="Times New Roman" w:eastAsia="Times New Roman" w:hAnsi="Times New Roman"/>
          <w:sz w:val="19"/>
          <w:szCs w:val="19"/>
          <w:color w:val="auto"/>
        </w:rPr>
        <w:t>no Event of Default, Review Event or Potential Event of Default subsists;</w:t>
      </w:r>
    </w:p>
    <w:p>
      <w:pPr>
        <w:spacing w:after="0" w:line="11" w:lineRule="exact"/>
        <w:rPr>
          <w:rFonts w:ascii="Times New Roman" w:cs="Times New Roman" w:eastAsia="Times New Roman" w:hAnsi="Times New Roman"/>
          <w:sz w:val="19"/>
          <w:szCs w:val="19"/>
          <w:color w:val="auto"/>
        </w:rPr>
      </w:pPr>
    </w:p>
    <w:p>
      <w:pPr>
        <w:ind w:left="1380" w:right="359" w:hanging="656"/>
        <w:spacing w:after="0" w:line="239" w:lineRule="auto"/>
        <w:tabs>
          <w:tab w:leader="none" w:pos="142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ranking of obligations</w:t>
      </w:r>
      <w:r>
        <w:rPr>
          <w:rFonts w:ascii="Times New Roman" w:cs="Times New Roman" w:eastAsia="Times New Roman" w:hAnsi="Times New Roman"/>
          <w:sz w:val="20"/>
          <w:szCs w:val="20"/>
          <w:color w:val="auto"/>
        </w:rPr>
        <w:t>: each obligation of the Borrower under this document ranks at least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pari passu with all unsecured and unsubordinated obligations of the Borrower except obligations mandatorily preferred by law;</w:t>
      </w:r>
    </w:p>
    <w:p>
      <w:pPr>
        <w:spacing w:after="0" w:line="1" w:lineRule="exact"/>
        <w:rPr>
          <w:rFonts w:ascii="Times New Roman" w:cs="Times New Roman" w:eastAsia="Times New Roman" w:hAnsi="Times New Roman"/>
          <w:sz w:val="20"/>
          <w:szCs w:val="20"/>
          <w:color w:val="auto"/>
        </w:rPr>
      </w:pPr>
    </w:p>
    <w:p>
      <w:pPr>
        <w:ind w:left="1380" w:right="219" w:hanging="656"/>
        <w:spacing w:after="0" w:line="239" w:lineRule="auto"/>
        <w:tabs>
          <w:tab w:leader="none" w:pos="138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warranties correct</w:t>
      </w:r>
      <w:r>
        <w:rPr>
          <w:rFonts w:ascii="Times New Roman" w:cs="Times New Roman" w:eastAsia="Times New Roman" w:hAnsi="Times New Roman"/>
          <w:sz w:val="20"/>
          <w:szCs w:val="20"/>
          <w:color w:val="auto"/>
        </w:rPr>
        <w:t>: the representations and warranties given by any Transaction Party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Document are correct in all material respects and not misleading in any material respect and will be when given or repeated;</w:t>
      </w:r>
    </w:p>
    <w:p>
      <w:pPr>
        <w:spacing w:after="0" w:line="1" w:lineRule="exact"/>
        <w:rPr>
          <w:rFonts w:ascii="Times New Roman" w:cs="Times New Roman" w:eastAsia="Times New Roman" w:hAnsi="Times New Roman"/>
          <w:sz w:val="20"/>
          <w:szCs w:val="20"/>
          <w:color w:val="auto"/>
        </w:rPr>
      </w:pPr>
    </w:p>
    <w:p>
      <w:pPr>
        <w:ind w:left="1380" w:right="259" w:hanging="656"/>
        <w:spacing w:after="0" w:line="239" w:lineRule="auto"/>
        <w:tabs>
          <w:tab w:leader="none" w:pos="14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immunity</w:t>
      </w:r>
      <w:r>
        <w:rPr>
          <w:rFonts w:ascii="Times New Roman" w:cs="Times New Roman" w:eastAsia="Times New Roman" w:hAnsi="Times New Roman"/>
          <w:sz w:val="20"/>
          <w:szCs w:val="20"/>
          <w:color w:val="auto"/>
        </w:rPr>
        <w:t>: each Transaction Party and its property are free of any right of immunity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set-off, proceedings or execution in relation to its obligations under any Transaction Document;</w:t>
      </w:r>
    </w:p>
    <w:p>
      <w:pPr>
        <w:spacing w:after="0" w:line="1" w:lineRule="exact"/>
        <w:rPr>
          <w:rFonts w:ascii="Times New Roman" w:cs="Times New Roman" w:eastAsia="Times New Roman" w:hAnsi="Times New Roman"/>
          <w:sz w:val="20"/>
          <w:szCs w:val="20"/>
          <w:color w:val="auto"/>
        </w:rPr>
      </w:pPr>
    </w:p>
    <w:p>
      <w:pPr>
        <w:ind w:left="1380" w:right="179" w:hanging="656"/>
        <w:spacing w:after="0" w:line="239" w:lineRule="auto"/>
        <w:tabs>
          <w:tab w:leader="none" w:pos="137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the Insurances are enforceable against the relevant insurer in accordance with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are not void or voidable;</w:t>
      </w:r>
    </w:p>
    <w:p>
      <w:pPr>
        <w:ind w:left="1380" w:right="599" w:hanging="656"/>
        <w:spacing w:after="0" w:line="239" w:lineRule="auto"/>
        <w:tabs>
          <w:tab w:leader="none" w:pos="142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trust provisions</w:t>
      </w:r>
      <w:r>
        <w:rPr>
          <w:rFonts w:ascii="Times New Roman" w:cs="Times New Roman" w:eastAsia="Times New Roman" w:hAnsi="Times New Roman"/>
          <w:sz w:val="20"/>
          <w:szCs w:val="20"/>
          <w:color w:val="auto"/>
        </w:rPr>
        <w:t>: in relation to each Transaction Party which enters into any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as trustee of a Trust:</w:t>
      </w:r>
    </w:p>
    <w:p>
      <w:pPr>
        <w:ind w:left="2020" w:right="459" w:hanging="648"/>
        <w:spacing w:after="0" w:line="239" w:lineRule="auto"/>
        <w:tabs>
          <w:tab w:leader="none" w:pos="201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power as trustee of the Trust to execute and perform its obligations under the Transaction Documents;</w:t>
      </w:r>
    </w:p>
    <w:p>
      <w:pPr>
        <w:spacing w:after="0" w:line="1" w:lineRule="exact"/>
        <w:rPr>
          <w:sz w:val="20"/>
          <w:szCs w:val="20"/>
          <w:color w:val="auto"/>
        </w:rPr>
      </w:pPr>
    </w:p>
    <w:p>
      <w:pPr>
        <w:ind w:left="2020" w:right="579" w:hanging="648"/>
        <w:spacing w:after="0" w:line="239" w:lineRule="auto"/>
        <w:tabs>
          <w:tab w:leader="none" w:pos="2019"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in executing the Transaction Documents and entering into those transactions, have properly performed their obligations to the beneficiaries of the Trust;</w:t>
      </w:r>
    </w:p>
    <w:p>
      <w:pPr>
        <w:spacing w:after="0" w:line="1" w:lineRule="exact"/>
        <w:rPr>
          <w:rFonts w:ascii="Times New Roman" w:cs="Times New Roman" w:eastAsia="Times New Roman" w:hAnsi="Times New Roman"/>
          <w:sz w:val="20"/>
          <w:szCs w:val="20"/>
          <w:color w:val="auto"/>
        </w:rPr>
      </w:pPr>
    </w:p>
    <w:p>
      <w:pPr>
        <w:ind w:left="2020" w:right="259" w:hanging="648"/>
        <w:spacing w:after="0" w:line="239" w:lineRule="auto"/>
        <w:tabs>
          <w:tab w:leader="none" w:pos="202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action required by the Trust Deed to authorise the unconditional execution and delivery of, and compliance with its obligations under, the Transaction Documents has been taken;</w:t>
      </w:r>
    </w:p>
    <w:p>
      <w:pPr>
        <w:spacing w:after="0" w:line="1" w:lineRule="exact"/>
        <w:rPr>
          <w:rFonts w:ascii="Times New Roman" w:cs="Times New Roman" w:eastAsia="Times New Roman" w:hAnsi="Times New Roman"/>
          <w:sz w:val="20"/>
          <w:szCs w:val="20"/>
          <w:color w:val="auto"/>
        </w:rPr>
      </w:pPr>
    </w:p>
    <w:p>
      <w:pPr>
        <w:ind w:left="2060" w:hanging="688"/>
        <w:spacing w:after="0"/>
        <w:tabs>
          <w:tab w:leader="none" w:pos="206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the only trustee of the Trust;</w:t>
      </w:r>
    </w:p>
    <w:p>
      <w:pPr>
        <w:ind w:left="2020" w:right="319" w:hanging="648"/>
        <w:spacing w:after="0" w:line="239" w:lineRule="auto"/>
        <w:tabs>
          <w:tab w:leader="none" w:pos="2062"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effective action has been taken to remove the Trustee as trustee of the Trust or to appoint an additional trustee of the Trust;</w:t>
      </w:r>
    </w:p>
    <w:p>
      <w:pPr>
        <w:ind w:left="2020" w:right="159" w:hanging="648"/>
        <w:spacing w:after="0" w:line="239" w:lineRule="auto"/>
        <w:tabs>
          <w:tab w:leader="none" w:pos="206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Trustee has a right to be fully indemnified out of the property of the Trust in relation to all of its obligations under the Transaction Documents;</w:t>
      </w:r>
    </w:p>
    <w:p>
      <w:pPr>
        <w:ind w:left="2660" w:right="139" w:hanging="640"/>
        <w:spacing w:after="0" w:line="239" w:lineRule="auto"/>
        <w:tabs>
          <w:tab w:leader="none" w:pos="2735"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not released or disposed of its equitable lien over the property of the Trust which secures that indemnity; and</w:t>
      </w:r>
    </w:p>
    <w:p>
      <w:pPr>
        <w:ind w:left="2740" w:hanging="720"/>
        <w:spacing w:after="0"/>
        <w:tabs>
          <w:tab w:leader="none" w:pos="2740"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of the Trust is sufficient to satisfy that indemnity;</w:t>
      </w:r>
    </w:p>
    <w:p>
      <w:pPr>
        <w:ind w:left="2020" w:right="139" w:hanging="648"/>
        <w:spacing w:after="0" w:line="239" w:lineRule="auto"/>
        <w:tabs>
          <w:tab w:leader="none" w:pos="206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complied with all of its obligations as trustee of the Trust in relation to execution of the Transaction Documents;</w:t>
      </w:r>
    </w:p>
    <w:p>
      <w:pPr>
        <w:ind w:left="2020" w:right="99" w:hanging="648"/>
        <w:spacing w:after="0" w:line="239" w:lineRule="auto"/>
        <w:tabs>
          <w:tab w:leader="none" w:pos="2051"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effective action has been taken or, so far as the Trustee is aware, is contemplated by the beneficiaries of the Trust to terminate the Trust;</w:t>
      </w:r>
    </w:p>
    <w:p>
      <w:pPr>
        <w:ind w:left="2060" w:hanging="688"/>
        <w:spacing w:after="0"/>
        <w:tabs>
          <w:tab w:leader="none" w:pos="206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disclosed to the Bank full details of:</w:t>
      </w:r>
    </w:p>
    <w:p>
      <w:pPr>
        <w:ind w:left="2660" w:right="99" w:hanging="640"/>
        <w:spacing w:after="0" w:line="239" w:lineRule="auto"/>
        <w:tabs>
          <w:tab w:leader="none" w:pos="2746"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and any other trust or fiduciary relationship affecting the property of the Trust and, without limitation, has given to the Bank copies of any instruments creating or evidencing the Trust; and</w:t>
      </w:r>
    </w:p>
    <w:p>
      <w:pPr>
        <w:spacing w:after="0" w:line="1" w:lineRule="exact"/>
        <w:rPr>
          <w:rFonts w:ascii="Times New Roman" w:cs="Times New Roman" w:eastAsia="Times New Roman" w:hAnsi="Times New Roman"/>
          <w:sz w:val="20"/>
          <w:szCs w:val="20"/>
          <w:color w:val="auto"/>
        </w:rPr>
      </w:pPr>
    </w:p>
    <w:p>
      <w:pPr>
        <w:ind w:left="2740" w:hanging="720"/>
        <w:spacing w:after="0"/>
        <w:tabs>
          <w:tab w:leader="none" w:pos="2740"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Trustee’s other trusteeships (if any);</w:t>
      </w:r>
    </w:p>
    <w:p>
      <w:pPr>
        <w:ind w:left="2020" w:right="179" w:hanging="648"/>
        <w:spacing w:after="0" w:line="239" w:lineRule="auto"/>
        <w:tabs>
          <w:tab w:leader="none" w:pos="206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is properly constituted and the Trust Deed is not void, voidable or otherwise unenforceable;</w:t>
      </w:r>
    </w:p>
    <w:p>
      <w:pPr>
        <w:ind w:left="2020" w:right="659" w:hanging="648"/>
        <w:spacing w:after="0" w:line="239" w:lineRule="auto"/>
        <w:tabs>
          <w:tab w:leader="none" w:pos="2063"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beneficiaries of the Trust in relation to, and their interest in, the property of the Trust are subject to:</w:t>
      </w:r>
    </w:p>
    <w:p>
      <w:pPr>
        <w:ind w:left="2660" w:right="599" w:hanging="640"/>
        <w:spacing w:after="0" w:line="239" w:lineRule="auto"/>
        <w:tabs>
          <w:tab w:leader="none" w:pos="2746"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Bank in relation to, and their respective interests in, the property of the Trust; and</w:t>
      </w:r>
    </w:p>
    <w:p>
      <w:pPr>
        <w:ind w:left="2660" w:right="499" w:hanging="640"/>
        <w:spacing w:after="0" w:line="239" w:lineRule="auto"/>
        <w:tabs>
          <w:tab w:leader="none" w:pos="2735"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or interests in the property of the Trust to which the Bank may from time to time be subrogated; and</w:t>
      </w:r>
    </w:p>
    <w:p>
      <w:pPr>
        <w:ind w:left="2060" w:hanging="688"/>
        <w:spacing w:after="0"/>
        <w:tabs>
          <w:tab w:leader="none" w:pos="206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w:t>
      </w:r>
    </w:p>
    <w:p>
      <w:pPr>
        <w:ind w:left="2660" w:right="219" w:hanging="640"/>
        <w:spacing w:after="0" w:line="239" w:lineRule="auto"/>
        <w:tabs>
          <w:tab w:leader="none" w:pos="2746"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is a corporation, is duly incorporated in accordance with the laws of its place of incorporation, validly exists under those laws and has the capacity to sue and be sued in its own name, to own property and to act as trustee of the Trust;</w:t>
      </w:r>
    </w:p>
    <w:p>
      <w:pPr>
        <w:spacing w:after="0" w:line="1" w:lineRule="exact"/>
        <w:rPr>
          <w:rFonts w:ascii="Times New Roman" w:cs="Times New Roman" w:eastAsia="Times New Roman" w:hAnsi="Times New Roman"/>
          <w:sz w:val="20"/>
          <w:szCs w:val="20"/>
          <w:color w:val="auto"/>
        </w:rPr>
      </w:pPr>
    </w:p>
    <w:p>
      <w:pPr>
        <w:ind w:left="2740" w:hanging="720"/>
        <w:spacing w:after="0"/>
        <w:tabs>
          <w:tab w:leader="none" w:pos="2740"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is natural person, has the capacity to be trustee of the Trust;</w:t>
      </w:r>
    </w:p>
    <w:p>
      <w:pPr>
        <w:ind w:left="1420" w:hanging="696"/>
        <w:spacing w:after="0"/>
        <w:tabs>
          <w:tab w:leader="none" w:pos="14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solvency: each Transaction party is not insolvent;</w:t>
      </w:r>
    </w:p>
    <w:p>
      <w:pPr>
        <w:ind w:left="1380" w:right="359" w:hanging="656"/>
        <w:spacing w:after="0" w:line="246" w:lineRule="auto"/>
        <w:tabs>
          <w:tab w:leader="none" w:pos="146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benefit: each of the Transaction Parties will receive corporate benefit by entering into the Transaction Documents to which they are a party.</w:t>
      </w:r>
    </w:p>
    <w:p>
      <w:pPr>
        <w:spacing w:after="0" w:line="18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33" w:lineRule="exact"/>
        <w:rPr>
          <w:sz w:val="20"/>
          <w:szCs w:val="20"/>
          <w:color w:val="auto"/>
        </w:rPr>
      </w:pPr>
    </w:p>
    <w:p>
      <w:pPr>
        <w:ind w:left="1380" w:right="439" w:hanging="656"/>
        <w:spacing w:after="0" w:line="239" w:lineRule="auto"/>
        <w:tabs>
          <w:tab w:leader="none" w:pos="141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interpretation of any statement contained in any representation or warranty will not be restricted by reference to or inference from any other statement contained in any other representation or warranty.</w:t>
      </w:r>
    </w:p>
    <w:p>
      <w:pPr>
        <w:spacing w:after="0" w:line="2" w:lineRule="exact"/>
        <w:rPr>
          <w:rFonts w:ascii="Times New Roman" w:cs="Times New Roman" w:eastAsia="Times New Roman" w:hAnsi="Times New Roman"/>
          <w:sz w:val="20"/>
          <w:szCs w:val="20"/>
          <w:color w:val="auto"/>
        </w:rPr>
      </w:pPr>
    </w:p>
    <w:p>
      <w:pPr>
        <w:ind w:left="1380" w:right="239" w:hanging="656"/>
        <w:spacing w:after="0" w:line="239" w:lineRule="auto"/>
        <w:tabs>
          <w:tab w:leader="none" w:pos="142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acknowledges that the Bank enters into the Transaction Documents in reliance on each representation and warranty.</w:t>
      </w:r>
    </w:p>
    <w:p>
      <w:pPr>
        <w:ind w:left="1380" w:right="199" w:hanging="656"/>
        <w:spacing w:after="0" w:line="241" w:lineRule="auto"/>
        <w:tabs>
          <w:tab w:leader="none" w:pos="141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w:t>
      </w:r>
    </w:p>
    <w:p>
      <w:pPr>
        <w:sectPr>
          <w:pgSz w:w="11900" w:h="16838" w:orient="portrait"/>
          <w:cols w:equalWidth="0" w:num="1">
            <w:col w:w="9019"/>
          </w:cols>
          <w:pgMar w:left="1440" w:top="118" w:right="1440" w:bottom="36" w:gutter="0" w:footer="0" w:header="0"/>
        </w:sectPr>
      </w:pPr>
    </w:p>
    <w:bookmarkStart w:id="74" w:name="page75"/>
    <w:bookmarkEnd w:id="74"/>
    <w:p>
      <w:pPr>
        <w:ind w:left="860" w:hanging="784"/>
        <w:spacing w:after="0"/>
        <w:tabs>
          <w:tab w:leader="none" w:pos="860" w:val="left"/>
        </w:tabs>
        <w:numPr>
          <w:ilvl w:val="0"/>
          <w:numId w:val="127"/>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General obligations</w:t>
      </w:r>
    </w:p>
    <w:p>
      <w:pPr>
        <w:spacing w:after="0" w:line="4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Fees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must pay to the Bank:</w:t>
      </w:r>
    </w:p>
    <w:p>
      <w:pPr>
        <w:spacing w:after="0" w:line="14" w:lineRule="exact"/>
        <w:rPr>
          <w:sz w:val="20"/>
          <w:szCs w:val="20"/>
          <w:color w:val="auto"/>
        </w:rPr>
      </w:pPr>
    </w:p>
    <w:p>
      <w:pPr>
        <w:ind w:left="1380" w:right="1039" w:hanging="656"/>
        <w:spacing w:after="0" w:line="239" w:lineRule="auto"/>
        <w:tabs>
          <w:tab w:leader="none" w:pos="141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restructure fee</w:t>
      </w:r>
      <w:r>
        <w:rPr>
          <w:rFonts w:ascii="Times New Roman" w:cs="Times New Roman" w:eastAsia="Times New Roman" w:hAnsi="Times New Roman"/>
          <w:sz w:val="20"/>
          <w:szCs w:val="20"/>
          <w:color w:val="auto"/>
        </w:rPr>
        <w:t>: on or before execution of the Restatement Deed, a non-refundable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Restructure Fee of $30,000 (which fee has been paid);</w:t>
      </w:r>
    </w:p>
    <w:p>
      <w:pPr>
        <w:ind w:left="1380" w:right="139" w:hanging="656"/>
        <w:spacing w:after="0" w:line="239" w:lineRule="auto"/>
        <w:tabs>
          <w:tab w:leader="none" w:pos="142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restructure fe</w:t>
      </w:r>
      <w:r>
        <w:rPr>
          <w:rFonts w:ascii="Times New Roman" w:cs="Times New Roman" w:eastAsia="Times New Roman" w:hAnsi="Times New Roman"/>
          <w:sz w:val="20"/>
          <w:szCs w:val="20"/>
          <w:color w:val="auto"/>
        </w:rPr>
        <w:t>e: on or before the ‘Amendment Date’ referred to in the Amendment Deed,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non-refundable Restructure &amp; Application Fee of $300,000 (less the $20,000 work fee referred to in the term sheet dated 17 December 2018 if the Borrower has paid that work fee to the Bank);</w:t>
      </w:r>
    </w:p>
    <w:p>
      <w:pPr>
        <w:spacing w:after="0" w:line="1" w:lineRule="exact"/>
        <w:rPr>
          <w:rFonts w:ascii="Times New Roman" w:cs="Times New Roman" w:eastAsia="Times New Roman" w:hAnsi="Times New Roman"/>
          <w:sz w:val="20"/>
          <w:szCs w:val="20"/>
          <w:color w:val="auto"/>
        </w:rPr>
      </w:pPr>
    </w:p>
    <w:p>
      <w:pPr>
        <w:ind w:left="1380" w:right="199" w:hanging="656"/>
        <w:spacing w:after="0" w:line="239" w:lineRule="auto"/>
        <w:tabs>
          <w:tab w:leader="none" w:pos="141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Corporate Markets Loan Facility Fee</w:t>
      </w:r>
      <w:r>
        <w:rPr>
          <w:rFonts w:ascii="Times New Roman" w:cs="Times New Roman" w:eastAsia="Times New Roman" w:hAnsi="Times New Roman"/>
          <w:sz w:val="20"/>
          <w:szCs w:val="20"/>
          <w:color w:val="auto"/>
        </w:rPr>
        <w:t>: a non-refundable facility fee on the Facility Limit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of the Corporate Markets Loan Facility calculated at [***] per annum from the date of the ‘Variation Date’ under the Restatement Deed and at [***] per annum from the date of the ‘Amendment Date’ under the Amendment Deed, which will:</w:t>
      </w:r>
    </w:p>
    <w:p>
      <w:pPr>
        <w:spacing w:after="0" w:line="1" w:lineRule="exact"/>
        <w:rPr>
          <w:rFonts w:ascii="Times New Roman" w:cs="Times New Roman" w:eastAsia="Times New Roman" w:hAnsi="Times New Roman"/>
          <w:sz w:val="20"/>
          <w:szCs w:val="20"/>
          <w:color w:val="auto"/>
        </w:rPr>
      </w:pPr>
    </w:p>
    <w:p>
      <w:pPr>
        <w:ind w:left="2020" w:right="819" w:hanging="648"/>
        <w:spacing w:after="0" w:line="239" w:lineRule="auto"/>
        <w:tabs>
          <w:tab w:leader="none" w:pos="201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 from day to day from the date of this document up to and including the Termination Date;</w:t>
      </w:r>
    </w:p>
    <w:p>
      <w:pPr>
        <w:ind w:left="2020" w:hanging="648"/>
        <w:spacing w:after="0"/>
        <w:tabs>
          <w:tab w:leader="none" w:pos="202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payable quarterly in arrears, on the first Business Day of each Quarter;</w:t>
      </w:r>
    </w:p>
    <w:p>
      <w:pPr>
        <w:ind w:left="2020" w:hanging="648"/>
        <w:spacing w:after="0"/>
        <w:tabs>
          <w:tab w:leader="none" w:pos="202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calculated on the actual number of days elapsed and on the basis of a 365 day year;</w:t>
      </w:r>
    </w:p>
    <w:p>
      <w:pPr>
        <w:ind w:left="1380" w:right="699" w:hanging="656"/>
        <w:spacing w:after="0" w:line="239" w:lineRule="auto"/>
        <w:tabs>
          <w:tab w:leader="none" w:pos="142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Reset Fee</w:t>
      </w:r>
      <w:r>
        <w:rPr>
          <w:rFonts w:ascii="Times New Roman" w:cs="Times New Roman" w:eastAsia="Times New Roman" w:hAnsi="Times New Roman"/>
          <w:sz w:val="20"/>
          <w:szCs w:val="20"/>
          <w:color w:val="auto"/>
        </w:rPr>
        <w:t>: on the first Business Day of each Pricing Period (other than the first Pricing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a non-refundable fee of $150.00;</w:t>
      </w:r>
    </w:p>
    <w:p>
      <w:pPr>
        <w:ind w:left="1380" w:right="159" w:hanging="656"/>
        <w:spacing w:after="0" w:line="239" w:lineRule="auto"/>
        <w:tabs>
          <w:tab w:leader="none" w:pos="141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Bank Guarantee service fee</w:t>
      </w:r>
      <w:r>
        <w:rPr>
          <w:rFonts w:ascii="Times New Roman" w:cs="Times New Roman" w:eastAsia="Times New Roman" w:hAnsi="Times New Roman"/>
          <w:sz w:val="20"/>
          <w:szCs w:val="20"/>
          <w:color w:val="auto"/>
        </w:rPr>
        <w:t>: on and from the first services fee charge date following 30 June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2014, a non-refundable fee in respect of each Bank Guarantee of [***] of the applicable Bank Guarantee Margin calculated on the Face Value of the Bank Guarantee, payable on a pro-rata basis half yearly in arrears, with the first payment due six months after the relevant Funding Date of the Bank Guarantee, and subsequent payments due every six months thereafter until the Bank Guarantee Matures or Expires or is cancelled. This fee will be calculated on the actual number of days elapsed and on the basis of a 365 day year; and</w:t>
      </w:r>
    </w:p>
    <w:p>
      <w:pPr>
        <w:spacing w:after="0" w:line="3" w:lineRule="exact"/>
        <w:rPr>
          <w:rFonts w:ascii="Times New Roman" w:cs="Times New Roman" w:eastAsia="Times New Roman" w:hAnsi="Times New Roman"/>
          <w:sz w:val="20"/>
          <w:szCs w:val="20"/>
          <w:color w:val="auto"/>
        </w:rPr>
      </w:pPr>
    </w:p>
    <w:p>
      <w:pPr>
        <w:ind w:left="720" w:right="119" w:firstLine="4"/>
        <w:spacing w:after="0" w:line="242" w:lineRule="auto"/>
        <w:tabs>
          <w:tab w:leader="none" w:pos="156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Bank Guarantee issuance fee</w:t>
      </w:r>
      <w:r>
        <w:rPr>
          <w:rFonts w:ascii="Times New Roman" w:cs="Times New Roman" w:eastAsia="Times New Roman" w:hAnsi="Times New Roman"/>
          <w:sz w:val="20"/>
          <w:szCs w:val="20"/>
          <w:color w:val="auto"/>
        </w:rPr>
        <w:t>: a non-refundable fee in respect of each Bank Guarantee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of the applicable Bank Guarantee Margin calculated on the Face Value of the Bank Guarantee (or $125 whichever is greater), payable on the relevant Funding Date of the Bank Guarantee.</w:t>
      </w:r>
    </w:p>
    <w:p>
      <w:pPr>
        <w:spacing w:after="0" w:line="1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Records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must ensure that each Transaction Party:</w:t>
      </w:r>
    </w:p>
    <w:p>
      <w:pPr>
        <w:ind w:left="720"/>
        <w:spacing w:after="0"/>
        <w:tabs>
          <w:tab w:leader="none" w:pos="1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prepares and keeps books, accounts and other records in accordance with the law and</w:t>
      </w:r>
    </w:p>
    <w:p>
      <w:pPr>
        <w:ind w:left="1380"/>
        <w:spacing w:after="0"/>
        <w:rPr>
          <w:sz w:val="20"/>
          <w:szCs w:val="20"/>
          <w:color w:val="auto"/>
        </w:rPr>
      </w:pPr>
      <w:r>
        <w:rPr>
          <w:rFonts w:ascii="Times New Roman" w:cs="Times New Roman" w:eastAsia="Times New Roman" w:hAnsi="Times New Roman"/>
          <w:sz w:val="20"/>
          <w:szCs w:val="20"/>
          <w:color w:val="auto"/>
        </w:rPr>
        <w:t>Accounting Standards; and</w:t>
      </w: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on demand, makes the same available for inspection and copying by the Bank.</w:t>
      </w:r>
    </w:p>
    <w:p>
      <w:pPr>
        <w:spacing w:after="0" w:line="198"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Financial Statements and other financial information</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must give to the Bank:</w:t>
      </w:r>
    </w:p>
    <w:p>
      <w:pPr>
        <w:ind w:left="1380" w:right="259" w:hanging="656"/>
        <w:spacing w:after="0" w:line="239" w:lineRule="auto"/>
        <w:tabs>
          <w:tab w:leader="none" w:pos="141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Financial Statements</w:t>
      </w:r>
      <w:r>
        <w:rPr>
          <w:rFonts w:ascii="Times New Roman" w:cs="Times New Roman" w:eastAsia="Times New Roman" w:hAnsi="Times New Roman"/>
          <w:sz w:val="20"/>
          <w:szCs w:val="20"/>
          <w:color w:val="auto"/>
        </w:rPr>
        <w:t>: as soon as practicable, and in any event within 120 days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end of each Financial Year the consolidated audited Financial Statements of the Reading Entertainment Australia Group for that Financial Year;</w:t>
      </w:r>
    </w:p>
    <w:p>
      <w:pPr>
        <w:spacing w:after="0" w:line="1" w:lineRule="exact"/>
        <w:rPr>
          <w:rFonts w:ascii="Times New Roman" w:cs="Times New Roman" w:eastAsia="Times New Roman" w:hAnsi="Times New Roman"/>
          <w:sz w:val="20"/>
          <w:szCs w:val="20"/>
          <w:color w:val="auto"/>
        </w:rPr>
      </w:pPr>
    </w:p>
    <w:p>
      <w:pPr>
        <w:ind w:left="1380" w:right="159" w:hanging="656"/>
        <w:spacing w:after="0" w:line="239" w:lineRule="auto"/>
        <w:tabs>
          <w:tab w:leader="none" w:pos="142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Financial Statements</w:t>
      </w:r>
      <w:r>
        <w:rPr>
          <w:rFonts w:ascii="Times New Roman" w:cs="Times New Roman" w:eastAsia="Times New Roman" w:hAnsi="Times New Roman"/>
          <w:sz w:val="20"/>
          <w:szCs w:val="20"/>
          <w:color w:val="auto"/>
        </w:rPr>
        <w:t>: as soon as practicable, and in any event within 45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end of each Quarter (other than the Quarter ending 31 December) the consolidated unaudited Financial Statements of the Reading Entertainment Australia Group for that Quarter (showing both actual and budget figures);</w:t>
      </w:r>
    </w:p>
    <w:p>
      <w:pPr>
        <w:spacing w:after="0" w:line="1" w:lineRule="exact"/>
        <w:rPr>
          <w:rFonts w:ascii="Times New Roman" w:cs="Times New Roman" w:eastAsia="Times New Roman" w:hAnsi="Times New Roman"/>
          <w:sz w:val="20"/>
          <w:szCs w:val="20"/>
          <w:color w:val="auto"/>
        </w:rPr>
      </w:pPr>
    </w:p>
    <w:p>
      <w:pPr>
        <w:ind w:left="1380" w:right="479" w:hanging="656"/>
        <w:spacing w:after="0" w:line="239" w:lineRule="auto"/>
        <w:tabs>
          <w:tab w:leader="none" w:pos="141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group structure diagram</w:t>
      </w:r>
      <w:r>
        <w:rPr>
          <w:rFonts w:ascii="Times New Roman" w:cs="Times New Roman" w:eastAsia="Times New Roman" w:hAnsi="Times New Roman"/>
          <w:sz w:val="20"/>
          <w:szCs w:val="20"/>
          <w:color w:val="auto"/>
        </w:rPr>
        <w:t>: within 120 days after the end of each Financial Year, a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structure diagram in relation to Reading International Inc. and the Reading Entertainment Australia Group which lists all the then Group Members and which contains such other information in relation to the legal relationship between Reading International Inc. and the Reading Entertainment Australia Group Members as the Bank reasonably requires;</w:t>
      </w:r>
    </w:p>
    <w:p>
      <w:pPr>
        <w:spacing w:after="0" w:line="2" w:lineRule="exact"/>
        <w:rPr>
          <w:rFonts w:ascii="Times New Roman" w:cs="Times New Roman" w:eastAsia="Times New Roman" w:hAnsi="Times New Roman"/>
          <w:sz w:val="20"/>
          <w:szCs w:val="20"/>
          <w:color w:val="auto"/>
        </w:rPr>
      </w:pPr>
    </w:p>
    <w:p>
      <w:pPr>
        <w:ind w:left="1380" w:right="199" w:hanging="656"/>
        <w:spacing w:after="0" w:line="252" w:lineRule="auto"/>
        <w:tabs>
          <w:tab w:leader="none" w:pos="1422"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budget: as soon as practicable</w:t>
      </w:r>
      <w:r>
        <w:rPr>
          <w:rFonts w:ascii="Times New Roman" w:cs="Times New Roman" w:eastAsia="Times New Roman" w:hAnsi="Times New Roman"/>
          <w:sz w:val="19"/>
          <w:szCs w:val="19"/>
          <w:color w:val="auto"/>
        </w:rPr>
        <w:t>, and in any event before 31 March for each Financial Year,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consolidated budget for the Reading Entertainment Australia Group for the current Financial Year showing the budgeted profit and loss, balance sheet and cash flow for the Reading Entertainment Australia Group and such other matters customarily dealt with in such budgets;</w:t>
      </w:r>
    </w:p>
    <w:p>
      <w:pPr>
        <w:jc w:val="both"/>
        <w:ind w:left="1380" w:right="259" w:hanging="656"/>
        <w:spacing w:after="0" w:line="261" w:lineRule="auto"/>
        <w:tabs>
          <w:tab w:leader="none" w:pos="1411"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other financial information</w:t>
      </w:r>
      <w:r>
        <w:rPr>
          <w:rFonts w:ascii="Times New Roman" w:cs="Times New Roman" w:eastAsia="Times New Roman" w:hAnsi="Times New Roman"/>
          <w:sz w:val="19"/>
          <w:szCs w:val="19"/>
          <w:color w:val="auto"/>
        </w:rPr>
        <w:t>: promptly on reasonable notice from the Bank, such additional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in relation to the financial condition and the operations of the Borrower and each other Transaction Party as the Bank reasonably requests from time to time.</w:t>
      </w:r>
    </w:p>
    <w:p>
      <w:pPr>
        <w:spacing w:after="0" w:line="183" w:lineRule="exact"/>
        <w:rPr>
          <w:sz w:val="20"/>
          <w:szCs w:val="20"/>
          <w:color w:val="auto"/>
        </w:rPr>
      </w:pPr>
    </w:p>
    <w:p>
      <w:pPr>
        <w:jc w:val="both"/>
        <w:ind w:left="720" w:right="639"/>
        <w:spacing w:after="0" w:line="295" w:lineRule="auto"/>
        <w:rPr>
          <w:sz w:val="20"/>
          <w:szCs w:val="20"/>
          <w:color w:val="auto"/>
        </w:rPr>
      </w:pPr>
      <w:r>
        <w:rPr>
          <w:rFonts w:ascii="Times New Roman" w:cs="Times New Roman" w:eastAsia="Times New Roman" w:hAnsi="Times New Roman"/>
          <w:sz w:val="19"/>
          <w:szCs w:val="19"/>
          <w:color w:val="auto"/>
        </w:rPr>
        <w:t>The Borrower must ensure that all Financial Statements given to the Bank under the Transaction Documents are prepared in accordance with the Corporations Act and the Accounting Standards.</w:t>
      </w:r>
    </w:p>
    <w:p>
      <w:pPr>
        <w:spacing w:after="0" w:line="151" w:lineRule="exact"/>
        <w:rPr>
          <w:sz w:val="20"/>
          <w:szCs w:val="20"/>
          <w:color w:val="auto"/>
        </w:rPr>
      </w:pPr>
    </w:p>
    <w:p>
      <w:pPr>
        <w:ind w:left="720" w:right="79"/>
        <w:spacing w:after="0" w:line="245" w:lineRule="auto"/>
        <w:rPr>
          <w:sz w:val="20"/>
          <w:szCs w:val="20"/>
          <w:color w:val="auto"/>
        </w:rPr>
      </w:pPr>
      <w:r>
        <w:rPr>
          <w:rFonts w:ascii="Times New Roman" w:cs="Times New Roman" w:eastAsia="Times New Roman" w:hAnsi="Times New Roman"/>
          <w:sz w:val="20"/>
          <w:szCs w:val="20"/>
          <w:color w:val="auto"/>
        </w:rPr>
        <w:t>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clause 9.8, the Bank and the Borrower shall endeavour to agree mutually acceptable changes to this document so that the accounting change can be adopted for the purposes of this document.</w:t>
      </w:r>
    </w:p>
    <w:p>
      <w:pPr>
        <w:spacing w:after="0" w:line="189"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Adjustments for AASB 16</w:t>
      </w:r>
    </w:p>
    <w:p>
      <w:pPr>
        <w:sectPr>
          <w:pgSz w:w="11900" w:h="16838" w:orient="portrait"/>
          <w:cols w:equalWidth="0" w:num="1">
            <w:col w:w="9019"/>
          </w:cols>
          <w:pgMar w:left="1440" w:top="108" w:right="1440" w:bottom="0" w:gutter="0" w:footer="0" w:header="0"/>
        </w:sectPr>
      </w:pPr>
    </w:p>
    <w:p>
      <w:pPr>
        <w:spacing w:after="0" w:line="33" w:lineRule="exact"/>
        <w:rPr>
          <w:sz w:val="20"/>
          <w:szCs w:val="20"/>
          <w:color w:val="auto"/>
        </w:rPr>
      </w:pPr>
    </w:p>
    <w:p>
      <w:pPr>
        <w:ind w:left="1400" w:hanging="676"/>
        <w:spacing w:after="0"/>
        <w:tabs>
          <w:tab w:leader="none" w:pos="140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acknowledge that:</w:t>
      </w:r>
    </w:p>
    <w:p>
      <w:pPr>
        <w:sectPr>
          <w:pgSz w:w="11900" w:h="16838" w:orient="portrait"/>
          <w:cols w:equalWidth="0" w:num="1">
            <w:col w:w="9019"/>
          </w:cols>
          <w:pgMar w:left="1440" w:top="108" w:right="1440" w:bottom="0" w:gutter="0" w:footer="0" w:header="0"/>
          <w:type w:val="continuous"/>
        </w:sectPr>
      </w:pPr>
    </w:p>
    <w:bookmarkStart w:id="75" w:name="page76"/>
    <w:bookmarkEnd w:id="75"/>
    <w:p>
      <w:pPr>
        <w:ind w:left="2020" w:right="379" w:hanging="648"/>
        <w:spacing w:after="0" w:line="250" w:lineRule="auto"/>
        <w:tabs>
          <w:tab w:leader="none" w:pos="201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AASB 16 took effect on and from 1 January 2019, which changed or eliminated the distinction between operating leases and finance leases; and</w:t>
      </w:r>
    </w:p>
    <w:p>
      <w:pPr>
        <w:spacing w:after="0" w:line="1" w:lineRule="exact"/>
        <w:rPr>
          <w:rFonts w:ascii="Times New Roman" w:cs="Times New Roman" w:eastAsia="Times New Roman" w:hAnsi="Times New Roman"/>
          <w:sz w:val="20"/>
          <w:szCs w:val="20"/>
          <w:color w:val="auto"/>
        </w:rPr>
      </w:pPr>
    </w:p>
    <w:p>
      <w:pPr>
        <w:ind w:left="2020" w:right="239" w:hanging="648"/>
        <w:spacing w:after="0" w:line="252" w:lineRule="auto"/>
        <w:tabs>
          <w:tab w:leader="none" w:pos="2019"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are continuing to assess the potential effect of AASB 16 on the calculation of the financial ratios referred to in clause 9.8 and the related definitions.</w:t>
      </w:r>
    </w:p>
    <w:p>
      <w:pPr>
        <w:ind w:left="1420" w:hanging="696"/>
        <w:spacing w:after="0"/>
        <w:tabs>
          <w:tab w:leader="none" w:pos="14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Calculation Date occurring on or prior to 31 December 2021:</w:t>
      </w:r>
    </w:p>
    <w:p>
      <w:pPr>
        <w:ind w:left="2020" w:right="219" w:hanging="648"/>
        <w:spacing w:after="0" w:line="239" w:lineRule="auto"/>
        <w:tabs>
          <w:tab w:leader="none" w:pos="201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ratios referred to in clause 9.8 and the related definitions will be calculated ignoring any changes following AASB 16 taking effect on 1 January 2019; and</w:t>
      </w:r>
    </w:p>
    <w:p>
      <w:pPr>
        <w:spacing w:after="0" w:line="1" w:lineRule="exact"/>
        <w:rPr>
          <w:rFonts w:ascii="Times New Roman" w:cs="Times New Roman" w:eastAsia="Times New Roman" w:hAnsi="Times New Roman"/>
          <w:sz w:val="20"/>
          <w:szCs w:val="20"/>
          <w:color w:val="auto"/>
        </w:rPr>
      </w:pPr>
    </w:p>
    <w:p>
      <w:pPr>
        <w:ind w:left="2020" w:right="319" w:hanging="648"/>
        <w:spacing w:after="0" w:line="239" w:lineRule="auto"/>
        <w:tabs>
          <w:tab w:leader="none" w:pos="2019"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provide with its Financial Statements and other financial information any reconciliation statements (audited, where applicable) necessary to enable the financial ratios in clause 9.8 and the related definitions to be calculated in accordance with clause 9.4(b)(i).</w:t>
      </w:r>
    </w:p>
    <w:p>
      <w:pPr>
        <w:spacing w:after="0" w:line="1" w:lineRule="exact"/>
        <w:rPr>
          <w:rFonts w:ascii="Times New Roman" w:cs="Times New Roman" w:eastAsia="Times New Roman" w:hAnsi="Times New Roman"/>
          <w:sz w:val="20"/>
          <w:szCs w:val="20"/>
          <w:color w:val="auto"/>
        </w:rPr>
      </w:pPr>
    </w:p>
    <w:p>
      <w:pPr>
        <w:ind w:left="1380" w:right="119" w:hanging="656"/>
        <w:spacing w:after="0"/>
        <w:tabs>
          <w:tab w:leader="none" w:pos="141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the reasonable opinion of the Borrower or the Bank, at any time after 31 December 2021, taking into account the AASB 16 changes when calculating the financial ratios referred to in clause 9.8 and the related definitions would materially alter the effect of, or the calculation of, those financial ratios or related definitions, the Borrower and the Bank will negotiate in good faith to amend the relevant undertakings and definitions so that they have an effect comparable to that as if the AASB 16 changes did not apply.</w:t>
      </w:r>
    </w:p>
    <w:p>
      <w:pPr>
        <w:spacing w:after="0" w:line="19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must give to the Bank:</w:t>
      </w:r>
    </w:p>
    <w:p>
      <w:pPr>
        <w:ind w:left="1380" w:right="219" w:hanging="656"/>
        <w:spacing w:after="0" w:line="242" w:lineRule="auto"/>
        <w:tabs>
          <w:tab w:leader="none" w:pos="141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information</w:t>
      </w:r>
      <w:r>
        <w:rPr>
          <w:rFonts w:ascii="Times New Roman" w:cs="Times New Roman" w:eastAsia="Times New Roman" w:hAnsi="Times New Roman"/>
          <w:sz w:val="20"/>
          <w:szCs w:val="20"/>
          <w:color w:val="auto"/>
        </w:rPr>
        <w:t>: on reasonable notice from the Bank, any other information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possession or under the control of a Transaction Party which in the Bank’s reasonable opinion is necessary to verify the Borrower’s compliance with any Transaction Document;</w:t>
      </w:r>
    </w:p>
    <w:p>
      <w:pPr>
        <w:spacing w:after="0" w:line="196" w:lineRule="exact"/>
        <w:rPr>
          <w:rFonts w:ascii="Times New Roman" w:cs="Times New Roman" w:eastAsia="Times New Roman" w:hAnsi="Times New Roman"/>
          <w:sz w:val="20"/>
          <w:szCs w:val="20"/>
          <w:color w:val="auto"/>
        </w:rPr>
      </w:pPr>
    </w:p>
    <w:p>
      <w:pPr>
        <w:ind w:left="1380" w:right="199" w:hanging="656"/>
        <w:spacing w:after="0" w:line="248" w:lineRule="auto"/>
        <w:tabs>
          <w:tab w:leader="none" w:pos="142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Compliance Certificate</w:t>
      </w:r>
      <w:r>
        <w:rPr>
          <w:rFonts w:ascii="Times New Roman" w:cs="Times New Roman" w:eastAsia="Times New Roman" w:hAnsi="Times New Roman"/>
          <w:sz w:val="20"/>
          <w:szCs w:val="20"/>
          <w:color w:val="auto"/>
        </w:rPr>
        <w:t>: as soon as practicable, and in any event within 120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end of each Financial Year, an Annual Compliance Certificate for that Financial Year signed by at least one director of the Borrower;</w:t>
      </w:r>
    </w:p>
    <w:p>
      <w:pPr>
        <w:spacing w:after="0" w:line="1" w:lineRule="exact"/>
        <w:rPr>
          <w:rFonts w:ascii="Times New Roman" w:cs="Times New Roman" w:eastAsia="Times New Roman" w:hAnsi="Times New Roman"/>
          <w:sz w:val="20"/>
          <w:szCs w:val="20"/>
          <w:color w:val="auto"/>
        </w:rPr>
      </w:pPr>
    </w:p>
    <w:p>
      <w:pPr>
        <w:ind w:left="1380" w:right="99" w:hanging="656"/>
        <w:spacing w:after="0" w:line="252" w:lineRule="auto"/>
        <w:tabs>
          <w:tab w:leader="none" w:pos="1411"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Interim Compliance Certificate</w:t>
      </w:r>
      <w:r>
        <w:rPr>
          <w:rFonts w:ascii="Times New Roman" w:cs="Times New Roman" w:eastAsia="Times New Roman" w:hAnsi="Times New Roman"/>
          <w:sz w:val="19"/>
          <w:szCs w:val="19"/>
          <w:color w:val="auto"/>
        </w:rPr>
        <w:t>: as soon as practicable, and in any event within 45 days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end of each Quarter (other than the Quarter ending 31 December) an Interim Compliance Certificate for the previous 12 months signed by at least one director of the Borrower;</w:t>
      </w:r>
    </w:p>
    <w:p>
      <w:pPr>
        <w:ind w:left="1380" w:right="159" w:hanging="656"/>
        <w:spacing w:after="0" w:line="239" w:lineRule="auto"/>
        <w:tabs>
          <w:tab w:leader="none" w:pos="142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tenancy schedule</w:t>
      </w:r>
      <w:r>
        <w:rPr>
          <w:rFonts w:ascii="Times New Roman" w:cs="Times New Roman" w:eastAsia="Times New Roman" w:hAnsi="Times New Roman"/>
          <w:sz w:val="20"/>
          <w:szCs w:val="20"/>
          <w:color w:val="auto"/>
        </w:rPr>
        <w:t>: as soon as practicable, and in any event within 120 days of the end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Year an updated tenancy schedule for each Freehold Property, including (without limitation) the following details:</w:t>
      </w:r>
    </w:p>
    <w:p>
      <w:pPr>
        <w:spacing w:after="0" w:line="1"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each tenant;</w:t>
      </w:r>
    </w:p>
    <w:p>
      <w:pPr>
        <w:ind w:left="2020" w:hanging="648"/>
        <w:spacing w:after="0"/>
        <w:tabs>
          <w:tab w:leader="none" w:pos="202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area let by each tenant;</w:t>
      </w:r>
    </w:p>
    <w:p>
      <w:pPr>
        <w:ind w:left="2020" w:hanging="648"/>
        <w:spacing w:after="0"/>
        <w:tabs>
          <w:tab w:leader="none" w:pos="202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passing rent paid by each tenant;</w:t>
      </w:r>
    </w:p>
    <w:p>
      <w:pPr>
        <w:ind w:left="2060" w:hanging="688"/>
        <w:spacing w:after="0"/>
        <w:tabs>
          <w:tab w:leader="none" w:pos="2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start date;</w:t>
      </w:r>
    </w:p>
    <w:p>
      <w:pPr>
        <w:ind w:left="2060" w:hanging="688"/>
        <w:spacing w:after="0"/>
        <w:tabs>
          <w:tab w:leader="none" w:pos="2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term;</w:t>
      </w:r>
    </w:p>
    <w:p>
      <w:pPr>
        <w:ind w:left="2060" w:hanging="688"/>
        <w:spacing w:after="0"/>
        <w:tabs>
          <w:tab w:leader="none" w:pos="2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maturity date;</w:t>
      </w:r>
    </w:p>
    <w:p>
      <w:pPr>
        <w:ind w:left="2060" w:hanging="688"/>
        <w:spacing w:after="0"/>
        <w:tabs>
          <w:tab w:leader="none" w:pos="2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term (if any);</w:t>
      </w:r>
    </w:p>
    <w:p>
      <w:pPr>
        <w:ind w:left="2060" w:hanging="688"/>
        <w:spacing w:after="0"/>
        <w:tabs>
          <w:tab w:leader="none" w:pos="2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 review details; and</w:t>
      </w:r>
    </w:p>
    <w:p>
      <w:pPr>
        <w:ind w:left="2060" w:hanging="688"/>
        <w:spacing w:after="0"/>
        <w:tabs>
          <w:tab w:leader="none" w:pos="20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material or special clauses or conditions;</w:t>
      </w:r>
    </w:p>
    <w:p>
      <w:pPr>
        <w:ind w:left="1380" w:right="99" w:hanging="656"/>
        <w:spacing w:after="0" w:line="239" w:lineRule="auto"/>
        <w:tabs>
          <w:tab w:leader="none" w:pos="141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Valuations</w:t>
      </w:r>
      <w:r>
        <w:rPr>
          <w:rFonts w:ascii="Times New Roman" w:cs="Times New Roman" w:eastAsia="Times New Roman" w:hAnsi="Times New Roman"/>
          <w:sz w:val="20"/>
          <w:szCs w:val="20"/>
          <w:color w:val="auto"/>
        </w:rPr>
        <w:t>: on demand (provided that no more than one demand is made in a Financial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Bank reasonably considers that there has been a material devaluation of the freehold and leasehold interests subject to the Collateral Security), and in any event by 31 July 2021 and every 36 months thereafter, a Valuation in respect of each Freehold Property and leasehold interest that is subject to the Collateral Security. Each Valuation is to be at the Borrower’s expense, addressed to the Bank, conducted by an Approved Valuer and in a form and substance (other than as to value) reasonably satisfactory to the Bank;</w:t>
      </w:r>
    </w:p>
    <w:p>
      <w:pPr>
        <w:spacing w:after="0" w:line="3" w:lineRule="exact"/>
        <w:rPr>
          <w:rFonts w:ascii="Times New Roman" w:cs="Times New Roman" w:eastAsia="Times New Roman" w:hAnsi="Times New Roman"/>
          <w:sz w:val="20"/>
          <w:szCs w:val="20"/>
          <w:color w:val="auto"/>
        </w:rPr>
      </w:pPr>
    </w:p>
    <w:p>
      <w:pPr>
        <w:ind w:left="1380" w:right="199" w:hanging="656"/>
        <w:spacing w:after="0" w:line="239" w:lineRule="auto"/>
        <w:tabs>
          <w:tab w:leader="none" w:pos="138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details of any proceeding</w:t>
      </w:r>
      <w:r>
        <w:rPr>
          <w:rFonts w:ascii="Times New Roman" w:cs="Times New Roman" w:eastAsia="Times New Roman" w:hAnsi="Times New Roman"/>
          <w:sz w:val="20"/>
          <w:szCs w:val="20"/>
          <w:color w:val="auto"/>
        </w:rPr>
        <w:t>: full details of any litigation, arbitration, administrative proceeding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native title claim which affects a Transaction Party and which has or the adverse determination of which would be likely to have a Material Adverse Effect, as soon as it is commenced or to the knowledge of the Borrower is threatened; and</w:t>
      </w:r>
    </w:p>
    <w:p>
      <w:pPr>
        <w:spacing w:after="0" w:line="1" w:lineRule="exact"/>
        <w:rPr>
          <w:rFonts w:ascii="Times New Roman" w:cs="Times New Roman" w:eastAsia="Times New Roman" w:hAnsi="Times New Roman"/>
          <w:sz w:val="20"/>
          <w:szCs w:val="20"/>
          <w:color w:val="auto"/>
        </w:rPr>
      </w:pPr>
    </w:p>
    <w:p>
      <w:pPr>
        <w:ind w:left="1380" w:right="519" w:hanging="656"/>
        <w:spacing w:after="0" w:line="246" w:lineRule="auto"/>
        <w:tabs>
          <w:tab w:leader="none" w:pos="142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on being notified of it, full details of any event which entitles the Borrower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to claim more than $1,000,000 under the Insurances.</w:t>
      </w:r>
    </w:p>
    <w:p>
      <w:pPr>
        <w:spacing w:after="0" w:line="18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Other financial undertakings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Each Transaction Party must ensure that:</w:t>
      </w:r>
    </w:p>
    <w:p>
      <w:pPr>
        <w:spacing w:after="0" w:line="13" w:lineRule="exact"/>
        <w:rPr>
          <w:sz w:val="20"/>
          <w:szCs w:val="20"/>
          <w:color w:val="auto"/>
        </w:rPr>
      </w:pPr>
    </w:p>
    <w:p>
      <w:pPr>
        <w:ind w:left="1400" w:hanging="676"/>
        <w:spacing w:after="0"/>
        <w:tabs>
          <w:tab w:leader="none" w:pos="14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negative pledge</w:t>
      </w:r>
      <w:r>
        <w:rPr>
          <w:rFonts w:ascii="Times New Roman" w:cs="Times New Roman" w:eastAsia="Times New Roman" w:hAnsi="Times New Roman"/>
          <w:sz w:val="20"/>
          <w:szCs w:val="20"/>
          <w:color w:val="auto"/>
        </w:rPr>
        <w:t>: no Encumbrances exist on its property, except Permitted Encumbrances;</w:t>
      </w:r>
    </w:p>
    <w:p>
      <w:pPr>
        <w:ind w:left="1420" w:hanging="696"/>
        <w:spacing w:after="0"/>
        <w:tabs>
          <w:tab w:leader="none" w:pos="14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permitted financial transactions</w:t>
      </w:r>
      <w:r>
        <w:rPr>
          <w:rFonts w:ascii="Times New Roman" w:cs="Times New Roman" w:eastAsia="Times New Roman" w:hAnsi="Times New Roman"/>
          <w:sz w:val="20"/>
          <w:szCs w:val="20"/>
          <w:color w:val="auto"/>
        </w:rPr>
        <w:t>: it does not, without the prior written consent of the Bank:</w:t>
      </w:r>
    </w:p>
    <w:p>
      <w:pPr>
        <w:ind w:left="2020" w:hanging="648"/>
        <w:spacing w:after="0"/>
        <w:tabs>
          <w:tab w:leader="none" w:pos="20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any Financial Indebtedness except Permitted Financial Indebtedness;</w:t>
      </w:r>
    </w:p>
    <w:p>
      <w:pPr>
        <w:ind w:left="2020" w:right="179" w:hanging="648"/>
        <w:spacing w:after="0" w:line="239" w:lineRule="auto"/>
        <w:tabs>
          <w:tab w:leader="none" w:pos="2019"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any financial accommodation (excluding trade credit in the ordinary course of business) except Permitted Financial Accommodation;</w:t>
      </w:r>
    </w:p>
    <w:p>
      <w:pPr>
        <w:ind w:left="1380" w:right="319" w:hanging="656"/>
        <w:spacing w:after="0" w:line="239" w:lineRule="auto"/>
        <w:tabs>
          <w:tab w:leader="none" w:pos="141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disposals</w:t>
      </w:r>
      <w:r>
        <w:rPr>
          <w:rFonts w:ascii="Times New Roman" w:cs="Times New Roman" w:eastAsia="Times New Roman" w:hAnsi="Times New Roman"/>
          <w:sz w:val="20"/>
          <w:szCs w:val="20"/>
          <w:color w:val="auto"/>
        </w:rPr>
        <w:t>: must not dispose of any of its assets, either in a single transaction or in a series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whether related or not and whether voluntary or involuntary, except Permitted Disposals;</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mergers</w:t>
      </w:r>
      <w:r>
        <w:rPr>
          <w:rFonts w:ascii="Times New Roman" w:cs="Times New Roman" w:eastAsia="Times New Roman" w:hAnsi="Times New Roman"/>
          <w:sz w:val="20"/>
          <w:szCs w:val="20"/>
          <w:color w:val="auto"/>
        </w:rPr>
        <w:t>: a Transaction Party does not:</w:t>
      </w:r>
    </w:p>
    <w:p>
      <w:pPr>
        <w:ind w:left="2020" w:hanging="648"/>
        <w:spacing w:after="0"/>
        <w:tabs>
          <w:tab w:leader="none" w:pos="20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merger, reconstruction or amalgamation; or</w:t>
      </w:r>
    </w:p>
    <w:p>
      <w:pPr>
        <w:ind w:left="2020" w:right="339" w:hanging="648"/>
        <w:spacing w:after="0" w:line="246" w:lineRule="auto"/>
        <w:tabs>
          <w:tab w:leader="none" w:pos="2019"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any property or business or make any investment if the property, business or investment is substantial in relation to the relevant Transaction Party,</w:t>
      </w:r>
    </w:p>
    <w:p>
      <w:pPr>
        <w:sectPr>
          <w:pgSz w:w="11900" w:h="16838" w:orient="portrait"/>
          <w:cols w:equalWidth="0" w:num="1">
            <w:col w:w="9019"/>
          </w:cols>
          <w:pgMar w:left="1440" w:top="118" w:right="1440" w:bottom="0" w:gutter="0" w:footer="0" w:header="0"/>
        </w:sectPr>
      </w:pPr>
    </w:p>
    <w:bookmarkStart w:id="76" w:name="page77"/>
    <w:bookmarkEnd w:id="76"/>
    <w:p>
      <w:pPr>
        <w:spacing w:after="0" w:line="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it would have or be likely to have a Material Adverse Effect;</w:t>
      </w:r>
    </w:p>
    <w:p>
      <w:pPr>
        <w:spacing w:after="0" w:line="225" w:lineRule="exact"/>
        <w:rPr>
          <w:sz w:val="20"/>
          <w:szCs w:val="20"/>
          <w:color w:val="auto"/>
        </w:rPr>
      </w:pPr>
    </w:p>
    <w:p>
      <w:pPr>
        <w:ind w:left="1380" w:right="559" w:hanging="656"/>
        <w:spacing w:after="0" w:line="253" w:lineRule="auto"/>
        <w:tabs>
          <w:tab w:leader="none" w:pos="141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maintain status</w:t>
      </w:r>
      <w:r>
        <w:rPr>
          <w:rFonts w:ascii="Times New Roman" w:cs="Times New Roman" w:eastAsia="Times New Roman" w:hAnsi="Times New Roman"/>
          <w:sz w:val="20"/>
          <w:szCs w:val="20"/>
          <w:color w:val="auto"/>
        </w:rPr>
        <w:t>: it does everything necessary to maintain its corporate existence in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standing and:</w:t>
      </w:r>
    </w:p>
    <w:p>
      <w:pPr>
        <w:ind w:left="2020" w:right="599" w:hanging="648"/>
        <w:spacing w:after="0" w:line="239" w:lineRule="auto"/>
        <w:tabs>
          <w:tab w:leader="none" w:pos="2018"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ensures that it has the right and is properly qualified to conduct its business in all relevant jurisdictions; and</w:t>
      </w:r>
    </w:p>
    <w:p>
      <w:pPr>
        <w:ind w:left="2020" w:hanging="648"/>
        <w:spacing w:after="0"/>
        <w:tabs>
          <w:tab w:leader="none" w:pos="202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obtains and maintains all Authorisations necessary for the conduct of its business;</w:t>
      </w:r>
    </w:p>
    <w:p>
      <w:pPr>
        <w:ind w:left="2020" w:hanging="648"/>
        <w:spacing w:after="0"/>
        <w:tabs>
          <w:tab w:leader="none" w:pos="202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laws affecting it or its business in all relevant jurisdictions</w:t>
      </w:r>
    </w:p>
    <w:p>
      <w:pPr>
        <w:spacing w:after="0" w:line="203" w:lineRule="exact"/>
        <w:rPr>
          <w:rFonts w:ascii="Times New Roman" w:cs="Times New Roman" w:eastAsia="Times New Roman" w:hAnsi="Times New Roman"/>
          <w:sz w:val="20"/>
          <w:szCs w:val="20"/>
          <w:color w:val="auto"/>
        </w:rPr>
      </w:pPr>
    </w:p>
    <w:p>
      <w:pPr>
        <w:ind w:left="1380" w:hanging="656"/>
        <w:spacing w:after="0"/>
        <w:tabs>
          <w:tab w:leader="none" w:pos="13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Distributions</w:t>
      </w:r>
      <w:r>
        <w:rPr>
          <w:rFonts w:ascii="Times New Roman" w:cs="Times New Roman" w:eastAsia="Times New Roman" w:hAnsi="Times New Roman"/>
          <w:sz w:val="20"/>
          <w:szCs w:val="20"/>
          <w:color w:val="auto"/>
        </w:rPr>
        <w:t>: it must not make any Distribution except a Permitted Distribution;:</w:t>
      </w:r>
    </w:p>
    <w:p>
      <w:pPr>
        <w:spacing w:after="0" w:line="229"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must</w:t>
      </w:r>
    </w:p>
    <w:p>
      <w:pPr>
        <w:spacing w:after="0" w:line="25" w:lineRule="exact"/>
        <w:rPr>
          <w:rFonts w:ascii="Times New Roman" w:cs="Times New Roman" w:eastAsia="Times New Roman" w:hAnsi="Times New Roman"/>
          <w:sz w:val="20"/>
          <w:szCs w:val="20"/>
          <w:color w:val="auto"/>
        </w:rPr>
      </w:pPr>
    </w:p>
    <w:p>
      <w:pPr>
        <w:ind w:left="2020" w:right="139" w:hanging="648"/>
        <w:spacing w:after="0" w:line="239" w:lineRule="auto"/>
        <w:tabs>
          <w:tab w:leader="none" w:pos="2018"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pay when they become due for payment (or reimburse the Bank on demand for) all Taxes payable by it from time to time other than Taxes being contested in good faith where it has made adequate provisioning;</w:t>
      </w:r>
    </w:p>
    <w:p>
      <w:pPr>
        <w:spacing w:after="0" w:line="1" w:lineRule="exact"/>
        <w:rPr>
          <w:rFonts w:ascii="Times New Roman" w:cs="Times New Roman" w:eastAsia="Times New Roman" w:hAnsi="Times New Roman"/>
          <w:sz w:val="20"/>
          <w:szCs w:val="20"/>
          <w:color w:val="auto"/>
        </w:rPr>
      </w:pPr>
    </w:p>
    <w:p>
      <w:pPr>
        <w:ind w:left="2020" w:right="99" w:hanging="648"/>
        <w:spacing w:after="0" w:line="252" w:lineRule="auto"/>
        <w:tabs>
          <w:tab w:leader="none" w:pos="2019"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transfer any Tax losses to any person other than to the Borrower in connection with the preparation of consolidated annual Financial Statements or in connection with the Reading Entertainment Australia Group's tax consolidation arrangements; and</w:t>
      </w:r>
    </w:p>
    <w:p>
      <w:pPr>
        <w:ind w:left="2020" w:right="119" w:hanging="648"/>
        <w:spacing w:after="0" w:line="239" w:lineRule="auto"/>
        <w:tabs>
          <w:tab w:leader="none" w:pos="202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become a member of a consolidated group for the purposes of Part 3-90 of the Income Tax Assessment Act 1936 and the Income Tax Act 1997 including any amendments thereto (including any amendments made by the New Business Tax (Consolidation Act (No. 1)) 2002 and the New Business Tax System (Consolidation, Value Shifting, Damages and other Measures) Act 2002) other than in accordance with a Tax Sharing Agreement or otherwise on terms approved by the Bank;</w:t>
      </w:r>
    </w:p>
    <w:p>
      <w:pPr>
        <w:spacing w:after="0" w:line="2" w:lineRule="exact"/>
        <w:rPr>
          <w:rFonts w:ascii="Times New Roman" w:cs="Times New Roman" w:eastAsia="Times New Roman" w:hAnsi="Times New Roman"/>
          <w:sz w:val="20"/>
          <w:szCs w:val="20"/>
          <w:color w:val="auto"/>
        </w:rPr>
      </w:pPr>
    </w:p>
    <w:p>
      <w:pPr>
        <w:ind w:left="1600" w:hanging="876"/>
        <w:spacing w:after="0"/>
        <w:tabs>
          <w:tab w:leader="none" w:pos="16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Guarantor coverage</w:t>
      </w:r>
      <w:r>
        <w:rPr>
          <w:rFonts w:ascii="Times New Roman" w:cs="Times New Roman" w:eastAsia="Times New Roman" w:hAnsi="Times New Roman"/>
          <w:sz w:val="20"/>
          <w:szCs w:val="20"/>
          <w:color w:val="auto"/>
        </w:rPr>
        <w:t>:</w:t>
      </w:r>
    </w:p>
    <w:p>
      <w:pPr>
        <w:ind w:left="2020" w:hanging="648"/>
        <w:spacing w:after="0"/>
        <w:tabs>
          <w:tab w:leader="none" w:pos="202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(ii), the Borrower shall ensure that at all times:</w:t>
      </w:r>
    </w:p>
    <w:p>
      <w:pPr>
        <w:jc w:val="both"/>
        <w:ind w:left="2660" w:right="159" w:hanging="640"/>
        <w:spacing w:after="0" w:line="239" w:lineRule="auto"/>
        <w:tabs>
          <w:tab w:leader="none" w:pos="2746"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of total assets (calculated on the same basis as total assets of the Reading Entertainment Australia Group) of the Guarantors represents at least 90 per cent of total assets of the Reading Entertainment Australia Group; and</w:t>
      </w:r>
    </w:p>
    <w:p>
      <w:pPr>
        <w:spacing w:after="0" w:line="1" w:lineRule="exact"/>
        <w:rPr>
          <w:rFonts w:ascii="Times New Roman" w:cs="Times New Roman" w:eastAsia="Times New Roman" w:hAnsi="Times New Roman"/>
          <w:sz w:val="20"/>
          <w:szCs w:val="20"/>
          <w:color w:val="auto"/>
        </w:rPr>
      </w:pPr>
    </w:p>
    <w:p>
      <w:pPr>
        <w:ind w:left="2660" w:right="139" w:hanging="640"/>
        <w:spacing w:after="0" w:line="239" w:lineRule="auto"/>
        <w:tabs>
          <w:tab w:leader="none" w:pos="2735"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EBITDA of the Guarantors (calculated on the same basis as EBITDA of the Reading Entertainment Australia Group) represents at least 90 per cent of EBITDA of the Reading Entertainment Australia Group;</w:t>
      </w:r>
    </w:p>
    <w:p>
      <w:pPr>
        <w:spacing w:after="0" w:line="1" w:lineRule="exact"/>
        <w:rPr>
          <w:rFonts w:ascii="Times New Roman" w:cs="Times New Roman" w:eastAsia="Times New Roman" w:hAnsi="Times New Roman"/>
          <w:sz w:val="20"/>
          <w:szCs w:val="20"/>
          <w:color w:val="auto"/>
        </w:rPr>
      </w:pPr>
    </w:p>
    <w:p>
      <w:pPr>
        <w:ind w:left="2660" w:right="119" w:hanging="640"/>
        <w:spacing w:after="0" w:line="239" w:lineRule="auto"/>
        <w:tabs>
          <w:tab w:leader="none" w:pos="2735"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member of the Reading Entertainment Australia Group which contributes 5 per cent of more of EBITDA of the Reading Entertainment Australia Group is a Guarantor; and</w:t>
      </w:r>
    </w:p>
    <w:p>
      <w:pPr>
        <w:spacing w:after="0" w:line="1" w:lineRule="exact"/>
        <w:rPr>
          <w:rFonts w:ascii="Times New Roman" w:cs="Times New Roman" w:eastAsia="Times New Roman" w:hAnsi="Times New Roman"/>
          <w:sz w:val="20"/>
          <w:szCs w:val="20"/>
          <w:color w:val="auto"/>
        </w:rPr>
      </w:pPr>
    </w:p>
    <w:p>
      <w:pPr>
        <w:ind w:left="2660" w:right="159" w:hanging="640"/>
        <w:spacing w:after="0" w:line="242" w:lineRule="auto"/>
        <w:tabs>
          <w:tab w:leader="none" w:pos="2746"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member of the Reading Entertainment Australia Group which holds intellectual property which the Bank considers to be material to the operations of the Reading Entertainment Australia Group is a Guarantor</w:t>
      </w:r>
    </w:p>
    <w:p>
      <w:pPr>
        <w:spacing w:after="0" w:line="200" w:lineRule="exact"/>
        <w:rPr>
          <w:sz w:val="20"/>
          <w:szCs w:val="20"/>
          <w:color w:val="auto"/>
        </w:rPr>
      </w:pPr>
    </w:p>
    <w:p>
      <w:pPr>
        <w:ind w:left="1380" w:right="279"/>
        <w:spacing w:after="0" w:line="254" w:lineRule="auto"/>
        <w:rPr>
          <w:sz w:val="20"/>
          <w:szCs w:val="20"/>
          <w:color w:val="auto"/>
        </w:rPr>
      </w:pPr>
      <w:r>
        <w:rPr>
          <w:rFonts w:ascii="Times New Roman" w:cs="Times New Roman" w:eastAsia="Times New Roman" w:hAnsi="Times New Roman"/>
          <w:sz w:val="20"/>
          <w:szCs w:val="20"/>
          <w:color w:val="auto"/>
        </w:rPr>
        <w:t>(and in each case the figures for the Guarantors will be calculated on an unconsolidated basis and excluding all intra-Reading Entertainment Australia Group items and investments in Subsidiaries); and</w:t>
      </w:r>
    </w:p>
    <w:p>
      <w:pPr>
        <w:spacing w:after="0" w:line="188" w:lineRule="exact"/>
        <w:rPr>
          <w:sz w:val="20"/>
          <w:szCs w:val="20"/>
          <w:color w:val="auto"/>
        </w:rPr>
      </w:pPr>
    </w:p>
    <w:p>
      <w:pPr>
        <w:jc w:val="both"/>
        <w:ind w:left="2020" w:right="519" w:hanging="648"/>
        <w:spacing w:after="0" w:line="247" w:lineRule="auto"/>
        <w:tabs>
          <w:tab w:leader="none" w:pos="201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 entity becomes a member of the Reading Entertainment Australia and is required to become a Guarantor to comply with paragraph (i), the Borrower shall ensure:</w:t>
      </w:r>
    </w:p>
    <w:p>
      <w:pPr>
        <w:ind w:left="2660" w:right="739" w:hanging="640"/>
        <w:spacing w:after="0" w:line="239" w:lineRule="auto"/>
        <w:tabs>
          <w:tab w:leader="none" w:pos="2746"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entity becomes an Additional Guarantor by executing a Guarantor Accession Deed;</w:t>
      </w:r>
    </w:p>
    <w:p>
      <w:pPr>
        <w:ind w:left="2660" w:right="99" w:hanging="640"/>
        <w:spacing w:after="0" w:line="239" w:lineRule="auto"/>
        <w:tabs>
          <w:tab w:leader="none" w:pos="2735"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entity executes a general security agreement over all its assets in favour of the Bank, in form and substance consistent with the general security agreements previously executed by the other Guarantors; and</w:t>
      </w:r>
    </w:p>
    <w:p>
      <w:pPr>
        <w:spacing w:after="0" w:line="1" w:lineRule="exact"/>
        <w:rPr>
          <w:rFonts w:ascii="Times New Roman" w:cs="Times New Roman" w:eastAsia="Times New Roman" w:hAnsi="Times New Roman"/>
          <w:sz w:val="20"/>
          <w:szCs w:val="20"/>
          <w:color w:val="auto"/>
        </w:rPr>
      </w:pPr>
    </w:p>
    <w:p>
      <w:pPr>
        <w:ind w:left="2740" w:hanging="720"/>
        <w:spacing w:after="0"/>
        <w:tabs>
          <w:tab w:leader="none" w:pos="274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provides the Bank with any documents or evidence in relation to the entity as</w:t>
      </w:r>
    </w:p>
    <w:p>
      <w:pPr>
        <w:spacing w:after="0" w:line="11" w:lineRule="exact"/>
        <w:rPr>
          <w:sz w:val="20"/>
          <w:szCs w:val="20"/>
          <w:color w:val="auto"/>
        </w:rPr>
      </w:pPr>
    </w:p>
    <w:p>
      <w:pPr>
        <w:ind w:left="2660" w:right="379"/>
        <w:spacing w:after="0" w:line="239" w:lineRule="auto"/>
        <w:rPr>
          <w:sz w:val="20"/>
          <w:szCs w:val="20"/>
          <w:color w:val="auto"/>
        </w:rPr>
      </w:pPr>
      <w:r>
        <w:rPr>
          <w:rFonts w:ascii="Times New Roman" w:cs="Times New Roman" w:eastAsia="Times New Roman" w:hAnsi="Times New Roman"/>
          <w:sz w:val="20"/>
          <w:szCs w:val="20"/>
          <w:color w:val="auto"/>
        </w:rPr>
        <w:t>the Bank may reasonably consider necessary in respect of the entering into, validity and enforceability of the accession documents,</w:t>
      </w:r>
    </w:p>
    <w:p>
      <w:pPr>
        <w:ind w:left="1380"/>
        <w:spacing w:after="0"/>
        <w:rPr>
          <w:sz w:val="20"/>
          <w:szCs w:val="20"/>
          <w:color w:val="auto"/>
        </w:rPr>
      </w:pPr>
      <w:r>
        <w:rPr>
          <w:rFonts w:ascii="Times New Roman" w:cs="Times New Roman" w:eastAsia="Times New Roman" w:hAnsi="Times New Roman"/>
          <w:sz w:val="20"/>
          <w:szCs w:val="20"/>
          <w:color w:val="auto"/>
        </w:rPr>
        <w:t>as soon as reasonably practicable and in any event within 45 days.</w:t>
      </w:r>
    </w:p>
    <w:p>
      <w:pPr>
        <w:ind w:left="1380" w:right="159"/>
        <w:spacing w:after="0" w:line="246" w:lineRule="auto"/>
        <w:rPr>
          <w:sz w:val="20"/>
          <w:szCs w:val="20"/>
          <w:color w:val="auto"/>
        </w:rPr>
      </w:pPr>
      <w:r>
        <w:rPr>
          <w:rFonts w:ascii="Times New Roman" w:cs="Times New Roman" w:eastAsia="Times New Roman" w:hAnsi="Times New Roman"/>
          <w:sz w:val="20"/>
          <w:szCs w:val="20"/>
          <w:color w:val="auto"/>
        </w:rPr>
        <w:t>Provided the Borrower complies with this paragraph (ii), the Borrower will not be in breach of paragraph (i) by reason only that the entity is not a Guarantor.</w:t>
      </w:r>
    </w:p>
    <w:p>
      <w:pPr>
        <w:spacing w:after="0" w:line="191" w:lineRule="exact"/>
        <w:rPr>
          <w:sz w:val="20"/>
          <w:szCs w:val="20"/>
          <w:color w:val="auto"/>
        </w:rPr>
      </w:pPr>
    </w:p>
    <w:p>
      <w:pPr>
        <w:ind w:left="1380" w:right="99" w:hanging="656"/>
        <w:spacing w:after="0" w:line="248" w:lineRule="auto"/>
        <w:tabs>
          <w:tab w:leader="none" w:pos="137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Major developments</w:t>
      </w:r>
      <w:r>
        <w:rPr>
          <w:rFonts w:ascii="Times New Roman" w:cs="Times New Roman" w:eastAsia="Times New Roman" w:hAnsi="Times New Roman"/>
          <w:sz w:val="20"/>
          <w:szCs w:val="20"/>
          <w:color w:val="auto"/>
        </w:rPr>
        <w:t>: in respect of any major development projects to be undertaken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Parties (that are outside of the budgeted capital expenditure that has been disclosed to the Bank):</w:t>
      </w:r>
    </w:p>
    <w:p>
      <w:pPr>
        <w:spacing w:after="0" w:line="1" w:lineRule="exact"/>
        <w:rPr>
          <w:rFonts w:ascii="Times New Roman" w:cs="Times New Roman" w:eastAsia="Times New Roman" w:hAnsi="Times New Roman"/>
          <w:sz w:val="20"/>
          <w:szCs w:val="20"/>
          <w:color w:val="auto"/>
        </w:rPr>
      </w:pPr>
    </w:p>
    <w:p>
      <w:pPr>
        <w:ind w:left="2020" w:right="539" w:hanging="648"/>
        <w:spacing w:after="0" w:line="239" w:lineRule="auto"/>
        <w:tabs>
          <w:tab w:leader="none" w:pos="201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is provided with development budgets and other information reasonably requested by the Bank; and</w:t>
      </w:r>
    </w:p>
    <w:p>
      <w:pPr>
        <w:ind w:left="1380" w:right="119" w:hanging="656"/>
        <w:spacing w:after="0" w:line="239" w:lineRule="auto"/>
        <w:tabs>
          <w:tab w:leader="none" w:pos="137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Major acquisitions</w:t>
      </w:r>
      <w:r>
        <w:rPr>
          <w:rFonts w:ascii="Times New Roman" w:cs="Times New Roman" w:eastAsia="Times New Roman" w:hAnsi="Times New Roman"/>
          <w:sz w:val="20"/>
          <w:szCs w:val="20"/>
          <w:color w:val="auto"/>
        </w:rPr>
        <w:t>: in respect to any acquisitions or investments in assets to be undertaken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Transaction Parties, the Bank’s written consent is obtained for (and prior to) the purchase of:</w:t>
      </w:r>
    </w:p>
    <w:p>
      <w:pPr>
        <w:spacing w:after="0" w:line="1" w:lineRule="exact"/>
        <w:rPr>
          <w:rFonts w:ascii="Times New Roman" w:cs="Times New Roman" w:eastAsia="Times New Roman" w:hAnsi="Times New Roman"/>
          <w:sz w:val="20"/>
          <w:szCs w:val="20"/>
          <w:color w:val="auto"/>
        </w:rPr>
      </w:pPr>
    </w:p>
    <w:p>
      <w:pPr>
        <w:ind w:left="2020" w:right="459" w:hanging="648"/>
        <w:spacing w:after="0" w:line="239" w:lineRule="auto"/>
        <w:tabs>
          <w:tab w:leader="none" w:pos="201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freehold title or ground lease with a remaining tenor of 25 years or more and a consideration greater than $50,000,000; and</w:t>
      </w:r>
    </w:p>
    <w:p>
      <w:pPr>
        <w:ind w:left="2020" w:right="339" w:hanging="648"/>
        <w:spacing w:after="0" w:line="246" w:lineRule="auto"/>
        <w:tabs>
          <w:tab w:leader="none" w:pos="2019"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of any other operating business assets with a consideration greater than $25,000,000.</w:t>
      </w:r>
    </w:p>
    <w:p>
      <w:pPr>
        <w:sectPr>
          <w:pgSz w:w="11900" w:h="16876" w:orient="portrait"/>
          <w:cols w:equalWidth="0" w:num="1">
            <w:col w:w="9019"/>
          </w:cols>
          <w:pgMar w:left="1440" w:top="346" w:right="1440" w:bottom="0" w:gutter="0" w:footer="0" w:header="0"/>
        </w:sectPr>
      </w:pPr>
    </w:p>
    <w:bookmarkStart w:id="77" w:name="page78"/>
    <w:bookmarkEnd w:id="77"/>
    <w:p>
      <w:pPr>
        <w:ind w:left="1420" w:hanging="696"/>
        <w:spacing w:after="0"/>
        <w:tabs>
          <w:tab w:leader="none" w:pos="142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Management Fees</w:t>
      </w:r>
      <w:r>
        <w:rPr>
          <w:rFonts w:ascii="Times New Roman" w:cs="Times New Roman" w:eastAsia="Times New Roman" w:hAnsi="Times New Roman"/>
          <w:sz w:val="20"/>
          <w:szCs w:val="20"/>
          <w:color w:val="auto"/>
        </w:rPr>
        <w:t>: no Management Fees are paid except:</w:t>
      </w:r>
    </w:p>
    <w:p>
      <w:pPr>
        <w:spacing w:after="0" w:line="24"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once off payment of $2,000,000 paid on or before 31 December 2020;</w:t>
      </w:r>
    </w:p>
    <w:p>
      <w:pPr>
        <w:ind w:left="2020" w:hanging="648"/>
        <w:spacing w:after="0"/>
        <w:tabs>
          <w:tab w:leader="none" w:pos="202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once off payment of $2,000,000 paid on or around 31 January 2021, subject to:</w:t>
      </w:r>
    </w:p>
    <w:p>
      <w:pPr>
        <w:ind w:left="2660" w:right="139" w:hanging="640"/>
        <w:spacing w:after="0" w:line="239" w:lineRule="auto"/>
        <w:tabs>
          <w:tab w:leader="none" w:pos="2746"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providing consolidated unaudited financial forecast statements (including, profit and loss statements, balance sheets and cashflow statements) for the Reading Entertainment Australia Group, for the quarters ending on 31 March 2021 and 30 June 2021, including any commentary on the following assumptions:</w:t>
      </w:r>
    </w:p>
    <w:p>
      <w:pPr>
        <w:spacing w:after="0" w:line="2" w:lineRule="exact"/>
        <w:rPr>
          <w:rFonts w:ascii="Times New Roman" w:cs="Times New Roman" w:eastAsia="Times New Roman" w:hAnsi="Times New Roman"/>
          <w:sz w:val="20"/>
          <w:szCs w:val="20"/>
          <w:color w:val="auto"/>
        </w:rPr>
      </w:pPr>
    </w:p>
    <w:p>
      <w:pPr>
        <w:ind w:left="3360" w:hanging="692"/>
        <w:spacing w:after="0"/>
        <w:tabs>
          <w:tab w:leader="none" w:pos="3360" w:val="left"/>
        </w:tabs>
        <w:numPr>
          <w:ilvl w:val="3"/>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JobKeeper government support; and</w:t>
      </w:r>
    </w:p>
    <w:p>
      <w:pPr>
        <w:ind w:left="3360" w:hanging="692"/>
        <w:spacing w:after="0"/>
        <w:tabs>
          <w:tab w:leader="none" w:pos="3360" w:val="left"/>
        </w:tabs>
        <w:numPr>
          <w:ilvl w:val="3"/>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rental payment relief provided by relevant landlords;</w:t>
      </w:r>
    </w:p>
    <w:p>
      <w:pPr>
        <w:ind w:left="2660" w:right="239" w:hanging="640"/>
        <w:spacing w:after="0" w:line="239" w:lineRule="auto"/>
        <w:tabs>
          <w:tab w:leader="none" w:pos="2735"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providing confirmation to the Bank that the minimum forecasted cash balance is equal to or greater than $6,000,000 for each month for the period to 30 June 2021;</w:t>
      </w:r>
    </w:p>
    <w:p>
      <w:pPr>
        <w:spacing w:after="0" w:line="1" w:lineRule="exact"/>
        <w:rPr>
          <w:rFonts w:ascii="Times New Roman" w:cs="Times New Roman" w:eastAsia="Times New Roman" w:hAnsi="Times New Roman"/>
          <w:sz w:val="20"/>
          <w:szCs w:val="20"/>
          <w:color w:val="auto"/>
        </w:rPr>
      </w:pPr>
    </w:p>
    <w:p>
      <w:pPr>
        <w:ind w:left="2660" w:right="159" w:hanging="640"/>
        <w:spacing w:after="0" w:line="239" w:lineRule="auto"/>
        <w:tabs>
          <w:tab w:leader="none" w:pos="2735"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providing confirmation to the Bank that the forecasted monthly cashflow position is positive for each month for the period to 30 June 2021; and</w:t>
      </w:r>
    </w:p>
    <w:p>
      <w:pPr>
        <w:spacing w:after="0" w:line="1" w:lineRule="exact"/>
        <w:rPr>
          <w:rFonts w:ascii="Times New Roman" w:cs="Times New Roman" w:eastAsia="Times New Roman" w:hAnsi="Times New Roman"/>
          <w:sz w:val="20"/>
          <w:szCs w:val="20"/>
          <w:color w:val="auto"/>
        </w:rPr>
      </w:pPr>
    </w:p>
    <w:p>
      <w:pPr>
        <w:ind w:left="2760" w:hanging="740"/>
        <w:spacing w:after="0"/>
        <w:tabs>
          <w:tab w:leader="none" w:pos="2760"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subsisting;</w:t>
      </w:r>
    </w:p>
    <w:p>
      <w:pPr>
        <w:ind w:left="2020" w:hanging="648"/>
        <w:spacing w:after="0"/>
        <w:tabs>
          <w:tab w:leader="none" w:pos="202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on or prior to the Relevant Date, with the Bank’s prior written consent; and</w:t>
      </w:r>
    </w:p>
    <w:p>
      <w:pPr>
        <w:spacing w:after="0" w:line="11" w:lineRule="exact"/>
        <w:rPr>
          <w:rFonts w:ascii="Times New Roman" w:cs="Times New Roman" w:eastAsia="Times New Roman" w:hAnsi="Times New Roman"/>
          <w:sz w:val="19"/>
          <w:szCs w:val="19"/>
          <w:color w:val="auto"/>
        </w:rPr>
      </w:pPr>
    </w:p>
    <w:p>
      <w:pPr>
        <w:ind w:left="2060" w:hanging="688"/>
        <w:spacing w:after="0"/>
        <w:tabs>
          <w:tab w:leader="none" w:pos="206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Relevant Date, if no Event of Default subsists.</w:t>
      </w:r>
    </w:p>
    <w:p>
      <w:pPr>
        <w:ind w:left="1380" w:right="159" w:hanging="656"/>
        <w:spacing w:after="0" w:line="239" w:lineRule="auto"/>
        <w:tabs>
          <w:tab w:leader="none" w:pos="137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Preservation and protection of Security</w:t>
      </w:r>
      <w:r>
        <w:rPr>
          <w:rFonts w:ascii="Times New Roman" w:cs="Times New Roman" w:eastAsia="Times New Roman" w:hAnsi="Times New Roman"/>
          <w:sz w:val="20"/>
          <w:szCs w:val="20"/>
          <w:color w:val="auto"/>
        </w:rPr>
        <w:t>: it does everything necessary or reasonably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Bank to:</w:t>
      </w:r>
    </w:p>
    <w:p>
      <w:pPr>
        <w:ind w:left="2020" w:hanging="648"/>
        <w:spacing w:after="0"/>
        <w:tabs>
          <w:tab w:leader="none" w:pos="202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the Secured Property in good repair and in good working order;</w:t>
      </w:r>
    </w:p>
    <w:p>
      <w:pPr>
        <w:ind w:left="2020" w:right="259" w:hanging="648"/>
        <w:spacing w:after="0" w:line="239" w:lineRule="auto"/>
        <w:tabs>
          <w:tab w:leader="none" w:pos="2019"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pay when they become due for payment (or reimburse the Bank on demand for) all Taxes payable in respect of the Secured Property;</w:t>
      </w:r>
    </w:p>
    <w:p>
      <w:pPr>
        <w:ind w:left="2020" w:hanging="648"/>
        <w:spacing w:after="0"/>
        <w:tabs>
          <w:tab w:leader="none" w:pos="202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and protect the value of the Secured Property as a whole; and</w:t>
      </w:r>
    </w:p>
    <w:p>
      <w:pPr>
        <w:ind w:left="2060" w:hanging="688"/>
        <w:spacing w:after="0" w:line="236" w:lineRule="auto"/>
        <w:tabs>
          <w:tab w:leader="none" w:pos="206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and enforce its title and the Bank’s title as mortgagee to the Secured Property.</w:t>
      </w:r>
    </w:p>
    <w:p>
      <w:pPr>
        <w:spacing w:after="0" w:line="1"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9.7</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5" w:lineRule="exact"/>
        <w:rPr>
          <w:sz w:val="20"/>
          <w:szCs w:val="20"/>
          <w:color w:val="auto"/>
        </w:rPr>
      </w:pPr>
    </w:p>
    <w:p>
      <w:pPr>
        <w:ind w:left="1380" w:right="219" w:hanging="656"/>
        <w:spacing w:after="0" w:line="239" w:lineRule="auto"/>
        <w:tabs>
          <w:tab w:leader="none" w:pos="141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w:t>
      </w:r>
    </w:p>
    <w:p>
      <w:pPr>
        <w:spacing w:after="0" w:line="2"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Bank reasonably requires; or</w:t>
      </w:r>
    </w:p>
    <w:p>
      <w:pPr>
        <w:jc w:val="both"/>
        <w:ind w:left="2020" w:right="719" w:hanging="648"/>
        <w:spacing w:after="0" w:line="239" w:lineRule="auto"/>
        <w:tabs>
          <w:tab w:leader="none" w:pos="2019"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Bank does not notify the Borrower of its requirements, that a prudent and reasonable owner of the Secured Property would effect and maintain, including insurance for full replacement value on a reinstatement basis.</w:t>
      </w:r>
    </w:p>
    <w:p>
      <w:pPr>
        <w:spacing w:after="0" w:line="1" w:lineRule="exact"/>
        <w:rPr>
          <w:rFonts w:ascii="Times New Roman" w:cs="Times New Roman" w:eastAsia="Times New Roman" w:hAnsi="Times New Roman"/>
          <w:sz w:val="20"/>
          <w:szCs w:val="20"/>
          <w:color w:val="auto"/>
        </w:rPr>
      </w:pPr>
    </w:p>
    <w:p>
      <w:pPr>
        <w:jc w:val="both"/>
        <w:ind w:left="1380" w:right="259" w:hanging="656"/>
        <w:spacing w:after="0" w:line="242" w:lineRule="auto"/>
        <w:tabs>
          <w:tab w:leader="none" w:pos="142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Transaction Documents, the Borrower must give to the Bank on demand a certificate in form and substance satisfactory to the Bank from the insurer to the effect that the required Insurances are current and no premium is overdue.</w:t>
      </w:r>
    </w:p>
    <w:p>
      <w:pPr>
        <w:spacing w:after="0" w:line="1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9.8</w:t>
      </w:r>
      <w:r>
        <w:rPr>
          <w:sz w:val="20"/>
          <w:szCs w:val="20"/>
          <w:color w:val="auto"/>
        </w:rPr>
        <w:tab/>
      </w:r>
      <w:r>
        <w:rPr>
          <w:rFonts w:ascii="Times New Roman" w:cs="Times New Roman" w:eastAsia="Times New Roman" w:hAnsi="Times New Roman"/>
          <w:sz w:val="21"/>
          <w:szCs w:val="21"/>
          <w:b w:val="1"/>
          <w:bCs w:val="1"/>
          <w:color w:val="auto"/>
        </w:rPr>
        <w:t>Financial ratios</w:t>
      </w:r>
    </w:p>
    <w:p>
      <w:pPr>
        <w:spacing w:after="0" w:line="33" w:lineRule="exact"/>
        <w:rPr>
          <w:sz w:val="20"/>
          <w:szCs w:val="20"/>
          <w:color w:val="auto"/>
        </w:rPr>
      </w:pPr>
    </w:p>
    <w:p>
      <w:pPr>
        <w:ind w:left="1400" w:hanging="676"/>
        <w:spacing w:after="0"/>
        <w:tabs>
          <w:tab w:leader="none" w:pos="14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ensure that:</w:t>
      </w:r>
    </w:p>
    <w:p>
      <w:pPr>
        <w:spacing w:after="0" w:line="13"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Fixed Charges Cover Ratio</w:t>
      </w:r>
      <w:r>
        <w:rPr>
          <w:rFonts w:ascii="Times New Roman" w:cs="Times New Roman" w:eastAsia="Times New Roman" w:hAnsi="Times New Roman"/>
          <w:sz w:val="20"/>
          <w:szCs w:val="20"/>
          <w:color w:val="auto"/>
        </w:rPr>
        <w:t>:</w:t>
      </w:r>
    </w:p>
    <w:p>
      <w:pPr>
        <w:jc w:val="both"/>
        <w:ind w:left="2660" w:right="199" w:hanging="640"/>
        <w:spacing w:after="0" w:line="239" w:lineRule="auto"/>
        <w:tabs>
          <w:tab w:leader="none" w:pos="2746"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31 March 2021 the Fixed Charges Cover Ratio for the Calculation Period ending on that date is not less than 1.25 times (provided that, for the purposes of this </w:t>
      </w:r>
      <w:r>
        <w:rPr>
          <w:rFonts w:ascii="Times New Roman" w:cs="Times New Roman" w:eastAsia="Times New Roman" w:hAnsi="Times New Roman"/>
          <w:sz w:val="20"/>
          <w:szCs w:val="20"/>
          <w:b w:val="1"/>
          <w:bCs w:val="1"/>
          <w:color w:val="auto"/>
        </w:rPr>
        <w:t>clause 9.8(a)(i)(A)</w:t>
      </w:r>
      <w:r>
        <w:rPr>
          <w:rFonts w:ascii="Times New Roman" w:cs="Times New Roman" w:eastAsia="Times New Roman" w:hAnsi="Times New Roman"/>
          <w:sz w:val="20"/>
          <w:szCs w:val="20"/>
          <w:color w:val="auto"/>
        </w:rPr>
        <w:t xml:space="preserve"> only, “Calculation Period” shall be the period of three (3) months ending on that date);</w:t>
      </w:r>
    </w:p>
    <w:p>
      <w:pPr>
        <w:spacing w:after="0" w:line="1" w:lineRule="exact"/>
        <w:rPr>
          <w:rFonts w:ascii="Times New Roman" w:cs="Times New Roman" w:eastAsia="Times New Roman" w:hAnsi="Times New Roman"/>
          <w:sz w:val="20"/>
          <w:szCs w:val="20"/>
          <w:color w:val="auto"/>
        </w:rPr>
      </w:pPr>
    </w:p>
    <w:p>
      <w:pPr>
        <w:ind w:left="2660" w:right="199" w:hanging="640"/>
        <w:spacing w:after="0" w:line="252" w:lineRule="auto"/>
        <w:tabs>
          <w:tab w:leader="none" w:pos="2735"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30 June 2021, the Fixed Charges Cover Ratio for the Calculation Period ending on that date is not less than 1.25 times (provided that, for the purposes of this clause 9.8(a)(i)(B) only, “Calculation Period” shall be the period of six</w:t>
      </w:r>
    </w:p>
    <w:p>
      <w:pPr>
        <w:ind w:left="2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 months ending on that date);</w:t>
      </w:r>
    </w:p>
    <w:p>
      <w:pPr>
        <w:jc w:val="both"/>
        <w:ind w:left="2660" w:right="459" w:hanging="640"/>
        <w:spacing w:after="0" w:line="252" w:lineRule="auto"/>
        <w:tabs>
          <w:tab w:leader="none" w:pos="2735"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30 September 2021, the Fixed Charges Cover Ratio for the Calculation Period ending on that date is not less than 2.0 times (provided that, for the purposes of this clause 9.8(a)(i)(C) only, “Calculation Period” shall be the period of nine (9) months ending on that date); and</w:t>
      </w:r>
    </w:p>
    <w:p>
      <w:pPr>
        <w:ind w:left="2660" w:right="119" w:hanging="640"/>
        <w:spacing w:after="0" w:line="252" w:lineRule="auto"/>
        <w:tabs>
          <w:tab w:leader="none" w:pos="2746"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each other Calculation Date (other than 30 June 2020, 30 September 2020 and 31 December 2020 (without prejudice to the Borrower’s obligation under </w:t>
      </w:r>
      <w:r>
        <w:rPr>
          <w:rFonts w:ascii="Times New Roman" w:cs="Times New Roman" w:eastAsia="Times New Roman" w:hAnsi="Times New Roman"/>
          <w:sz w:val="19"/>
          <w:szCs w:val="19"/>
          <w:b w:val="1"/>
          <w:bCs w:val="1"/>
          <w:color w:val="auto"/>
        </w:rPr>
        <w:t xml:space="preserve">clause 9.5(b) and 9.5(c) </w:t>
      </w:r>
      <w:r>
        <w:rPr>
          <w:rFonts w:ascii="Times New Roman" w:cs="Times New Roman" w:eastAsia="Times New Roman" w:hAnsi="Times New Roman"/>
          <w:sz w:val="19"/>
          <w:szCs w:val="19"/>
          <w:color w:val="auto"/>
        </w:rPr>
        <w:t>in respect of those dates)), the Fixed Charges Cover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Ratio for the Calculation Period ending on that date is not less than 2.00 times;</w:t>
      </w:r>
    </w:p>
    <w:p>
      <w:pPr>
        <w:ind w:left="2020" w:hanging="648"/>
        <w:spacing w:after="0"/>
        <w:tabs>
          <w:tab w:leader="none" w:pos="202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Leverage Ratio</w:t>
      </w:r>
      <w:r>
        <w:rPr>
          <w:rFonts w:ascii="Times New Roman" w:cs="Times New Roman" w:eastAsia="Times New Roman" w:hAnsi="Times New Roman"/>
          <w:sz w:val="20"/>
          <w:szCs w:val="20"/>
          <w:color w:val="auto"/>
        </w:rPr>
        <w:t>:</w:t>
      </w:r>
    </w:p>
    <w:p>
      <w:pPr>
        <w:ind w:left="2660" w:right="99" w:hanging="640"/>
        <w:spacing w:after="0" w:line="239" w:lineRule="auto"/>
        <w:tabs>
          <w:tab w:leader="none" w:pos="2746"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31 December 2021 the Leverage Ratio for the Calculation Period ending on that date is less than or equal to 3.25 times (provided that, for the purposes of this </w:t>
      </w:r>
      <w:r>
        <w:rPr>
          <w:rFonts w:ascii="Times New Roman" w:cs="Times New Roman" w:eastAsia="Times New Roman" w:hAnsi="Times New Roman"/>
          <w:sz w:val="20"/>
          <w:szCs w:val="20"/>
          <w:b w:val="1"/>
          <w:bCs w:val="1"/>
          <w:color w:val="auto"/>
        </w:rPr>
        <w:t>clause 9.8(a)(ii)(A)</w:t>
      </w:r>
      <w:r>
        <w:rPr>
          <w:rFonts w:ascii="Times New Roman" w:cs="Times New Roman" w:eastAsia="Times New Roman" w:hAnsi="Times New Roman"/>
          <w:sz w:val="20"/>
          <w:szCs w:val="20"/>
          <w:color w:val="auto"/>
        </w:rPr>
        <w:t xml:space="preserve"> only, the “Calculation Period” shall be the period of three (3) months ending on that date with Adjusted EBITDA to be calculated on an annualised basis);</w:t>
      </w:r>
    </w:p>
    <w:p>
      <w:pPr>
        <w:spacing w:after="0" w:line="2" w:lineRule="exact"/>
        <w:rPr>
          <w:rFonts w:ascii="Times New Roman" w:cs="Times New Roman" w:eastAsia="Times New Roman" w:hAnsi="Times New Roman"/>
          <w:sz w:val="20"/>
          <w:szCs w:val="20"/>
          <w:color w:val="auto"/>
        </w:rPr>
      </w:pPr>
    </w:p>
    <w:p>
      <w:pPr>
        <w:ind w:left="2660" w:right="179" w:hanging="640"/>
        <w:spacing w:after="0" w:line="239" w:lineRule="auto"/>
        <w:tabs>
          <w:tab w:leader="none" w:pos="2735"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31 March 2022 the Leverage Ratio for the Calculation Period ending on that date is less than or equal to 3.25 times (provided that, for the purposes of this </w:t>
      </w:r>
      <w:r>
        <w:rPr>
          <w:rFonts w:ascii="Times New Roman" w:cs="Times New Roman" w:eastAsia="Times New Roman" w:hAnsi="Times New Roman"/>
          <w:sz w:val="20"/>
          <w:szCs w:val="20"/>
          <w:b w:val="1"/>
          <w:bCs w:val="1"/>
          <w:color w:val="auto"/>
        </w:rPr>
        <w:t>clause 9.8(a)(ii)(B)</w:t>
      </w:r>
      <w:r>
        <w:rPr>
          <w:rFonts w:ascii="Times New Roman" w:cs="Times New Roman" w:eastAsia="Times New Roman" w:hAnsi="Times New Roman"/>
          <w:sz w:val="20"/>
          <w:szCs w:val="20"/>
          <w:color w:val="auto"/>
        </w:rPr>
        <w:t xml:space="preserve"> only, the “Calculation Period” shall be the period of six (6) months ending on that date with Adjusted EBITDA to be calculated on an annualised basis);</w:t>
      </w:r>
    </w:p>
    <w:p>
      <w:pPr>
        <w:spacing w:after="0" w:line="2" w:lineRule="exact"/>
        <w:rPr>
          <w:rFonts w:ascii="Times New Roman" w:cs="Times New Roman" w:eastAsia="Times New Roman" w:hAnsi="Times New Roman"/>
          <w:sz w:val="20"/>
          <w:szCs w:val="20"/>
          <w:color w:val="auto"/>
        </w:rPr>
      </w:pPr>
    </w:p>
    <w:p>
      <w:pPr>
        <w:jc w:val="both"/>
        <w:ind w:left="2660" w:right="199" w:hanging="640"/>
        <w:spacing w:after="0" w:line="271" w:lineRule="auto"/>
        <w:tabs>
          <w:tab w:leader="none" w:pos="2735"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30 June 2022 the Leverage Ratio for the Calculation Period ending on that date is less than or equal to 3.25 times (provided that, for the purposes of </w:t>
      </w:r>
      <w:r>
        <w:rPr>
          <w:rFonts w:ascii="Times New Roman" w:cs="Times New Roman" w:eastAsia="Times New Roman" w:hAnsi="Times New Roman"/>
          <w:sz w:val="19"/>
          <w:szCs w:val="19"/>
          <w:b w:val="1"/>
          <w:bCs w:val="1"/>
          <w:color w:val="auto"/>
        </w:rPr>
        <w:t>this</w:t>
      </w:r>
    </w:p>
    <w:p>
      <w:pPr>
        <w:sectPr>
          <w:pgSz w:w="11900" w:h="16838" w:orient="portrait"/>
          <w:cols w:equalWidth="0" w:num="1">
            <w:col w:w="9019"/>
          </w:cols>
          <w:pgMar w:left="1440" w:top="114" w:right="1440" w:bottom="0" w:gutter="0" w:footer="0" w:header="0"/>
        </w:sectPr>
      </w:pPr>
    </w:p>
    <w:bookmarkStart w:id="78" w:name="page79"/>
    <w:bookmarkEnd w:id="78"/>
    <w:p>
      <w:pPr>
        <w:ind w:left="2660"/>
        <w:spacing w:after="0"/>
        <w:rPr>
          <w:sz w:val="20"/>
          <w:szCs w:val="20"/>
          <w:color w:val="auto"/>
        </w:rPr>
      </w:pPr>
      <w:r>
        <w:rPr>
          <w:rFonts w:ascii="Times New Roman" w:cs="Times New Roman" w:eastAsia="Times New Roman" w:hAnsi="Times New Roman"/>
          <w:sz w:val="20"/>
          <w:szCs w:val="20"/>
          <w:b w:val="1"/>
          <w:bCs w:val="1"/>
          <w:color w:val="auto"/>
        </w:rPr>
        <w:t xml:space="preserve">clause 9.8(a)(ii)(C) </w:t>
      </w:r>
      <w:r>
        <w:rPr>
          <w:rFonts w:ascii="Times New Roman" w:cs="Times New Roman" w:eastAsia="Times New Roman" w:hAnsi="Times New Roman"/>
          <w:sz w:val="20"/>
          <w:szCs w:val="20"/>
          <w:color w:val="auto"/>
        </w:rPr>
        <w:t>only, the “Calculation Period” shall be the period of nine</w:t>
      </w:r>
    </w:p>
    <w:p>
      <w:pPr>
        <w:spacing w:after="0" w:line="25" w:lineRule="exact"/>
        <w:rPr>
          <w:sz w:val="20"/>
          <w:szCs w:val="20"/>
          <w:color w:val="auto"/>
        </w:rPr>
      </w:pPr>
    </w:p>
    <w:p>
      <w:pPr>
        <w:ind w:left="2660" w:right="219"/>
        <w:spacing w:after="0" w:line="239" w:lineRule="auto"/>
        <w:rPr>
          <w:sz w:val="20"/>
          <w:szCs w:val="20"/>
          <w:color w:val="auto"/>
        </w:rPr>
      </w:pPr>
      <w:r>
        <w:rPr>
          <w:rFonts w:ascii="Times New Roman" w:cs="Times New Roman" w:eastAsia="Times New Roman" w:hAnsi="Times New Roman"/>
          <w:sz w:val="20"/>
          <w:szCs w:val="20"/>
          <w:color w:val="auto"/>
        </w:rPr>
        <w:t>(9) months ending on that date with Adjusted EBITDA to be calculated on an annualised basis); and</w:t>
      </w:r>
    </w:p>
    <w:p>
      <w:pPr>
        <w:ind w:left="2660" w:right="159" w:hanging="640"/>
        <w:spacing w:after="0" w:line="241" w:lineRule="auto"/>
        <w:tabs>
          <w:tab w:leader="none" w:pos="2746"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each other Calculation Date (other than 30 June 2020, 30 September 2020, 31 December 2020, 31 March 2021. 30 June 2021 and 30 September 2021 inclusive (without prejudice to the Borrower’s obligations under </w:t>
      </w:r>
      <w:r>
        <w:rPr>
          <w:rFonts w:ascii="Times New Roman" w:cs="Times New Roman" w:eastAsia="Times New Roman" w:hAnsi="Times New Roman"/>
          <w:sz w:val="20"/>
          <w:szCs w:val="20"/>
          <w:b w:val="1"/>
          <w:b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9.5(b) and 9.5(c) </w:t>
      </w:r>
      <w:r>
        <w:rPr>
          <w:rFonts w:ascii="Times New Roman" w:cs="Times New Roman" w:eastAsia="Times New Roman" w:hAnsi="Times New Roman"/>
          <w:sz w:val="20"/>
          <w:szCs w:val="20"/>
          <w:color w:val="auto"/>
        </w:rPr>
        <w:t>in respect of those dates)), the Leverage Ratio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Calculation Period ending on that date is less than or equal to 3.25 times;</w:t>
      </w:r>
    </w:p>
    <w:p>
      <w:pPr>
        <w:spacing w:after="0" w:line="196" w:lineRule="exact"/>
        <w:rPr>
          <w:rFonts w:ascii="Times New Roman" w:cs="Times New Roman" w:eastAsia="Times New Roman" w:hAnsi="Times New Roman"/>
          <w:sz w:val="20"/>
          <w:szCs w:val="20"/>
          <w:color w:val="auto"/>
        </w:rPr>
      </w:pPr>
    </w:p>
    <w:p>
      <w:pPr>
        <w:jc w:val="both"/>
        <w:ind w:left="2020" w:right="519" w:hanging="648"/>
        <w:spacing w:after="0" w:line="248" w:lineRule="auto"/>
        <w:tabs>
          <w:tab w:leader="none" w:pos="202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Debt to Debt plus Equity Ratio</w:t>
      </w:r>
      <w:r>
        <w:rPr>
          <w:rFonts w:ascii="Times New Roman" w:cs="Times New Roman" w:eastAsia="Times New Roman" w:hAnsi="Times New Roman"/>
          <w:sz w:val="20"/>
          <w:szCs w:val="20"/>
          <w:color w:val="auto"/>
        </w:rPr>
        <w:t>: at each Calculation Date, the Debt to Debt plus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Ratio for the Calculation Period ending on that date is less than or equal to 50%;</w:t>
      </w:r>
    </w:p>
    <w:p>
      <w:pPr>
        <w:spacing w:after="0" w:line="1" w:lineRule="exact"/>
        <w:rPr>
          <w:rFonts w:ascii="Times New Roman" w:cs="Times New Roman" w:eastAsia="Times New Roman" w:hAnsi="Times New Roman"/>
          <w:sz w:val="20"/>
          <w:szCs w:val="20"/>
          <w:color w:val="auto"/>
        </w:rPr>
      </w:pPr>
    </w:p>
    <w:p>
      <w:pPr>
        <w:ind w:left="2020" w:right="679" w:hanging="648"/>
        <w:spacing w:after="0" w:line="239" w:lineRule="auto"/>
        <w:tabs>
          <w:tab w:leader="none" w:pos="2063"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to Value Ratio</w:t>
      </w:r>
      <w:r>
        <w:rPr>
          <w:rFonts w:ascii="Times New Roman" w:cs="Times New Roman" w:eastAsia="Times New Roman" w:hAnsi="Times New Roman"/>
          <w:sz w:val="20"/>
          <w:szCs w:val="20"/>
          <w:color w:val="auto"/>
        </w:rPr>
        <w:t>: at each Calculation Date, the Loan to Value Ratio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Calculation Period ending on that date is less than or equal to 70%.</w:t>
      </w:r>
    </w:p>
    <w:p>
      <w:pPr>
        <w:ind w:left="1380" w:right="179" w:hanging="656"/>
        <w:spacing w:after="0" w:line="241" w:lineRule="auto"/>
        <w:tabs>
          <w:tab w:leader="none" w:pos="141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financial ratio or amount to be determined under clause 9.8(a) must be tested or determined by reference to the most recently prepared Financial Statements. The calculation of any amounts on a consolidated basis must be made in accordance with the requirements of the Accounting Standards relating to the consolidation of entities.</w:t>
      </w:r>
    </w:p>
    <w:p>
      <w:pPr>
        <w:spacing w:after="0" w:line="193"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9.9</w:t>
      </w:r>
      <w:r>
        <w:rPr>
          <w:sz w:val="20"/>
          <w:szCs w:val="20"/>
          <w:color w:val="auto"/>
        </w:rPr>
        <w:tab/>
      </w:r>
      <w:r>
        <w:rPr>
          <w:rFonts w:ascii="Times New Roman" w:cs="Times New Roman" w:eastAsia="Times New Roman" w:hAnsi="Times New Roman"/>
          <w:sz w:val="21"/>
          <w:szCs w:val="21"/>
          <w:b w:val="1"/>
          <w:bCs w:val="1"/>
          <w:color w:val="auto"/>
        </w:rPr>
        <w:t>Environment</w:t>
      </w:r>
    </w:p>
    <w:p>
      <w:pPr>
        <w:spacing w:after="0" w:line="33" w:lineRule="exact"/>
        <w:rPr>
          <w:sz w:val="20"/>
          <w:szCs w:val="20"/>
          <w:color w:val="auto"/>
        </w:rPr>
      </w:pPr>
    </w:p>
    <w:p>
      <w:pPr>
        <w:ind w:left="1380" w:right="199" w:hanging="656"/>
        <w:spacing w:after="0" w:line="239" w:lineRule="auto"/>
        <w:tabs>
          <w:tab w:leader="none" w:pos="141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Transaction Party must ensure that at all times all practical and reasonable steps that can be taken and measures and precautions that can be adopted are taken or adopted by each Transaction Party to ensure that:</w:t>
      </w:r>
    </w:p>
    <w:p>
      <w:pPr>
        <w:spacing w:after="0" w:line="2" w:lineRule="exact"/>
        <w:rPr>
          <w:rFonts w:ascii="Times New Roman" w:cs="Times New Roman" w:eastAsia="Times New Roman" w:hAnsi="Times New Roman"/>
          <w:sz w:val="20"/>
          <w:szCs w:val="20"/>
          <w:color w:val="auto"/>
        </w:rPr>
      </w:pPr>
    </w:p>
    <w:p>
      <w:pPr>
        <w:ind w:left="2020" w:right="539" w:hanging="648"/>
        <w:spacing w:after="0" w:line="252" w:lineRule="auto"/>
        <w:tabs>
          <w:tab w:leader="none" w:pos="2018"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persons, things and activities of any kind on or using the Land comply with all Environmental Laws and any consent, permit, approval, licence, authorisation, certification, order or direction granted or issued under any Environmental Law;</w:t>
      </w:r>
    </w:p>
    <w:p>
      <w:pPr>
        <w:ind w:left="2020" w:right="359" w:hanging="648"/>
        <w:spacing w:after="0" w:line="239" w:lineRule="auto"/>
        <w:tabs>
          <w:tab w:leader="none" w:pos="2019"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any non-compliance with any Environmental Law or any consent, permit, approval, licence, authorisation, certification, order or direction granted or issued under any Environmental Law:</w:t>
      </w:r>
    </w:p>
    <w:p>
      <w:pPr>
        <w:spacing w:after="0" w:line="1" w:lineRule="exact"/>
        <w:rPr>
          <w:rFonts w:ascii="Times New Roman" w:cs="Times New Roman" w:eastAsia="Times New Roman" w:hAnsi="Times New Roman"/>
          <w:sz w:val="20"/>
          <w:szCs w:val="20"/>
          <w:color w:val="auto"/>
        </w:rPr>
      </w:pPr>
    </w:p>
    <w:p>
      <w:pPr>
        <w:ind w:left="2760" w:hanging="740"/>
        <w:spacing w:after="0"/>
        <w:tabs>
          <w:tab w:leader="none" w:pos="2760" w:val="left"/>
        </w:tabs>
        <w:numPr>
          <w:ilvl w:val="2"/>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the Land and the environment is minimised; and</w:t>
      </w:r>
    </w:p>
    <w:p>
      <w:pPr>
        <w:jc w:val="both"/>
        <w:ind w:left="2660" w:right="119" w:hanging="640"/>
        <w:spacing w:after="0" w:line="239" w:lineRule="auto"/>
        <w:tabs>
          <w:tab w:leader="none" w:pos="2735" w:val="left"/>
        </w:tabs>
        <w:numPr>
          <w:ilvl w:val="2"/>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steps are taken as quickly as possible to rectify the non-compliance, eliminate or reduce any liability arising from the non-compliance and to ensure the non-compliance does not recur;</w:t>
      </w:r>
    </w:p>
    <w:p>
      <w:pPr>
        <w:spacing w:after="0" w:line="1"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or any person on the Land does not:</w:t>
      </w:r>
    </w:p>
    <w:p>
      <w:pPr>
        <w:ind w:left="2760" w:hanging="740"/>
        <w:spacing w:after="0"/>
        <w:tabs>
          <w:tab w:leader="none" w:pos="2760" w:val="left"/>
        </w:tabs>
        <w:numPr>
          <w:ilvl w:val="2"/>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onto or permit to exist on the Land any Contaminant; or</w:t>
      </w:r>
    </w:p>
    <w:p>
      <w:pPr>
        <w:ind w:left="2740" w:hanging="720"/>
        <w:spacing w:after="0"/>
        <w:tabs>
          <w:tab w:leader="none" w:pos="2740" w:val="left"/>
        </w:tabs>
        <w:numPr>
          <w:ilvl w:val="2"/>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a Contaminant to escape or be released into the environment,</w:t>
      </w:r>
    </w:p>
    <w:p>
      <w:pPr>
        <w:ind w:left="2020" w:right="259"/>
        <w:spacing w:after="0" w:line="239" w:lineRule="auto"/>
        <w:rPr>
          <w:sz w:val="20"/>
          <w:szCs w:val="20"/>
          <w:color w:val="auto"/>
        </w:rPr>
      </w:pPr>
      <w:r>
        <w:rPr>
          <w:rFonts w:ascii="Times New Roman" w:cs="Times New Roman" w:eastAsia="Times New Roman" w:hAnsi="Times New Roman"/>
          <w:sz w:val="20"/>
          <w:szCs w:val="20"/>
          <w:color w:val="auto"/>
        </w:rPr>
        <w:t>if to do so would be in breach of any Environmental Law or any consent, permit, approval, licence, authorisation, certification, order or direction granted or issued under any Environmental Law or could give rise to an order or direction being issued under any Environmental Law; and</w:t>
      </w:r>
    </w:p>
    <w:p>
      <w:pPr>
        <w:spacing w:after="0" w:line="2" w:lineRule="exact"/>
        <w:rPr>
          <w:sz w:val="20"/>
          <w:szCs w:val="20"/>
          <w:color w:val="auto"/>
        </w:rPr>
      </w:pPr>
    </w:p>
    <w:p>
      <w:pPr>
        <w:ind w:left="2020" w:right="259" w:hanging="648"/>
        <w:spacing w:after="0" w:line="239" w:lineRule="auto"/>
        <w:tabs>
          <w:tab w:leader="none" w:pos="206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Contaminant is discovered on or affecting the Land (other than a Contaminant which is safely stored in accordance with lawful authority) or, without lawful authority, escapes or is released from the Land into the environment:</w:t>
      </w:r>
    </w:p>
    <w:p>
      <w:pPr>
        <w:spacing w:after="0" w:line="1" w:lineRule="exact"/>
        <w:rPr>
          <w:rFonts w:ascii="Times New Roman" w:cs="Times New Roman" w:eastAsia="Times New Roman" w:hAnsi="Times New Roman"/>
          <w:sz w:val="20"/>
          <w:szCs w:val="20"/>
          <w:color w:val="auto"/>
        </w:rPr>
      </w:pPr>
    </w:p>
    <w:p>
      <w:pPr>
        <w:ind w:left="2760" w:hanging="740"/>
        <w:spacing w:after="0"/>
        <w:tabs>
          <w:tab w:leader="none" w:pos="2760"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the Land and the environment is minimised; and</w:t>
      </w:r>
    </w:p>
    <w:p>
      <w:pPr>
        <w:ind w:left="2660" w:right="99" w:hanging="640"/>
        <w:spacing w:after="0" w:line="239" w:lineRule="auto"/>
        <w:tabs>
          <w:tab w:leader="none" w:pos="2735" w:val="left"/>
        </w:tabs>
        <w:numPr>
          <w:ilvl w:val="2"/>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 and do all things necessary to restore the Land and the environment.</w:t>
      </w:r>
    </w:p>
    <w:p>
      <w:pPr>
        <w:spacing w:after="0" w:line="2" w:lineRule="exact"/>
        <w:rPr>
          <w:rFonts w:ascii="Times New Roman" w:cs="Times New Roman" w:eastAsia="Times New Roman" w:hAnsi="Times New Roman"/>
          <w:sz w:val="20"/>
          <w:szCs w:val="20"/>
          <w:color w:val="auto"/>
        </w:rPr>
      </w:pPr>
    </w:p>
    <w:p>
      <w:pPr>
        <w:ind w:left="1380" w:right="199" w:hanging="656"/>
        <w:spacing w:after="0" w:line="239" w:lineRule="auto"/>
        <w:tabs>
          <w:tab w:leader="none" w:pos="142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there is any non-compliance under </w:t>
      </w:r>
      <w:r>
        <w:rPr>
          <w:rFonts w:ascii="Times New Roman" w:cs="Times New Roman" w:eastAsia="Times New Roman" w:hAnsi="Times New Roman"/>
          <w:sz w:val="20"/>
          <w:szCs w:val="20"/>
          <w:b w:val="1"/>
          <w:bCs w:val="1"/>
          <w:color w:val="auto"/>
        </w:rPr>
        <w:t>clauses 9.9(a)(i), (ii) or (iii)</w:t>
      </w:r>
      <w:r>
        <w:rPr>
          <w:rFonts w:ascii="Times New Roman" w:cs="Times New Roman" w:eastAsia="Times New Roman" w:hAnsi="Times New Roman"/>
          <w:sz w:val="20"/>
          <w:szCs w:val="20"/>
          <w:color w:val="auto"/>
        </w:rPr>
        <w:t xml:space="preserve"> or any Contaminant is discovered or the Borrower has reason to believe that there is some Contaminant on the Land requiring action to be taken under clause 9.9(a)(iv), the Borrower must immediately notify the Bank.</w:t>
      </w:r>
    </w:p>
    <w:p>
      <w:pPr>
        <w:spacing w:after="0" w:line="1" w:lineRule="exact"/>
        <w:rPr>
          <w:rFonts w:ascii="Times New Roman" w:cs="Times New Roman" w:eastAsia="Times New Roman" w:hAnsi="Times New Roman"/>
          <w:sz w:val="20"/>
          <w:szCs w:val="20"/>
          <w:color w:val="auto"/>
        </w:rPr>
      </w:pPr>
    </w:p>
    <w:p>
      <w:pPr>
        <w:ind w:left="1380" w:right="179" w:hanging="656"/>
        <w:spacing w:after="0" w:line="239" w:lineRule="auto"/>
        <w:tabs>
          <w:tab w:leader="none" w:pos="141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there is or the Bank has reason to believe that there may be any non-compliance under </w:t>
      </w:r>
      <w:r>
        <w:rPr>
          <w:rFonts w:ascii="Times New Roman" w:cs="Times New Roman" w:eastAsia="Times New Roman" w:hAnsi="Times New Roman"/>
          <w:sz w:val="20"/>
          <w:szCs w:val="20"/>
          <w:b w:val="1"/>
          <w:bCs w:val="1"/>
          <w:color w:val="auto"/>
        </w:rPr>
        <w:t>clauses 9.9(a)(i), (ii) or (iii</w:t>
      </w:r>
      <w:r>
        <w:rPr>
          <w:rFonts w:ascii="Times New Roman" w:cs="Times New Roman" w:eastAsia="Times New Roman" w:hAnsi="Times New Roman"/>
          <w:sz w:val="20"/>
          <w:szCs w:val="20"/>
          <w:color w:val="auto"/>
        </w:rPr>
        <w:t>) or any Contaminant is discovered or the Bank has reason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believe that there is some Contaminant on the Land requiring action to be taken under </w:t>
      </w:r>
      <w:r>
        <w:rPr>
          <w:rFonts w:ascii="Times New Roman" w:cs="Times New Roman" w:eastAsia="Times New Roman" w:hAnsi="Times New Roman"/>
          <w:sz w:val="20"/>
          <w:szCs w:val="20"/>
          <w:b w:val="1"/>
          <w:b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9.9(a)(iv), </w:t>
      </w:r>
      <w:r>
        <w:rPr>
          <w:rFonts w:ascii="Times New Roman" w:cs="Times New Roman" w:eastAsia="Times New Roman" w:hAnsi="Times New Roman"/>
          <w:sz w:val="20"/>
          <w:szCs w:val="20"/>
          <w:color w:val="auto"/>
        </w:rPr>
        <w:t>the Borrower, at the request of the Bank, must procure and furnish to the Bank,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 acceptable to the Bank, an Environmental Assessment Report in relation to the Land and any operations conducted on it.</w:t>
      </w:r>
    </w:p>
    <w:p>
      <w:pPr>
        <w:spacing w:after="0" w:line="2"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indemnifies the Bank from and against all:</w:t>
      </w:r>
    </w:p>
    <w:p>
      <w:pPr>
        <w:ind w:left="2020" w:hanging="648"/>
        <w:spacing w:after="0"/>
        <w:tabs>
          <w:tab w:leader="none" w:pos="202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Liability; and</w:t>
      </w:r>
    </w:p>
    <w:p>
      <w:pPr>
        <w:ind w:left="2020" w:right="179" w:hanging="648"/>
        <w:spacing w:after="0" w:line="239" w:lineRule="auto"/>
        <w:tabs>
          <w:tab w:leader="none" w:pos="2019"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losses, outgoings, costs, charges or expenses suffered or incurred by the Bank in respect of any action, claim or demand made or brought in respect of or otherwise arising from or in connection with any breach of any Environmental Law in relation to the Land.</w:t>
      </w:r>
    </w:p>
    <w:p>
      <w:pPr>
        <w:spacing w:after="0" w:line="1" w:lineRule="exact"/>
        <w:rPr>
          <w:rFonts w:ascii="Times New Roman" w:cs="Times New Roman" w:eastAsia="Times New Roman" w:hAnsi="Times New Roman"/>
          <w:sz w:val="20"/>
          <w:szCs w:val="20"/>
          <w:color w:val="auto"/>
        </w:rPr>
      </w:pPr>
    </w:p>
    <w:p>
      <w:pPr>
        <w:ind w:left="1400" w:hanging="676"/>
        <w:spacing w:after="0"/>
        <w:tabs>
          <w:tab w:leader="none" w:pos="14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immediately notify the Bank of:</w:t>
      </w:r>
    </w:p>
    <w:p>
      <w:pPr>
        <w:ind w:left="2020" w:hanging="648"/>
        <w:spacing w:after="0"/>
        <w:tabs>
          <w:tab w:leader="none" w:pos="202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Contaminant on or adjacent to or affecting the Land; and</w:t>
      </w:r>
    </w:p>
    <w:p>
      <w:pPr>
        <w:ind w:left="2020" w:hanging="648"/>
        <w:spacing w:after="0"/>
        <w:tabs>
          <w:tab w:leader="none" w:pos="202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any Transaction Party of any notice, order or direction:</w:t>
      </w:r>
    </w:p>
    <w:p>
      <w:pPr>
        <w:ind w:left="2760" w:hanging="740"/>
        <w:spacing w:after="0"/>
        <w:tabs>
          <w:tab w:leader="none" w:pos="276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clean up any Contaminant on the Land; or</w:t>
      </w:r>
    </w:p>
    <w:p>
      <w:pPr>
        <w:ind w:left="2740" w:hanging="720"/>
        <w:spacing w:after="0"/>
        <w:tabs>
          <w:tab w:leader="none" w:pos="274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alleging any breach of Environmental Law.</w:t>
      </w:r>
    </w:p>
    <w:p>
      <w:pPr>
        <w:sectPr>
          <w:pgSz w:w="11900" w:h="16838" w:orient="portrait"/>
          <w:cols w:equalWidth="0" w:num="1">
            <w:col w:w="9019"/>
          </w:cols>
          <w:pgMar w:left="1440" w:top="114" w:right="1440" w:bottom="0" w:gutter="0" w:footer="0" w:header="0"/>
        </w:sectPr>
      </w:pPr>
    </w:p>
    <w:bookmarkStart w:id="79" w:name="page80"/>
    <w:bookmarkEnd w:id="79"/>
    <w:p>
      <w:pPr>
        <w:spacing w:after="0" w:line="86" w:lineRule="exact"/>
        <w:rPr>
          <w:sz w:val="20"/>
          <w:szCs w:val="20"/>
          <w:color w:val="auto"/>
        </w:rPr>
      </w:pPr>
    </w:p>
    <w:p>
      <w:pPr>
        <w:ind w:left="1380" w:right="739" w:hanging="647"/>
        <w:spacing w:after="0" w:line="246" w:lineRule="auto"/>
        <w:tabs>
          <w:tab w:leader="none" w:pos="136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If requested by the Bank, the Borrower must provide the Bank with a copy of each environmental consent, permit, approval, licence, authorisation, certification, order and direction relating to the Land together with confirmation that:</w:t>
      </w:r>
    </w:p>
    <w:p>
      <w:pPr>
        <w:spacing w:after="0" w:line="2" w:lineRule="exact"/>
        <w:rPr>
          <w:sz w:val="20"/>
          <w:szCs w:val="20"/>
          <w:color w:val="auto"/>
        </w:rPr>
      </w:pPr>
    </w:p>
    <w:p>
      <w:pPr>
        <w:ind w:left="2020" w:right="679" w:hanging="647"/>
        <w:spacing w:after="0" w:line="239" w:lineRule="auto"/>
        <w:tabs>
          <w:tab w:leader="none" w:pos="20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it is complying with the terms and conditions of each consent, permit, approval, licence, authorisation, certification, order and direction; and</w:t>
      </w:r>
    </w:p>
    <w:p>
      <w:pPr>
        <w:spacing w:after="0" w:line="1" w:lineRule="exact"/>
        <w:rPr>
          <w:sz w:val="20"/>
          <w:szCs w:val="20"/>
          <w:color w:val="auto"/>
        </w:rPr>
      </w:pPr>
    </w:p>
    <w:p>
      <w:pPr>
        <w:ind w:left="2020" w:right="499" w:hanging="639"/>
        <w:spacing w:after="0" w:line="239" w:lineRule="auto"/>
        <w:tabs>
          <w:tab w:leader="none" w:pos="200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it has renewed each consent, permit, approval, licence, authorisation, certification, order and direction as appropriate.</w:t>
      </w: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The Borrower must:</w:t>
      </w:r>
    </w:p>
    <w:p>
      <w:pPr>
        <w:ind w:left="2020" w:right="259" w:hanging="647"/>
        <w:spacing w:after="0" w:line="239" w:lineRule="auto"/>
        <w:tabs>
          <w:tab w:leader="none" w:pos="20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when reasonably required by the Bank, obtain or permit the Bank to obtain an Environmental Assessment Report from a person approved by the Bank in relation to the Land; and</w:t>
      </w:r>
    </w:p>
    <w:p>
      <w:pPr>
        <w:spacing w:after="0" w:line="1" w:lineRule="exact"/>
        <w:rPr>
          <w:sz w:val="20"/>
          <w:szCs w:val="20"/>
          <w:color w:val="auto"/>
        </w:rPr>
      </w:pPr>
    </w:p>
    <w:p>
      <w:pPr>
        <w:ind w:left="2020" w:right="199" w:hanging="639"/>
        <w:spacing w:after="0" w:line="241" w:lineRule="auto"/>
        <w:tabs>
          <w:tab w:leader="none" w:pos="200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 with that recommendation.</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9.10</w:t>
            </w:r>
          </w:p>
        </w:tc>
        <w:tc>
          <w:tcPr>
            <w:tcW w:w="54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No default</w:t>
            </w:r>
          </w:p>
        </w:tc>
      </w:tr>
      <w:tr>
        <w:trPr>
          <w:trHeight w:val="258"/>
        </w:trPr>
        <w:tc>
          <w:tcPr>
            <w:tcW w:w="500" w:type="dxa"/>
            <w:vAlign w:val="bottom"/>
          </w:tcPr>
          <w:p>
            <w:pPr>
              <w:spacing w:after="0"/>
              <w:rPr>
                <w:sz w:val="22"/>
                <w:szCs w:val="22"/>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The Borrower must ensure that an Event of Default does not occur.</w:t>
            </w:r>
          </w:p>
        </w:tc>
      </w:tr>
      <w:tr>
        <w:trPr>
          <w:trHeight w:val="478"/>
        </w:trPr>
        <w:tc>
          <w:tcPr>
            <w:tcW w:w="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9.11</w:t>
            </w:r>
          </w:p>
        </w:tc>
        <w:tc>
          <w:tcPr>
            <w:tcW w:w="54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Obligations of Trustees</w:t>
            </w:r>
          </w:p>
        </w:tc>
      </w:tr>
    </w:tbl>
    <w:p>
      <w:pPr>
        <w:ind w:left="720"/>
        <w:spacing w:after="0"/>
        <w:rPr>
          <w:sz w:val="20"/>
          <w:szCs w:val="20"/>
          <w:color w:val="auto"/>
        </w:rPr>
      </w:pPr>
      <w:r>
        <w:rPr>
          <w:rFonts w:ascii="Times New Roman" w:cs="Times New Roman" w:eastAsia="Times New Roman" w:hAnsi="Times New Roman"/>
          <w:sz w:val="20"/>
          <w:szCs w:val="20"/>
          <w:color w:val="auto"/>
        </w:rPr>
        <w:t>If a Transaction Party is a Trustee the Borrower must ensure that it:</w:t>
      </w:r>
    </w:p>
    <w:p>
      <w:pPr>
        <w:spacing w:after="0" w:line="13" w:lineRule="exact"/>
        <w:rPr>
          <w:sz w:val="20"/>
          <w:szCs w:val="20"/>
          <w:color w:val="auto"/>
        </w:rPr>
      </w:pPr>
    </w:p>
    <w:p>
      <w:pPr>
        <w:ind w:left="1400" w:hanging="676"/>
        <w:spacing w:after="0"/>
        <w:tabs>
          <w:tab w:leader="none" w:pos="14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ensures that the property of the Trust is not mixed with any other property;</w:t>
      </w:r>
    </w:p>
    <w:p>
      <w:pPr>
        <w:ind w:left="1420" w:hanging="696"/>
        <w:spacing w:after="0"/>
        <w:tabs>
          <w:tab w:leader="none" w:pos="142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complies with its obligations as trustee of the Trust;</w:t>
      </w:r>
    </w:p>
    <w:p>
      <w:pPr>
        <w:ind w:left="1380" w:right="139" w:hanging="656"/>
        <w:spacing w:after="0" w:line="239" w:lineRule="auto"/>
        <w:tabs>
          <w:tab w:leader="none" w:pos="141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release, dispose of or otherwise prejudice its right of indemnity against, and equitable lien over, the property of the Trust and its right of indemnity (if any) against the beneficiaries of the Trust in relation to any money owing to the Bank;</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Bank’s request:</w:t>
      </w:r>
    </w:p>
    <w:p>
      <w:pPr>
        <w:ind w:left="2020" w:right="99" w:hanging="648"/>
        <w:spacing w:after="0" w:line="239" w:lineRule="auto"/>
        <w:tabs>
          <w:tab w:leader="none" w:pos="201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exercises its right of indemnity against, and equitable lien over, the property of the Trust and its right of indemnity (if any) against the beneficiaries of the Trust in relation to any money owing to the Bank; and</w:t>
      </w:r>
    </w:p>
    <w:p>
      <w:pPr>
        <w:spacing w:after="0" w:line="1" w:lineRule="exact"/>
        <w:rPr>
          <w:rFonts w:ascii="Times New Roman" w:cs="Times New Roman" w:eastAsia="Times New Roman" w:hAnsi="Times New Roman"/>
          <w:sz w:val="20"/>
          <w:szCs w:val="20"/>
          <w:color w:val="auto"/>
        </w:rPr>
      </w:pPr>
    </w:p>
    <w:p>
      <w:pPr>
        <w:ind w:left="2020" w:right="259" w:hanging="648"/>
        <w:spacing w:after="0" w:line="239" w:lineRule="auto"/>
        <w:tabs>
          <w:tab w:leader="none" w:pos="2019"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assigns to the Bank those indemnities and that equitable lien and otherwise facilitates the subrogation of the Bank to those indemnities and that equitable lien;</w:t>
      </w:r>
    </w:p>
    <w:p>
      <w:pPr>
        <w:ind w:left="1380" w:right="379" w:hanging="656"/>
        <w:spacing w:after="0" w:line="239" w:lineRule="auto"/>
        <w:tabs>
          <w:tab w:leader="none" w:pos="141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if the Trust is a unit trust, consent to or register the transfer of units in the Trust or cancel, repurchase, redeem or issue any units in the Trust;</w:t>
      </w:r>
    </w:p>
    <w:p>
      <w:pPr>
        <w:ind w:left="1380" w:hanging="656"/>
        <w:spacing w:after="0"/>
        <w:tabs>
          <w:tab w:leader="none" w:pos="13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ensures that:</w:t>
      </w:r>
    </w:p>
    <w:p>
      <w:pPr>
        <w:ind w:left="2020" w:hanging="648"/>
        <w:spacing w:after="0"/>
        <w:tabs>
          <w:tab w:leader="none" w:pos="202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another person is not appointed as trustee of the Trust;</w:t>
      </w:r>
    </w:p>
    <w:p>
      <w:pPr>
        <w:ind w:left="2020" w:hanging="648"/>
        <w:spacing w:after="0"/>
        <w:tabs>
          <w:tab w:leader="none" w:pos="202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is not terminated or its terms varied;</w:t>
      </w:r>
    </w:p>
    <w:p>
      <w:pPr>
        <w:ind w:left="2020" w:hanging="648"/>
        <w:spacing w:after="0"/>
        <w:tabs>
          <w:tab w:leader="none" w:pos="202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does not resign and is not removed or replaced as trustee of the Trust;</w:t>
      </w:r>
    </w:p>
    <w:p>
      <w:pPr>
        <w:ind w:left="2060" w:hanging="688"/>
        <w:spacing w:after="0"/>
        <w:tabs>
          <w:tab w:leader="none" w:pos="206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of the Trust is not resettled;</w:t>
      </w:r>
    </w:p>
    <w:p>
      <w:pPr>
        <w:ind w:left="2060" w:hanging="688"/>
        <w:spacing w:after="0"/>
        <w:tabs>
          <w:tab w:leader="none" w:pos="206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of the property of the Trust is not distributed at any time; and</w:t>
      </w:r>
    </w:p>
    <w:p>
      <w:pPr>
        <w:ind w:left="2020" w:right="279" w:hanging="648"/>
        <w:spacing w:after="0" w:line="239" w:lineRule="auto"/>
        <w:tabs>
          <w:tab w:leader="none" w:pos="206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of the Trust is not distributed to anyone other than a Transaction Party while an Event of Default or Potential Event of Default subsists;</w:t>
      </w:r>
    </w:p>
    <w:p>
      <w:pPr>
        <w:ind w:left="1380" w:right="339" w:hanging="656"/>
        <w:spacing w:after="0" w:line="239" w:lineRule="auto"/>
        <w:tabs>
          <w:tab w:leader="none" w:pos="142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prepares and keeps full and true records and books of accounts of the Trust and makes them available for inspection and copying by the Bank on demand; and</w:t>
      </w:r>
    </w:p>
    <w:p>
      <w:pPr>
        <w:ind w:left="1420" w:hanging="696"/>
        <w:spacing w:after="0"/>
        <w:tabs>
          <w:tab w:leader="none" w:pos="142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default in performing or observing its obligations under the Transaction Documents.</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9.12</w:t>
      </w:r>
      <w:r>
        <w:rPr>
          <w:sz w:val="20"/>
          <w:szCs w:val="20"/>
          <w:color w:val="auto"/>
        </w:rPr>
        <w:tab/>
      </w:r>
      <w:r>
        <w:rPr>
          <w:rFonts w:ascii="Times New Roman" w:cs="Times New Roman" w:eastAsia="Times New Roman" w:hAnsi="Times New Roman"/>
          <w:sz w:val="21"/>
          <w:szCs w:val="21"/>
          <w:b w:val="1"/>
          <w:bCs w:val="1"/>
          <w:color w:val="auto"/>
        </w:rPr>
        <w:t>Release for Permitted Disposals</w:t>
      </w:r>
    </w:p>
    <w:p>
      <w:pPr>
        <w:spacing w:after="0" w:line="33" w:lineRule="exact"/>
        <w:rPr>
          <w:sz w:val="20"/>
          <w:szCs w:val="20"/>
          <w:color w:val="auto"/>
        </w:rPr>
      </w:pPr>
    </w:p>
    <w:p>
      <w:pPr>
        <w:ind w:left="720" w:right="519"/>
        <w:spacing w:after="0" w:line="243" w:lineRule="auto"/>
        <w:rPr>
          <w:sz w:val="20"/>
          <w:szCs w:val="20"/>
          <w:color w:val="auto"/>
        </w:rPr>
      </w:pPr>
      <w:r>
        <w:rPr>
          <w:rFonts w:ascii="Times New Roman" w:cs="Times New Roman" w:eastAsia="Times New Roman" w:hAnsi="Times New Roman"/>
          <w:sz w:val="20"/>
          <w:szCs w:val="20"/>
          <w:color w:val="auto"/>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p>
    <w:p>
      <w:pPr>
        <w:spacing w:after="0" w:line="189"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9.13</w:t>
      </w:r>
      <w:r>
        <w:rPr>
          <w:sz w:val="20"/>
          <w:szCs w:val="20"/>
          <w:color w:val="auto"/>
        </w:rPr>
        <w:tab/>
      </w:r>
      <w:r>
        <w:rPr>
          <w:rFonts w:ascii="Times New Roman" w:cs="Times New Roman" w:eastAsia="Times New Roman" w:hAnsi="Times New Roman"/>
          <w:sz w:val="21"/>
          <w:szCs w:val="21"/>
          <w:b w:val="1"/>
          <w:bCs w:val="1"/>
          <w:color w:val="auto"/>
        </w:rPr>
        <w:t>Net Sale Proceeds</w:t>
      </w:r>
    </w:p>
    <w:p>
      <w:pPr>
        <w:spacing w:after="0" w:line="33" w:lineRule="exact"/>
        <w:rPr>
          <w:sz w:val="20"/>
          <w:szCs w:val="20"/>
          <w:color w:val="auto"/>
        </w:rPr>
      </w:pPr>
    </w:p>
    <w:p>
      <w:pPr>
        <w:ind w:left="720" w:right="299"/>
        <w:spacing w:after="0" w:line="239" w:lineRule="auto"/>
        <w:rPr>
          <w:sz w:val="20"/>
          <w:szCs w:val="20"/>
          <w:color w:val="auto"/>
        </w:rPr>
      </w:pPr>
      <w:r>
        <w:rPr>
          <w:rFonts w:ascii="Times New Roman" w:cs="Times New Roman" w:eastAsia="Times New Roman" w:hAnsi="Times New Roman"/>
          <w:sz w:val="20"/>
          <w:szCs w:val="20"/>
          <w:color w:val="auto"/>
        </w:rPr>
        <w:t>Each Transaction Party must, in relation to the Net Sale Proceeds, ensure that Reading Entertainment Australia Group retains:</w:t>
      </w:r>
    </w:p>
    <w:p>
      <w:pPr>
        <w:spacing w:after="0" w:line="1" w:lineRule="exact"/>
        <w:rPr>
          <w:sz w:val="20"/>
          <w:szCs w:val="20"/>
          <w:color w:val="auto"/>
        </w:rPr>
      </w:pPr>
    </w:p>
    <w:p>
      <w:pPr>
        <w:ind w:left="1400" w:hanging="676"/>
        <w:spacing w:after="0"/>
        <w:tabs>
          <w:tab w:leader="none" w:pos="14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$15,000,000, subject to clause 9.6(f); and</w:t>
      </w:r>
    </w:p>
    <w:p>
      <w:pPr>
        <w:ind w:left="1420" w:hanging="696"/>
        <w:spacing w:after="0"/>
        <w:tabs>
          <w:tab w:leader="none" w:pos="142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sufficient funds to pay any Taxes (including capital gains tax).</w:t>
      </w:r>
    </w:p>
    <w:p>
      <w:pPr>
        <w:spacing w:after="0" w:line="198"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9"/>
          <w:szCs w:val="29"/>
          <w:color w:val="auto"/>
        </w:rPr>
        <w:t>10</w:t>
      </w:r>
      <w:r>
        <w:rPr>
          <w:sz w:val="20"/>
          <w:szCs w:val="20"/>
          <w:color w:val="auto"/>
        </w:rPr>
        <w:tab/>
      </w:r>
      <w:r>
        <w:rPr>
          <w:rFonts w:ascii="Times New Roman" w:cs="Times New Roman" w:eastAsia="Times New Roman" w:hAnsi="Times New Roman"/>
          <w:sz w:val="29"/>
          <w:szCs w:val="29"/>
          <w:color w:val="auto"/>
        </w:rPr>
        <w:t>Events of Default</w:t>
      </w:r>
    </w:p>
    <w:p>
      <w:pPr>
        <w:spacing w:after="0" w:line="4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Nature</w:t>
      </w:r>
    </w:p>
    <w:p>
      <w:pPr>
        <w:spacing w:after="0" w:line="22" w:lineRule="exact"/>
        <w:rPr>
          <w:sz w:val="20"/>
          <w:szCs w:val="20"/>
          <w:color w:val="auto"/>
        </w:rPr>
      </w:pPr>
    </w:p>
    <w:p>
      <w:pPr>
        <w:ind w:left="720" w:right="199"/>
        <w:spacing w:after="0" w:line="239" w:lineRule="auto"/>
        <w:rPr>
          <w:sz w:val="20"/>
          <w:szCs w:val="20"/>
          <w:color w:val="auto"/>
        </w:rPr>
      </w:pPr>
      <w:r>
        <w:rPr>
          <w:rFonts w:ascii="Times New Roman" w:cs="Times New Roman" w:eastAsia="Times New Roman" w:hAnsi="Times New Roman"/>
          <w:sz w:val="20"/>
          <w:szCs w:val="20"/>
          <w:color w:val="auto"/>
        </w:rPr>
        <w:t>Each of the following is an Event of Default (whether or not caused by anything outside the control of any Transaction Party):</w:t>
      </w:r>
    </w:p>
    <w:p>
      <w:pPr>
        <w:spacing w:after="0" w:line="2" w:lineRule="exact"/>
        <w:rPr>
          <w:sz w:val="20"/>
          <w:szCs w:val="20"/>
          <w:color w:val="auto"/>
        </w:rPr>
      </w:pPr>
    </w:p>
    <w:p>
      <w:pPr>
        <w:ind w:left="1380" w:right="99" w:hanging="656"/>
        <w:spacing w:after="0" w:line="239" w:lineRule="auto"/>
        <w:tabs>
          <w:tab w:leader="none" w:pos="141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non-paymen</w:t>
      </w:r>
      <w:r>
        <w:rPr>
          <w:rFonts w:ascii="Times New Roman" w:cs="Times New Roman" w:eastAsia="Times New Roman" w:hAnsi="Times New Roman"/>
          <w:sz w:val="20"/>
          <w:szCs w:val="20"/>
          <w:color w:val="auto"/>
        </w:rPr>
        <w:t>t: a Transaction Party does not pay on the due date any principal, interest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fees due for payment by it under a Transaction Document in accordance with the relevant Transaction Document unless the Bank is satisfied that the sole reason for such failure to pay is caused by administrative or technical error in the banking system generally which is beyond the control of that Transaction Party and payment is made within 2 Business Days after its due date;</w:t>
      </w:r>
    </w:p>
    <w:p>
      <w:pPr>
        <w:spacing w:after="0" w:line="2" w:lineRule="exact"/>
        <w:rPr>
          <w:rFonts w:ascii="Times New Roman" w:cs="Times New Roman" w:eastAsia="Times New Roman" w:hAnsi="Times New Roman"/>
          <w:sz w:val="20"/>
          <w:szCs w:val="20"/>
          <w:color w:val="auto"/>
        </w:rPr>
      </w:pPr>
    </w:p>
    <w:p>
      <w:pPr>
        <w:jc w:val="both"/>
        <w:ind w:left="1380" w:right="699" w:hanging="656"/>
        <w:spacing w:after="0" w:line="242" w:lineRule="auto"/>
        <w:tabs>
          <w:tab w:leader="none" w:pos="142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non-compliance</w:t>
      </w:r>
      <w:r>
        <w:rPr>
          <w:rFonts w:ascii="Times New Roman" w:cs="Times New Roman" w:eastAsia="Times New Roman" w:hAnsi="Times New Roman"/>
          <w:sz w:val="20"/>
          <w:szCs w:val="20"/>
          <w:color w:val="auto"/>
        </w:rPr>
        <w:t>: (subject to clause 10.6 in the case of a failure to comply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Ratio other than the Fixed Charges Cover Ratio) a Transaction Party does not comply with any other obligation</w:t>
      </w:r>
    </w:p>
    <w:p>
      <w:pPr>
        <w:sectPr>
          <w:pgSz w:w="11900" w:h="16924" w:orient="portrait"/>
          <w:cols w:equalWidth="0" w:num="1">
            <w:col w:w="9019"/>
          </w:cols>
          <w:pgMar w:left="1440" w:top="118" w:right="1440" w:bottom="0" w:gutter="0" w:footer="0" w:header="0"/>
        </w:sectPr>
      </w:pPr>
    </w:p>
    <w:bookmarkStart w:id="80" w:name="page81"/>
    <w:bookmarkEnd w:id="80"/>
    <w:p>
      <w:pPr>
        <w:spacing w:after="0" w:line="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under a Transaction Document and if that default is capable of rectification:</w:t>
      </w:r>
    </w:p>
    <w:p>
      <w:pPr>
        <w:spacing w:after="0" w:line="22" w:lineRule="exact"/>
        <w:rPr>
          <w:sz w:val="20"/>
          <w:szCs w:val="20"/>
          <w:color w:val="auto"/>
        </w:rPr>
      </w:pPr>
    </w:p>
    <w:p>
      <w:pPr>
        <w:ind w:left="2020" w:right="399" w:hanging="648"/>
        <w:spacing w:after="0" w:line="239" w:lineRule="auto"/>
        <w:tabs>
          <w:tab w:leader="none" w:pos="2018"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rectified within 10 Business Days (or any other longer period agreed by the Bank) after its occurrence; or</w:t>
      </w:r>
    </w:p>
    <w:p>
      <w:pPr>
        <w:ind w:left="2020" w:right="339" w:hanging="648"/>
        <w:spacing w:after="0" w:line="239" w:lineRule="auto"/>
        <w:tabs>
          <w:tab w:leader="none" w:pos="2019"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Party does not during that period take all action which in the Bank’s reasonable opinion is necessary to rectify that default;</w:t>
      </w:r>
    </w:p>
    <w:p>
      <w:pPr>
        <w:ind w:left="1380" w:right="139" w:hanging="656"/>
        <w:spacing w:after="0" w:line="239" w:lineRule="auto"/>
        <w:tabs>
          <w:tab w:leader="none" w:pos="1411"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untrue warranty</w:t>
      </w:r>
      <w:r>
        <w:rPr>
          <w:rFonts w:ascii="Times New Roman" w:cs="Times New Roman" w:eastAsia="Times New Roman" w:hAnsi="Times New Roman"/>
          <w:sz w:val="20"/>
          <w:szCs w:val="20"/>
          <w:color w:val="auto"/>
        </w:rPr>
        <w:t>: a representation, warranty or statement made or deemed to be made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Party in a Transaction Document is untrue or misleading in any material respect or a reply by a Transaction Party to a requisition made by, or on behalf of, the Bank is untrue or misleading in any material respect;</w:t>
      </w:r>
    </w:p>
    <w:p>
      <w:pPr>
        <w:spacing w:after="0" w:line="1" w:lineRule="exact"/>
        <w:rPr>
          <w:rFonts w:ascii="Times New Roman" w:cs="Times New Roman" w:eastAsia="Times New Roman" w:hAnsi="Times New Roman"/>
          <w:sz w:val="20"/>
          <w:szCs w:val="20"/>
          <w:color w:val="auto"/>
        </w:rPr>
      </w:pPr>
    </w:p>
    <w:p>
      <w:pPr>
        <w:ind w:left="1380" w:right="219" w:hanging="656"/>
        <w:spacing w:after="0" w:line="239" w:lineRule="auto"/>
        <w:tabs>
          <w:tab w:leader="none" w:pos="142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void document</w:t>
      </w:r>
      <w:r>
        <w:rPr>
          <w:rFonts w:ascii="Times New Roman" w:cs="Times New Roman" w:eastAsia="Times New Roman" w:hAnsi="Times New Roman"/>
          <w:sz w:val="20"/>
          <w:szCs w:val="20"/>
          <w:color w:val="auto"/>
        </w:rPr>
        <w:t>: a Transaction Document is void, voidable or otherwise unenforceable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is claimed to be so by a Transaction Party;</w:t>
      </w:r>
    </w:p>
    <w:p>
      <w:pPr>
        <w:ind w:left="1380" w:right="499" w:hanging="656"/>
        <w:spacing w:after="0" w:line="252" w:lineRule="auto"/>
        <w:tabs>
          <w:tab w:leader="none" w:pos="1411"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compliance unlawful</w:t>
      </w:r>
      <w:r>
        <w:rPr>
          <w:rFonts w:ascii="Times New Roman" w:cs="Times New Roman" w:eastAsia="Times New Roman" w:hAnsi="Times New Roman"/>
          <w:sz w:val="19"/>
          <w:szCs w:val="19"/>
          <w:color w:val="auto"/>
        </w:rPr>
        <w:t>: it is unlawful for a Transaction Party to comply with any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under a Transaction Document or it is claimed to be so by a Transaction Party;</w:t>
      </w:r>
    </w:p>
    <w:p>
      <w:pPr>
        <w:ind w:left="1380" w:right="259" w:hanging="656"/>
        <w:spacing w:after="0" w:line="239" w:lineRule="auto"/>
        <w:tabs>
          <w:tab w:leader="none" w:pos="138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loss of priority</w:t>
      </w:r>
      <w:r>
        <w:rPr>
          <w:rFonts w:ascii="Times New Roman" w:cs="Times New Roman" w:eastAsia="Times New Roman" w:hAnsi="Times New Roman"/>
          <w:sz w:val="20"/>
          <w:szCs w:val="20"/>
          <w:color w:val="auto"/>
        </w:rPr>
        <w:t>: a Security Interest created by or purportedly created by a Collateral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does not have or ceases to have the priority which it purports to have under the relevant Transaction Document or becomes ineffective to secure the payment of the money or compliance with the obligations which it purports to secure, otherwise than by any act of the Bank;</w:t>
      </w:r>
    </w:p>
    <w:p>
      <w:pPr>
        <w:spacing w:after="0" w:line="2"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Insolvency Event</w:t>
      </w:r>
      <w:r>
        <w:rPr>
          <w:rFonts w:ascii="Times New Roman" w:cs="Times New Roman" w:eastAsia="Times New Roman" w:hAnsi="Times New Roman"/>
          <w:sz w:val="20"/>
          <w:szCs w:val="20"/>
          <w:color w:val="auto"/>
        </w:rPr>
        <w:t>: an Insolvency Event occurs in relation to a Transaction Party;</w:t>
      </w:r>
    </w:p>
    <w:p>
      <w:pPr>
        <w:ind w:left="1420" w:hanging="696"/>
        <w:spacing w:after="0"/>
        <w:tabs>
          <w:tab w:leader="none" w:pos="14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authorisation ceasing</w:t>
      </w:r>
      <w:r>
        <w:rPr>
          <w:rFonts w:ascii="Times New Roman" w:cs="Times New Roman" w:eastAsia="Times New Roman" w:hAnsi="Times New Roman"/>
          <w:sz w:val="20"/>
          <w:szCs w:val="20"/>
          <w:color w:val="auto"/>
        </w:rPr>
        <w:t>: an Authorisation from a Government Body necessary to enable:</w:t>
      </w:r>
    </w:p>
    <w:p>
      <w:pPr>
        <w:ind w:left="1380" w:right="299" w:hanging="656"/>
        <w:spacing w:after="0" w:line="239" w:lineRule="auto"/>
        <w:tabs>
          <w:tab w:leader="none" w:pos="137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Party to comply with its obligations under a Transaction Document or carry on its principal business or activity;</w:t>
      </w:r>
    </w:p>
    <w:p>
      <w:pPr>
        <w:ind w:left="2020" w:hanging="648"/>
        <w:spacing w:after="0"/>
        <w:tabs>
          <w:tab w:leader="none" w:pos="202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Party to carry on its principal business or activity; or</w:t>
      </w:r>
    </w:p>
    <w:p>
      <w:pPr>
        <w:ind w:left="2020" w:hanging="648"/>
        <w:spacing w:after="0"/>
        <w:tabs>
          <w:tab w:leader="none" w:pos="202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to exercise its rights under a Transaction Document, is withheld or ceases to</w:t>
      </w:r>
    </w:p>
    <w:p>
      <w:pPr>
        <w:ind w:left="2020" w:right="259"/>
        <w:spacing w:after="0" w:line="239" w:lineRule="auto"/>
        <w:rPr>
          <w:sz w:val="20"/>
          <w:szCs w:val="20"/>
          <w:color w:val="auto"/>
        </w:rPr>
      </w:pPr>
      <w:r>
        <w:rPr>
          <w:rFonts w:ascii="Times New Roman" w:cs="Times New Roman" w:eastAsia="Times New Roman" w:hAnsi="Times New Roman"/>
          <w:sz w:val="20"/>
          <w:szCs w:val="20"/>
          <w:color w:val="auto"/>
        </w:rPr>
        <w:t xml:space="preserve">be in full force and effect and, in the case of </w:t>
      </w:r>
      <w:r>
        <w:rPr>
          <w:rFonts w:ascii="Times New Roman" w:cs="Times New Roman" w:eastAsia="Times New Roman" w:hAnsi="Times New Roman"/>
          <w:sz w:val="20"/>
          <w:szCs w:val="20"/>
          <w:b w:val="1"/>
          <w:bCs w:val="1"/>
          <w:color w:val="auto"/>
        </w:rPr>
        <w:t>clause 10.1(h)(i),</w:t>
      </w:r>
      <w:r>
        <w:rPr>
          <w:rFonts w:ascii="Times New Roman" w:cs="Times New Roman" w:eastAsia="Times New Roman" w:hAnsi="Times New Roman"/>
          <w:sz w:val="20"/>
          <w:szCs w:val="20"/>
          <w:color w:val="auto"/>
        </w:rPr>
        <w:t xml:space="preserve"> would have a Material Adverse Effect;</w:t>
      </w:r>
    </w:p>
    <w:p>
      <w:pPr>
        <w:spacing w:after="0" w:line="1" w:lineRule="exact"/>
        <w:rPr>
          <w:sz w:val="20"/>
          <w:szCs w:val="20"/>
          <w:color w:val="auto"/>
        </w:rPr>
      </w:pPr>
    </w:p>
    <w:p>
      <w:pPr>
        <w:jc w:val="both"/>
        <w:ind w:left="1380" w:right="379" w:hanging="656"/>
        <w:spacing w:after="0" w:line="239" w:lineRule="auto"/>
        <w:tabs>
          <w:tab w:leader="none" w:pos="137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an event or series of events whether related or not, including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adverse change in the property or financial condition of a Transaction Party, occurs which has a Material Adverse Effect;</w:t>
      </w:r>
    </w:p>
    <w:p>
      <w:pPr>
        <w:spacing w:after="0" w:line="1" w:lineRule="exact"/>
        <w:rPr>
          <w:rFonts w:ascii="Times New Roman" w:cs="Times New Roman" w:eastAsia="Times New Roman" w:hAnsi="Times New Roman"/>
          <w:sz w:val="20"/>
          <w:szCs w:val="20"/>
          <w:color w:val="auto"/>
        </w:rPr>
      </w:pPr>
    </w:p>
    <w:p>
      <w:pPr>
        <w:ind w:left="1560" w:hanging="836"/>
        <w:spacing w:after="0"/>
        <w:tabs>
          <w:tab w:leader="none" w:pos="15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cross default</w:t>
      </w:r>
      <w:r>
        <w:rPr>
          <w:rFonts w:ascii="Times New Roman" w:cs="Times New Roman" w:eastAsia="Times New Roman" w:hAnsi="Times New Roman"/>
          <w:sz w:val="20"/>
          <w:szCs w:val="20"/>
          <w:color w:val="auto"/>
        </w:rPr>
        <w:t>:</w:t>
      </w:r>
    </w:p>
    <w:p>
      <w:pPr>
        <w:jc w:val="both"/>
        <w:ind w:left="2020" w:right="199" w:hanging="648"/>
        <w:spacing w:after="0" w:line="252" w:lineRule="auto"/>
        <w:tabs>
          <w:tab w:leader="none" w:pos="2018"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Indebtedness (other than Excluded Financial Indebtedness) of a Transaction Party in excess of $500,000 becomes due for payment before its stated maturity other than by the exercise of an option of the Transaction Party to pay it before its maturity;</w:t>
      </w:r>
    </w:p>
    <w:p>
      <w:pPr>
        <w:ind w:left="2020" w:right="199" w:hanging="648"/>
        <w:spacing w:after="0" w:line="239" w:lineRule="auto"/>
        <w:tabs>
          <w:tab w:leader="none" w:pos="2019"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Party fails to pay when due for payment (or within any applicable grace period) any Financial Indebtedness (other than Excluded Financial Indebtedness) in excess of $500,000;</w:t>
      </w:r>
    </w:p>
    <w:p>
      <w:pPr>
        <w:spacing w:after="0" w:line="1" w:lineRule="exact"/>
        <w:rPr>
          <w:rFonts w:ascii="Times New Roman" w:cs="Times New Roman" w:eastAsia="Times New Roman" w:hAnsi="Times New Roman"/>
          <w:sz w:val="20"/>
          <w:szCs w:val="20"/>
          <w:color w:val="auto"/>
        </w:rPr>
      </w:pPr>
    </w:p>
    <w:p>
      <w:pPr>
        <w:ind w:left="2020" w:right="79" w:hanging="648"/>
        <w:spacing w:after="0" w:line="239" w:lineRule="auto"/>
        <w:tabs>
          <w:tab w:leader="none" w:pos="202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obligation by a person to a Transaction Party to provide financial accommodation or to acquire or underwrite Financial Indebtedness (other than Excluded Financial Indebtedness) in excess of $500,000 ceases before its stated maturity other than by the exercise of an option of the Transaction Party to cancel that obligation; or</w:t>
      </w:r>
    </w:p>
    <w:p>
      <w:pPr>
        <w:spacing w:after="0" w:line="1" w:lineRule="exact"/>
        <w:rPr>
          <w:rFonts w:ascii="Times New Roman" w:cs="Times New Roman" w:eastAsia="Times New Roman" w:hAnsi="Times New Roman"/>
          <w:sz w:val="20"/>
          <w:szCs w:val="20"/>
          <w:color w:val="auto"/>
        </w:rPr>
      </w:pPr>
    </w:p>
    <w:p>
      <w:pPr>
        <w:ind w:left="2060" w:hanging="688"/>
        <w:spacing w:after="0"/>
        <w:tabs>
          <w:tab w:leader="none" w:pos="206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marketable security issued by a Transaction Party and having a face value over</w:t>
      </w:r>
    </w:p>
    <w:p>
      <w:pPr>
        <w:ind w:left="2020" w:right="419"/>
        <w:spacing w:after="0" w:line="239" w:lineRule="auto"/>
        <w:rPr>
          <w:sz w:val="20"/>
          <w:szCs w:val="20"/>
          <w:color w:val="auto"/>
        </w:rPr>
      </w:pPr>
      <w:r>
        <w:rPr>
          <w:rFonts w:ascii="Times New Roman" w:cs="Times New Roman" w:eastAsia="Times New Roman" w:hAnsi="Times New Roman"/>
          <w:sz w:val="20"/>
          <w:szCs w:val="20"/>
          <w:color w:val="auto"/>
        </w:rPr>
        <w:t>$500,000 is required to be redeemed or repurchased before its stated maturity other than by the exercise of an option of the issuer to redeem or repurchase;</w:t>
      </w:r>
    </w:p>
    <w:p>
      <w:pPr>
        <w:spacing w:after="0" w:line="1" w:lineRule="exact"/>
        <w:rPr>
          <w:sz w:val="20"/>
          <w:szCs w:val="20"/>
          <w:color w:val="auto"/>
        </w:rPr>
      </w:pPr>
    </w:p>
    <w:p>
      <w:pPr>
        <w:ind w:left="1380" w:right="159" w:hanging="656"/>
        <w:spacing w:after="0" w:line="239" w:lineRule="auto"/>
        <w:tabs>
          <w:tab w:leader="none" w:pos="142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cessation of business</w:t>
      </w:r>
      <w:r>
        <w:rPr>
          <w:rFonts w:ascii="Times New Roman" w:cs="Times New Roman" w:eastAsia="Times New Roman" w:hAnsi="Times New Roman"/>
          <w:sz w:val="20"/>
          <w:szCs w:val="20"/>
          <w:color w:val="auto"/>
        </w:rPr>
        <w:t>: a Transaction Party ceases or threatens to cease to carry on its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 substantial part of its business;</w:t>
      </w:r>
    </w:p>
    <w:p>
      <w:pPr>
        <w:ind w:left="1380" w:right="199" w:hanging="656"/>
        <w:spacing w:after="0" w:line="239" w:lineRule="auto"/>
        <w:tabs>
          <w:tab w:leader="none" w:pos="137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enforcement of other Security</w:t>
      </w:r>
      <w:r>
        <w:rPr>
          <w:rFonts w:ascii="Times New Roman" w:cs="Times New Roman" w:eastAsia="Times New Roman" w:hAnsi="Times New Roman"/>
          <w:sz w:val="20"/>
          <w:szCs w:val="20"/>
          <w:color w:val="auto"/>
        </w:rPr>
        <w:t>: a person who holds a Security over property of a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exercises a right under that Security against the property to recover any money the payment of which is secured by that Security or enforce any other obligation the compliance with which is secured by it;</w:t>
      </w:r>
    </w:p>
    <w:p>
      <w:pPr>
        <w:spacing w:after="0" w:line="1" w:lineRule="exact"/>
        <w:rPr>
          <w:rFonts w:ascii="Times New Roman" w:cs="Times New Roman" w:eastAsia="Times New Roman" w:hAnsi="Times New Roman"/>
          <w:sz w:val="20"/>
          <w:szCs w:val="20"/>
          <w:color w:val="auto"/>
        </w:rPr>
      </w:pPr>
    </w:p>
    <w:p>
      <w:pPr>
        <w:ind w:left="1380" w:right="259" w:hanging="656"/>
        <w:spacing w:after="0" w:line="239" w:lineRule="auto"/>
        <w:tabs>
          <w:tab w:leader="none" w:pos="147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undertaking</w:t>
      </w:r>
      <w:r>
        <w:rPr>
          <w:rFonts w:ascii="Times New Roman" w:cs="Times New Roman" w:eastAsia="Times New Roman" w:hAnsi="Times New Roman"/>
          <w:sz w:val="20"/>
          <w:szCs w:val="20"/>
          <w:color w:val="auto"/>
        </w:rPr>
        <w:t>: an undertaking given to the Bank (or its lawyers) by or on behalf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Party (or its lawyers) is not honoured in accordance with its terms and if capable of rectification, is not rectified within three Business Days (or any other longer period agreed by the Bank) after its occurrence;</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reduction of capital</w:t>
      </w:r>
      <w:r>
        <w:rPr>
          <w:rFonts w:ascii="Times New Roman" w:cs="Times New Roman" w:eastAsia="Times New Roman" w:hAnsi="Times New Roman"/>
          <w:sz w:val="20"/>
          <w:szCs w:val="20"/>
          <w:color w:val="auto"/>
        </w:rPr>
        <w:t>: if a Transaction Party is a corporation:</w:t>
      </w:r>
    </w:p>
    <w:p>
      <w:pPr>
        <w:ind w:left="2020" w:right="559" w:hanging="648"/>
        <w:spacing w:after="0" w:line="239" w:lineRule="auto"/>
        <w:tabs>
          <w:tab w:leader="none" w:pos="2018"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reduces or takes any action to reduce its capital other than by the redemption of redeemable preference shares;</w:t>
      </w:r>
    </w:p>
    <w:p>
      <w:pPr>
        <w:ind w:left="2020" w:right="139" w:hanging="648"/>
        <w:spacing w:after="0" w:line="239" w:lineRule="auto"/>
        <w:tabs>
          <w:tab w:leader="none" w:pos="2019"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passes or takes any action to pass a resolution of the type referred to in section 254N of the Corporations Act;</w:t>
      </w:r>
    </w:p>
    <w:p>
      <w:pPr>
        <w:ind w:left="2020" w:hanging="648"/>
        <w:spacing w:after="0"/>
        <w:tabs>
          <w:tab w:leader="none" w:pos="202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w:t>
      </w:r>
    </w:p>
    <w:p>
      <w:pPr>
        <w:ind w:left="2760" w:hanging="740"/>
        <w:spacing w:after="0"/>
        <w:tabs>
          <w:tab w:leader="none" w:pos="2760"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buys or takes any action to buy, or</w:t>
      </w:r>
    </w:p>
    <w:p>
      <w:pPr>
        <w:jc w:val="both"/>
        <w:ind w:left="2660" w:right="339" w:hanging="640"/>
        <w:spacing w:after="0" w:line="239" w:lineRule="auto"/>
        <w:tabs>
          <w:tab w:leader="none" w:pos="2735"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financially assists (within the meaning of section 260A of the Corporations Act) or takes any action to financially assist any person to acquire, shares in itself or in a holding company of it,</w:t>
      </w:r>
    </w:p>
    <w:p>
      <w:pPr>
        <w:spacing w:after="0" w:line="1" w:lineRule="exact"/>
        <w:rPr>
          <w:rFonts w:ascii="Times New Roman" w:cs="Times New Roman" w:eastAsia="Times New Roman" w:hAnsi="Times New Roman"/>
          <w:sz w:val="20"/>
          <w:szCs w:val="20"/>
          <w:color w:val="auto"/>
        </w:rPr>
      </w:pPr>
    </w:p>
    <w:p>
      <w:pPr>
        <w:ind w:left="1380" w:right="99" w:hanging="656"/>
        <w:spacing w:after="0" w:line="239" w:lineRule="auto"/>
        <w:tabs>
          <w:tab w:leader="none" w:pos="142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investigation</w:t>
      </w:r>
      <w:r>
        <w:rPr>
          <w:rFonts w:ascii="Times New Roman" w:cs="Times New Roman" w:eastAsia="Times New Roman" w:hAnsi="Times New Roman"/>
          <w:sz w:val="20"/>
          <w:szCs w:val="20"/>
          <w:color w:val="auto"/>
        </w:rPr>
        <w:t>: if a Transaction Party is a corporation, an investigation is instituted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Corporations Act or other legislation into, or an inspector is appointed to investigate, its affairs, which would have a Material Adverse Effect;</w:t>
      </w:r>
    </w:p>
    <w:p>
      <w:pPr>
        <w:spacing w:after="0" w:line="1" w:lineRule="exact"/>
        <w:rPr>
          <w:rFonts w:ascii="Times New Roman" w:cs="Times New Roman" w:eastAsia="Times New Roman" w:hAnsi="Times New Roman"/>
          <w:sz w:val="20"/>
          <w:szCs w:val="20"/>
          <w:color w:val="auto"/>
        </w:rPr>
      </w:pPr>
    </w:p>
    <w:p>
      <w:pPr>
        <w:jc w:val="both"/>
        <w:ind w:left="720" w:right="99" w:firstLine="4"/>
        <w:spacing w:after="0" w:line="239" w:lineRule="auto"/>
        <w:tabs>
          <w:tab w:leader="none" w:pos="1599"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a Government Body takes any action, there is a legally valid claim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is a legally enforceable requirement for expenditure or for cessation or alteration of activity under an Environmental Law, which, in the reasonable opinion of the Bank, would have a Material Adverse Effect;</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Trust: </w:t>
      </w:r>
      <w:r>
        <w:rPr>
          <w:rFonts w:ascii="Times New Roman" w:cs="Times New Roman" w:eastAsia="Times New Roman" w:hAnsi="Times New Roman"/>
          <w:sz w:val="20"/>
          <w:szCs w:val="20"/>
          <w:color w:val="auto"/>
        </w:rPr>
        <w:t>if a Transaction Party is a Trustee:</w:t>
      </w:r>
    </w:p>
    <w:p>
      <w:pPr>
        <w:sectPr>
          <w:pgSz w:w="11900" w:h="16864" w:orient="portrait"/>
          <w:cols w:equalWidth="0" w:num="1">
            <w:col w:w="9019"/>
          </w:cols>
          <w:pgMar w:left="1440" w:top="346" w:right="1440" w:bottom="0" w:gutter="0" w:footer="0" w:header="0"/>
        </w:sectPr>
      </w:pPr>
    </w:p>
    <w:bookmarkStart w:id="81" w:name="page82"/>
    <w:bookmarkEnd w:id="81"/>
    <w:p>
      <w:pPr>
        <w:ind w:left="2020" w:right="319" w:hanging="648"/>
        <w:spacing w:after="0" w:line="246" w:lineRule="auto"/>
        <w:tabs>
          <w:tab w:leader="none" w:pos="20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ceases to be the trustee or the only trustee of the Trust or any action is taken for the removal of the Trustee as trustee of the Trust, or for the appointment of another person as trustee in addition to the Trustee;</w:t>
      </w:r>
    </w:p>
    <w:p>
      <w:pPr>
        <w:spacing w:after="0" w:line="2" w:lineRule="exact"/>
        <w:rPr>
          <w:rFonts w:ascii="Times New Roman" w:cs="Times New Roman" w:eastAsia="Times New Roman" w:hAnsi="Times New Roman"/>
          <w:sz w:val="20"/>
          <w:szCs w:val="20"/>
          <w:color w:val="auto"/>
        </w:rPr>
      </w:pPr>
    </w:p>
    <w:p>
      <w:pPr>
        <w:ind w:left="2020" w:right="579" w:hanging="648"/>
        <w:spacing w:after="0" w:line="239" w:lineRule="auto"/>
        <w:tabs>
          <w:tab w:leader="none" w:pos="2019"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application or order is sought or made in any court, which is not withdrawn or dismissed within ten Business Days, for:</w:t>
      </w:r>
    </w:p>
    <w:p>
      <w:pPr>
        <w:ind w:left="2760" w:hanging="740"/>
        <w:spacing w:after="0"/>
        <w:tabs>
          <w:tab w:leader="none" w:pos="27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of the Trust to be administered by the court; or</w:t>
      </w:r>
    </w:p>
    <w:p>
      <w:pPr>
        <w:ind w:left="2740" w:hanging="720"/>
        <w:spacing w:after="0"/>
        <w:tabs>
          <w:tab w:leader="none" w:pos="274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 to be taken in relation to the Trust; or</w:t>
      </w:r>
    </w:p>
    <w:p>
      <w:pPr>
        <w:ind w:left="2020" w:right="479" w:hanging="648"/>
        <w:spacing w:after="0" w:line="246" w:lineRule="auto"/>
        <w:tabs>
          <w:tab w:leader="none" w:pos="20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non-compliance by the Trustee with its obligations as trustee under the Trust Deed which has a Material Adverse Effect.</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Effect of Event of Default</w:t>
      </w:r>
    </w:p>
    <w:p>
      <w:pPr>
        <w:spacing w:after="0" w:line="33" w:lineRule="exact"/>
        <w:rPr>
          <w:sz w:val="20"/>
          <w:szCs w:val="20"/>
          <w:color w:val="auto"/>
        </w:rPr>
      </w:pPr>
    </w:p>
    <w:p>
      <w:pPr>
        <w:ind w:left="1380" w:right="259" w:hanging="656"/>
        <w:spacing w:after="0" w:line="239" w:lineRule="auto"/>
        <w:tabs>
          <w:tab w:leader="none" w:pos="141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subsists the Bank may at any time by notice to the Borrower do any or all of the following:</w:t>
      </w:r>
    </w:p>
    <w:p>
      <w:pPr>
        <w:spacing w:after="0" w:line="1" w:lineRule="exact"/>
        <w:rPr>
          <w:rFonts w:ascii="Times New Roman" w:cs="Times New Roman" w:eastAsia="Times New Roman" w:hAnsi="Times New Roman"/>
          <w:sz w:val="20"/>
          <w:szCs w:val="20"/>
          <w:color w:val="auto"/>
        </w:rPr>
      </w:pPr>
    </w:p>
    <w:p>
      <w:pPr>
        <w:ind w:left="2020" w:right="179" w:hanging="648"/>
        <w:spacing w:after="0" w:line="239" w:lineRule="auto"/>
        <w:tabs>
          <w:tab w:leader="none" w:pos="201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cancel Facility</w:t>
      </w:r>
      <w:r>
        <w:rPr>
          <w:rFonts w:ascii="Times New Roman" w:cs="Times New Roman" w:eastAsia="Times New Roman" w:hAnsi="Times New Roman"/>
          <w:sz w:val="20"/>
          <w:szCs w:val="20"/>
          <w:color w:val="auto"/>
        </w:rPr>
        <w:t>: cancel any or all of the Facilities or any part of a Facility,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notice;</w:t>
      </w:r>
    </w:p>
    <w:p>
      <w:pPr>
        <w:ind w:left="2020" w:right="119" w:hanging="648"/>
        <w:spacing w:after="0" w:line="252" w:lineRule="auto"/>
        <w:tabs>
          <w:tab w:leader="none" w:pos="2019"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accelerate: </w:t>
      </w:r>
      <w:r>
        <w:rPr>
          <w:rFonts w:ascii="Times New Roman" w:cs="Times New Roman" w:eastAsia="Times New Roman" w:hAnsi="Times New Roman"/>
          <w:sz w:val="19"/>
          <w:szCs w:val="19"/>
          <w:color w:val="auto"/>
        </w:rPr>
        <w:t>make so much of the Outstanding Accommodation which is not then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immediately due and payable, any unpaid accrued interest or fees and any other money owing by the Borrower to the Bank in relation to the Transaction Documents either:</w:t>
      </w:r>
    </w:p>
    <w:p>
      <w:pPr>
        <w:ind w:left="2760" w:hanging="740"/>
        <w:spacing w:after="0"/>
        <w:tabs>
          <w:tab w:leader="none" w:pos="2760"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payable on demand; or</w:t>
      </w:r>
    </w:p>
    <w:p>
      <w:pPr>
        <w:ind w:left="2740" w:hanging="720"/>
        <w:spacing w:after="0"/>
        <w:tabs>
          <w:tab w:leader="none" w:pos="2740"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due for payment;</w:t>
      </w:r>
    </w:p>
    <w:p>
      <w:pPr>
        <w:ind w:left="2020" w:hanging="648"/>
        <w:spacing w:after="0"/>
        <w:tabs>
          <w:tab w:leader="none" w:pos="202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used</w:t>
      </w:r>
    </w:p>
    <w:p>
      <w:pPr>
        <w:ind w:left="2060" w:hanging="688"/>
        <w:spacing w:after="0"/>
        <w:tabs>
          <w:tab w:leader="none" w:pos="206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Bank Guarantees:</w:t>
      </w:r>
    </w:p>
    <w:p>
      <w:pPr>
        <w:ind w:left="2660" w:right="119" w:hanging="640"/>
        <w:spacing w:after="0" w:line="239" w:lineRule="auto"/>
        <w:tabs>
          <w:tab w:leader="none" w:pos="2746"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notice to the Borrower require the Borrower to pay immediately to the Bank the aggregate of the Face Values for all Current Bank Guarantees as at the date of the notice, together with any unpaid accrued interest or fees and any other money (including all Indemnity Amounts) owing by the Borrower to the Bank in relation to the Transaction Documents;</w:t>
      </w:r>
    </w:p>
    <w:p>
      <w:pPr>
        <w:spacing w:after="0" w:line="2" w:lineRule="exact"/>
        <w:rPr>
          <w:rFonts w:ascii="Times New Roman" w:cs="Times New Roman" w:eastAsia="Times New Roman" w:hAnsi="Times New Roman"/>
          <w:sz w:val="20"/>
          <w:szCs w:val="20"/>
          <w:color w:val="auto"/>
        </w:rPr>
      </w:pPr>
    </w:p>
    <w:p>
      <w:pPr>
        <w:ind w:left="2660" w:right="159" w:hanging="640"/>
        <w:spacing w:after="0" w:line="239" w:lineRule="auto"/>
        <w:tabs>
          <w:tab w:leader="none" w:pos="2735"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Beneficiaries of any one or more of the Current Bank Guarantees the amount agreed between the Bank and the relevant Beneficiary sufficient to obtain from the Beneficiary an unconditional release of the Bank’s obligations under the relevant Bank Guarantee on terms satisfactory to the Bank (acting reasonably).</w:t>
      </w:r>
    </w:p>
    <w:p>
      <w:pPr>
        <w:spacing w:after="0" w:line="2" w:lineRule="exact"/>
        <w:rPr>
          <w:rFonts w:ascii="Times New Roman" w:cs="Times New Roman" w:eastAsia="Times New Roman" w:hAnsi="Times New Roman"/>
          <w:sz w:val="20"/>
          <w:szCs w:val="20"/>
          <w:color w:val="auto"/>
        </w:rPr>
      </w:pPr>
    </w:p>
    <w:p>
      <w:pPr>
        <w:ind w:left="2020" w:right="179" w:hanging="648"/>
        <w:spacing w:after="0" w:line="252" w:lineRule="auto"/>
        <w:tabs>
          <w:tab w:leader="none" w:pos="2062"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engage consultants</w:t>
      </w:r>
      <w:r>
        <w:rPr>
          <w:rFonts w:ascii="Times New Roman" w:cs="Times New Roman" w:eastAsia="Times New Roman" w:hAnsi="Times New Roman"/>
          <w:sz w:val="19"/>
          <w:szCs w:val="19"/>
          <w:color w:val="auto"/>
        </w:rPr>
        <w:t>: at the cost of the Borrower, appoint (or require the Borrower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appoint) such accountancy, financial management and other consultants as the Bank may nominate to investigate the business affairs and financial condition of any Transaction Party and whether each Transaction Party has complied with each Transaction Document to which it is a party 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 consultants to conduct their examination promptly, completely and accurately. No Transaction Party is obliged to accept the recommendations of any consultant, and the Bank will assume no liability with respect to any actions a Transaction Party takes, or does not take, as a result of those recommendations; or</w:t>
      </w:r>
    </w:p>
    <w:p>
      <w:pPr>
        <w:spacing w:after="0" w:line="1" w:lineRule="exact"/>
        <w:rPr>
          <w:rFonts w:ascii="Times New Roman" w:cs="Times New Roman" w:eastAsia="Times New Roman" w:hAnsi="Times New Roman"/>
          <w:sz w:val="19"/>
          <w:szCs w:val="19"/>
          <w:color w:val="auto"/>
        </w:rPr>
      </w:pPr>
    </w:p>
    <w:p>
      <w:pPr>
        <w:ind w:left="2020" w:right="159" w:hanging="648"/>
        <w:spacing w:after="0" w:line="252" w:lineRule="auto"/>
        <w:tabs>
          <w:tab w:leader="none" w:pos="2063"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treasury related transactions: if there are any Hedging Transactions or treasury related transactions in existence between the Bank and the Borrower (Open Positions) then:</w:t>
      </w:r>
    </w:p>
    <w:p>
      <w:pPr>
        <w:ind w:left="2660" w:right="119" w:hanging="640"/>
        <w:spacing w:after="0" w:line="239" w:lineRule="auto"/>
        <w:tabs>
          <w:tab w:leader="none" w:pos="2746"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close out the Open Positions, by entering into opposite positions for the balance of the unexpired term, or by such other means as may be usual in the relevant market. Any such close out must be at market rates prevailing at the time;</w:t>
      </w:r>
    </w:p>
    <w:p>
      <w:pPr>
        <w:spacing w:after="0" w:line="1" w:lineRule="exact"/>
        <w:rPr>
          <w:rFonts w:ascii="Times New Roman" w:cs="Times New Roman" w:eastAsia="Times New Roman" w:hAnsi="Times New Roman"/>
          <w:sz w:val="20"/>
          <w:szCs w:val="20"/>
          <w:color w:val="auto"/>
        </w:rPr>
      </w:pPr>
    </w:p>
    <w:p>
      <w:pPr>
        <w:ind w:left="2660" w:right="139" w:hanging="640"/>
        <w:spacing w:after="0" w:line="239" w:lineRule="auto"/>
        <w:tabs>
          <w:tab w:leader="none" w:pos="2735"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incurred by the Bank in closing out Open Positions must be paid by the Borrower to the Bank immediately upon demand by the Bank;</w:t>
      </w:r>
    </w:p>
    <w:p>
      <w:pPr>
        <w:ind w:left="2660" w:right="279" w:hanging="640"/>
        <w:spacing w:after="0" w:line="239" w:lineRule="auto"/>
        <w:tabs>
          <w:tab w:leader="none" w:pos="2735"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derived from the closing out of the Open Positions will be credited to the Borrower and set off against the Amount Owing; and</w:t>
      </w:r>
    </w:p>
    <w:p>
      <w:pPr>
        <w:ind w:left="2660" w:right="119" w:hanging="640"/>
        <w:spacing w:after="0" w:line="239" w:lineRule="auto"/>
        <w:tabs>
          <w:tab w:leader="none" w:pos="2746"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will give the Borrower reasonable particulars of the manner of close out of the Open Positions and the basis of calculation of any amounts payable by or to the relevant Borrower arising from that close out.</w:t>
      </w:r>
    </w:p>
    <w:p>
      <w:pPr>
        <w:spacing w:after="0" w:line="1" w:lineRule="exact"/>
        <w:rPr>
          <w:rFonts w:ascii="Times New Roman" w:cs="Times New Roman" w:eastAsia="Times New Roman" w:hAnsi="Times New Roman"/>
          <w:sz w:val="20"/>
          <w:szCs w:val="20"/>
          <w:color w:val="auto"/>
        </w:rPr>
      </w:pPr>
    </w:p>
    <w:p>
      <w:pPr>
        <w:ind w:left="1380" w:right="799" w:hanging="656"/>
        <w:spacing w:after="0" w:line="246" w:lineRule="auto"/>
        <w:tabs>
          <w:tab w:leader="none" w:pos="142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receipt of a notice under clause 10.2(a)(ii)(A) or 10.2(a)(ii)(B), the Borrower must immediately pay in full the amounts referred to in that notice.</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Cash Cover Account regarding Bank Guarantees</w:t>
      </w:r>
    </w:p>
    <w:p>
      <w:pPr>
        <w:spacing w:after="0" w:line="33" w:lineRule="exact"/>
        <w:rPr>
          <w:sz w:val="20"/>
          <w:szCs w:val="20"/>
          <w:color w:val="auto"/>
        </w:rPr>
      </w:pPr>
    </w:p>
    <w:p>
      <w:pPr>
        <w:ind w:left="1380" w:right="139" w:hanging="656"/>
        <w:spacing w:after="0" w:line="244" w:lineRule="auto"/>
        <w:tabs>
          <w:tab w:leader="none" w:pos="141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Bank must credit so much of the money paid by the Borrower under clause </w:t>
      </w:r>
      <w:r>
        <w:rPr>
          <w:rFonts w:ascii="Times New Roman" w:cs="Times New Roman" w:eastAsia="Times New Roman" w:hAnsi="Times New Roman"/>
          <w:sz w:val="20"/>
          <w:szCs w:val="20"/>
          <w:b w:val="1"/>
          <w:bCs w:val="1"/>
          <w:color w:val="auto"/>
        </w:rPr>
        <w:t>10.2(a)(iv)(A)</w:t>
      </w:r>
      <w:r>
        <w:rPr>
          <w:rFonts w:ascii="Times New Roman" w:cs="Times New Roman" w:eastAsia="Times New Roman" w:hAnsi="Times New Roman"/>
          <w:sz w:val="20"/>
          <w:szCs w:val="20"/>
          <w:color w:val="auto"/>
        </w:rPr>
        <w:t xml:space="preserve"> which the Bank appropriates towards the Face Values of Current Bank Guarantees to an account maintained by the Bank for this purpose (</w:t>
      </w:r>
      <w:r>
        <w:rPr>
          <w:rFonts w:ascii="Times New Roman" w:cs="Times New Roman" w:eastAsia="Times New Roman" w:hAnsi="Times New Roman"/>
          <w:sz w:val="20"/>
          <w:szCs w:val="20"/>
          <w:b w:val="1"/>
          <w:bCs w:val="1"/>
          <w:color w:val="auto"/>
        </w:rPr>
        <w:t>Cash Cover Account</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to the Cash Cover Account:</w:t>
      </w:r>
    </w:p>
    <w:p>
      <w:pPr>
        <w:ind w:left="2020" w:hanging="648"/>
        <w:spacing w:after="0"/>
        <w:tabs>
          <w:tab w:leader="none" w:pos="202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will be in the name of the Borrower;</w:t>
      </w:r>
    </w:p>
    <w:p>
      <w:pPr>
        <w:jc w:val="both"/>
        <w:ind w:left="2020" w:right="259" w:hanging="648"/>
        <w:spacing w:after="0" w:line="241" w:lineRule="auto"/>
        <w:tabs>
          <w:tab w:leader="none" w:pos="2019"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despite the Cash Cover Account being in the name of the Borrower, until the Release Date the money held in the account is not owed by the Bank to the Borrower and the Borrower is not entitled to withdraw or be paid any of that money (including interest credited to the account);</w:t>
      </w:r>
    </w:p>
    <w:p>
      <w:pPr>
        <w:sectPr>
          <w:pgSz w:w="11900" w:h="16838" w:orient="portrait"/>
          <w:cols w:equalWidth="0" w:num="1">
            <w:col w:w="9019"/>
          </w:cols>
          <w:pgMar w:left="1440" w:top="118" w:right="1440" w:bottom="0" w:gutter="0" w:footer="0" w:header="0"/>
        </w:sectPr>
      </w:pPr>
    </w:p>
    <w:bookmarkStart w:id="82" w:name="page83"/>
    <w:bookmarkEnd w:id="82"/>
    <w:p>
      <w:pPr>
        <w:spacing w:after="0" w:line="91" w:lineRule="exact"/>
        <w:rPr>
          <w:sz w:val="20"/>
          <w:szCs w:val="20"/>
          <w:color w:val="auto"/>
        </w:rPr>
      </w:pPr>
    </w:p>
    <w:p>
      <w:pPr>
        <w:jc w:val="both"/>
        <w:ind w:left="2020" w:right="239" w:hanging="648"/>
        <w:spacing w:after="0" w:line="263" w:lineRule="auto"/>
        <w:tabs>
          <w:tab w:leader="none" w:pos="2020"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Bank must credit to the account interest at the Cash Cover Rate from time to time and that interest will be credited to the account monthly and on the Release Date; and</w:t>
      </w:r>
    </w:p>
    <w:p>
      <w:pPr>
        <w:spacing w:after="0" w:line="1" w:lineRule="exact"/>
        <w:rPr>
          <w:rFonts w:ascii="Times New Roman" w:cs="Times New Roman" w:eastAsia="Times New Roman" w:hAnsi="Times New Roman"/>
          <w:sz w:val="19"/>
          <w:szCs w:val="19"/>
          <w:color w:val="auto"/>
        </w:rPr>
      </w:pPr>
    </w:p>
    <w:p>
      <w:pPr>
        <w:ind w:left="2020" w:right="219" w:hanging="648"/>
        <w:spacing w:after="0" w:line="239" w:lineRule="auto"/>
        <w:tabs>
          <w:tab w:leader="none" w:pos="2063"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this clause 10.3, the Bank may apply any amounts from time to time held in the account towards payment of any amounts due and payable from time to time to the Bank under any Transaction Document.</w:t>
      </w:r>
    </w:p>
    <w:p>
      <w:pPr>
        <w:spacing w:after="0" w:line="1" w:lineRule="exact"/>
        <w:rPr>
          <w:rFonts w:ascii="Times New Roman" w:cs="Times New Roman" w:eastAsia="Times New Roman" w:hAnsi="Times New Roman"/>
          <w:sz w:val="20"/>
          <w:szCs w:val="20"/>
          <w:color w:val="auto"/>
        </w:rPr>
      </w:pPr>
    </w:p>
    <w:p>
      <w:pPr>
        <w:ind w:left="1380" w:right="179" w:hanging="656"/>
        <w:spacing w:after="0" w:line="246" w:lineRule="auto"/>
        <w:tabs>
          <w:tab w:leader="none" w:pos="142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Release Date, the Bank must pay to the Borrower the credit balance of the Cash Cover Account.</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Review Events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Each of the following is a Review Event (whether or not caused by anything outside the control of any</w:t>
      </w:r>
    </w:p>
    <w:p>
      <w:pPr>
        <w:spacing w:after="0" w:line="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Transaction Party):</w:t>
      </w:r>
    </w:p>
    <w:p>
      <w:pPr>
        <w:ind w:left="1400" w:hanging="676"/>
        <w:spacing w:after="0"/>
        <w:tabs>
          <w:tab w:leader="none" w:pos="14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an Insolvency Event in respect of Reading International Inc; and</w:t>
      </w:r>
    </w:p>
    <w:p>
      <w:pPr>
        <w:ind w:left="1420" w:hanging="696"/>
        <w:spacing w:after="0"/>
        <w:tabs>
          <w:tab w:leader="none" w:pos="142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occurs in relation to any Transaction Party.</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Reviews</w:t>
      </w:r>
    </w:p>
    <w:p>
      <w:pPr>
        <w:spacing w:after="0" w:line="33" w:lineRule="exact"/>
        <w:rPr>
          <w:sz w:val="20"/>
          <w:szCs w:val="20"/>
          <w:color w:val="auto"/>
        </w:rPr>
      </w:pPr>
    </w:p>
    <w:p>
      <w:pPr>
        <w:ind w:left="1380" w:right="739" w:hanging="656"/>
        <w:spacing w:after="0" w:line="246" w:lineRule="auto"/>
        <w:tabs>
          <w:tab w:leader="none" w:pos="141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other review rights the Bank has under this document, the Bank may conduct a review of any Facility following a Review Event.</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Review Event has occurred, then, at any time or from time to time:</w:t>
      </w:r>
    </w:p>
    <w:p>
      <w:pPr>
        <w:ind w:left="2020" w:right="239" w:hanging="648"/>
        <w:spacing w:after="0" w:line="239" w:lineRule="auto"/>
        <w:tabs>
          <w:tab w:leader="none" w:pos="2018"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change any of the conditions applying to the Facility including, but not limited to, increasing or otherwise varying the fees payable in connection with the Facility; and/or</w:t>
      </w:r>
    </w:p>
    <w:p>
      <w:pPr>
        <w:spacing w:after="0" w:line="1" w:lineRule="exact"/>
        <w:rPr>
          <w:rFonts w:ascii="Times New Roman" w:cs="Times New Roman" w:eastAsia="Times New Roman" w:hAnsi="Times New Roman"/>
          <w:sz w:val="20"/>
          <w:szCs w:val="20"/>
          <w:color w:val="auto"/>
        </w:rPr>
      </w:pPr>
    </w:p>
    <w:p>
      <w:pPr>
        <w:ind w:left="2020" w:right="699" w:hanging="648"/>
        <w:spacing w:after="0" w:line="239" w:lineRule="auto"/>
        <w:tabs>
          <w:tab w:leader="none" w:pos="2019"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terminate the Facility. If the Bank terminates the Facility, the Termination Date occurs on the date 30 days after the date the Bank notifies the Borrower that it wishes to terminate the Facility.</w:t>
      </w:r>
    </w:p>
    <w:p>
      <w:pPr>
        <w:spacing w:after="0" w:line="1" w:lineRule="exact"/>
        <w:rPr>
          <w:rFonts w:ascii="Times New Roman" w:cs="Times New Roman" w:eastAsia="Times New Roman" w:hAnsi="Times New Roman"/>
          <w:sz w:val="20"/>
          <w:szCs w:val="20"/>
          <w:color w:val="auto"/>
        </w:rPr>
      </w:pPr>
    </w:p>
    <w:p>
      <w:pPr>
        <w:ind w:left="1380" w:right="559" w:hanging="656"/>
        <w:spacing w:after="0" w:line="239" w:lineRule="auto"/>
        <w:tabs>
          <w:tab w:leader="none" w:pos="141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not change any of the conditions applying to the Facility unless it has first given 30 days prior notice to the Borrower of the intended change.</w:t>
      </w:r>
    </w:p>
    <w:p>
      <w:pPr>
        <w:jc w:val="both"/>
        <w:ind w:left="1380" w:right="539" w:hanging="656"/>
        <w:spacing w:after="0" w:line="252" w:lineRule="auto"/>
        <w:tabs>
          <w:tab w:leader="none" w:pos="142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Bank gives notice of any change to the conditions of any Facility and the Borrower refuses to accept the changes before the end of the period of notice, then at the end of that period, the Facility will become repayable within 30 days of any demand by the Bank.</w:t>
      </w:r>
    </w:p>
    <w:p>
      <w:pPr>
        <w:ind w:left="1400" w:hanging="676"/>
        <w:spacing w:after="0"/>
        <w:tabs>
          <w:tab w:leader="none" w:pos="14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clause affects the Bank’s rights if any Event of Default occurs.</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Equity Cure</w:t>
      </w:r>
    </w:p>
    <w:p>
      <w:pPr>
        <w:spacing w:after="0" w:line="33" w:lineRule="exact"/>
        <w:rPr>
          <w:sz w:val="20"/>
          <w:szCs w:val="20"/>
          <w:color w:val="auto"/>
        </w:rPr>
      </w:pPr>
    </w:p>
    <w:p>
      <w:pPr>
        <w:ind w:left="1380" w:right="239" w:hanging="656"/>
        <w:spacing w:after="0" w:line="239" w:lineRule="auto"/>
        <w:tabs>
          <w:tab w:leader="none" w:pos="141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breach of a Financial Ratio (other than the Fixed Charges Cover Ratio) occurs, the Borrower will have the right subject to clause 10.6(b) to cure the breach by procuring additional Subordinated Debt or an equity contribution by way of subscription for new shares in the Borrower (or a combination of both) in an amount sufficient to cure the breach when applied in prepayment of the Outstanding Accommodation (Equity Cure).</w:t>
      </w:r>
    </w:p>
    <w:p>
      <w:pPr>
        <w:spacing w:after="0" w:line="3"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Cure may not be used:</w:t>
      </w:r>
    </w:p>
    <w:p>
      <w:pPr>
        <w:ind w:left="2020" w:hanging="648"/>
        <w:spacing w:after="0"/>
        <w:tabs>
          <w:tab w:leader="none" w:pos="202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3 times during the term of the Facilities; or</w:t>
      </w:r>
    </w:p>
    <w:p>
      <w:pPr>
        <w:ind w:left="2020" w:right="159" w:hanging="648"/>
        <w:spacing w:after="0" w:line="239" w:lineRule="auto"/>
        <w:tabs>
          <w:tab w:leader="none" w:pos="2019"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breach of a Financial Ratio on a Calculation Date, where Equity Cure has been used to cure a breach on the preceding Calculation Date.</w:t>
      </w:r>
    </w:p>
    <w:p>
      <w:pPr>
        <w:ind w:left="1380" w:right="359" w:hanging="656"/>
        <w:spacing w:after="0" w:line="239" w:lineRule="auto"/>
        <w:tabs>
          <w:tab w:leader="none" w:pos="141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notify the Bank of its intention to provide an Equity Cure and effect the Equity Cure, within 10 Business Days of the delivery of the Compliance Certificate that identified the breach.</w:t>
      </w:r>
    </w:p>
    <w:p>
      <w:pPr>
        <w:spacing w:after="0" w:line="1" w:lineRule="exact"/>
        <w:rPr>
          <w:rFonts w:ascii="Times New Roman" w:cs="Times New Roman" w:eastAsia="Times New Roman" w:hAnsi="Times New Roman"/>
          <w:sz w:val="20"/>
          <w:szCs w:val="20"/>
          <w:color w:val="auto"/>
        </w:rPr>
      </w:pPr>
    </w:p>
    <w:p>
      <w:pPr>
        <w:ind w:left="1380" w:right="239" w:hanging="656"/>
        <w:spacing w:after="0" w:line="252" w:lineRule="auto"/>
        <w:tabs>
          <w:tab w:leader="none" w:pos="142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 Equity Cure will be deemed to be applied as of the 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w:t>
      </w:r>
    </w:p>
    <w:p>
      <w:pPr>
        <w:ind w:left="1380" w:right="479" w:hanging="656"/>
        <w:spacing w:after="0" w:line="246" w:lineRule="auto"/>
        <w:tabs>
          <w:tab w:leader="none" w:pos="141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clause 10.6(d), any Equity Cure will be disregarded when calculating the Leverage Ratio for the purposes of determining the Margin.</w:t>
      </w:r>
    </w:p>
    <w:p>
      <w:pPr>
        <w:spacing w:after="0" w:line="186"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29"/>
          <w:szCs w:val="29"/>
          <w:color w:val="auto"/>
        </w:rPr>
        <w:t>11</w:t>
      </w:r>
      <w:r>
        <w:rPr>
          <w:sz w:val="20"/>
          <w:szCs w:val="20"/>
          <w:color w:val="auto"/>
        </w:rPr>
        <w:tab/>
      </w:r>
      <w:r>
        <w:rPr>
          <w:rFonts w:ascii="Times New Roman" w:cs="Times New Roman" w:eastAsia="Times New Roman" w:hAnsi="Times New Roman"/>
          <w:sz w:val="29"/>
          <w:szCs w:val="29"/>
          <w:color w:val="auto"/>
        </w:rPr>
        <w:t>Costs and expenses</w:t>
      </w:r>
    </w:p>
    <w:p>
      <w:pPr>
        <w:spacing w:after="0" w:line="4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color w:val="auto"/>
        </w:rPr>
        <w:t>Interpretation</w:t>
      </w:r>
    </w:p>
    <w:p>
      <w:pPr>
        <w:spacing w:after="0" w:line="9" w:lineRule="exact"/>
        <w:rPr>
          <w:sz w:val="20"/>
          <w:szCs w:val="20"/>
          <w:color w:val="auto"/>
        </w:rPr>
      </w:pPr>
    </w:p>
    <w:p>
      <w:pPr>
        <w:ind w:left="720" w:right="179"/>
        <w:spacing w:after="0" w:line="260" w:lineRule="auto"/>
        <w:rPr>
          <w:sz w:val="20"/>
          <w:szCs w:val="20"/>
          <w:color w:val="auto"/>
        </w:rPr>
      </w:pPr>
      <w:r>
        <w:rPr>
          <w:rFonts w:ascii="Times New Roman" w:cs="Times New Roman" w:eastAsia="Times New Roman" w:hAnsi="Times New Roman"/>
          <w:sz w:val="20"/>
          <w:szCs w:val="20"/>
          <w:color w:val="auto"/>
        </w:rPr>
        <w:t>A reference to “costs and expenses” in a Transaction Document includes legal costs and expenses on a full indemnity basis.</w:t>
      </w:r>
    </w:p>
    <w:p>
      <w:pPr>
        <w:spacing w:after="0" w:line="17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Nature</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must on demand pay and if paid by the Bank reimburse to the Bank:</w:t>
      </w:r>
    </w:p>
    <w:p>
      <w:pPr>
        <w:ind w:left="1400" w:hanging="676"/>
        <w:spacing w:after="0"/>
        <w:tabs>
          <w:tab w:leader="none" w:pos="14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Bank’s reasonable costs and expenses relating to:</w:t>
      </w:r>
    </w:p>
    <w:p>
      <w:pPr>
        <w:ind w:left="2020" w:hanging="648"/>
        <w:spacing w:after="0"/>
        <w:tabs>
          <w:tab w:leader="none" w:pos="202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Valuation obtained for the purposes of any Transaction Document;</w:t>
      </w:r>
    </w:p>
    <w:p>
      <w:pPr>
        <w:ind w:left="2020" w:right="359" w:hanging="648"/>
        <w:spacing w:after="0" w:line="239" w:lineRule="auto"/>
        <w:tabs>
          <w:tab w:leader="none" w:pos="2019"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negotiation, preparation, execution, stamping and registration of the Transaction Documents or any document contemplated by them;</w:t>
      </w:r>
    </w:p>
    <w:p>
      <w:pPr>
        <w:jc w:val="both"/>
        <w:ind w:left="2020" w:right="279" w:hanging="648"/>
        <w:spacing w:after="0" w:line="239" w:lineRule="auto"/>
        <w:tabs>
          <w:tab w:leader="none" w:pos="202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consent, request for consent (whether or not given), communication or waiver of any right, or the variation, replacement or discharge of any Transaction Document or any document contemplated by it;</w:t>
      </w:r>
    </w:p>
    <w:p>
      <w:pPr>
        <w:spacing w:after="0" w:line="1" w:lineRule="exact"/>
        <w:rPr>
          <w:rFonts w:ascii="Times New Roman" w:cs="Times New Roman" w:eastAsia="Times New Roman" w:hAnsi="Times New Roman"/>
          <w:sz w:val="20"/>
          <w:szCs w:val="20"/>
          <w:color w:val="auto"/>
        </w:rPr>
      </w:pPr>
    </w:p>
    <w:p>
      <w:pPr>
        <w:ind w:left="2020" w:right="499" w:hanging="648"/>
        <w:spacing w:after="0" w:line="239" w:lineRule="auto"/>
        <w:tabs>
          <w:tab w:leader="none" w:pos="2063"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enforcement or attempted enforcement or the preservation of any rights of the Bank under the Transaction Documents;</w:t>
      </w:r>
    </w:p>
    <w:p>
      <w:pPr>
        <w:ind w:left="2060" w:hanging="688"/>
        <w:spacing w:after="0"/>
        <w:tabs>
          <w:tab w:leader="none" w:pos="206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Default or Potential Event of Default; and</w:t>
      </w:r>
    </w:p>
    <w:p>
      <w:pPr>
        <w:ind w:left="2020" w:right="139" w:hanging="648"/>
        <w:spacing w:after="0" w:line="246" w:lineRule="auto"/>
        <w:tabs>
          <w:tab w:leader="none" w:pos="2063"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lodgment or removal of any Encumbrance on the Secured Property by any person; and</w:t>
      </w:r>
    </w:p>
    <w:p>
      <w:pPr>
        <w:sectPr>
          <w:pgSz w:w="11900" w:h="16930" w:orient="portrait"/>
          <w:cols w:equalWidth="0" w:num="1">
            <w:col w:w="9019"/>
          </w:cols>
          <w:pgMar w:left="1440" w:top="118" w:right="1440" w:bottom="0" w:gutter="0" w:footer="0" w:header="0"/>
        </w:sectPr>
      </w:pPr>
    </w:p>
    <w:bookmarkStart w:id="83" w:name="page84"/>
    <w:bookmarkEnd w:id="83"/>
    <w:p>
      <w:pPr>
        <w:ind w:left="1380" w:right="339" w:hanging="656"/>
        <w:spacing w:after="0" w:line="249" w:lineRule="auto"/>
        <w:tabs>
          <w:tab w:leader="none" w:pos="142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18.14(d), any Taxes and registration or other fees (including fines and penalties relating to the Taxes and fees) which are payable or are assessed by a relevant Government Body or other person to be payable in relation to the Transaction Documents or any document or transaction contemplated by them.</w:t>
      </w:r>
    </w:p>
    <w:p>
      <w:pPr>
        <w:spacing w:after="0" w:line="18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Remuneration</w:t>
      </w:r>
    </w:p>
    <w:p>
      <w:pPr>
        <w:spacing w:after="0" w:line="33" w:lineRule="exact"/>
        <w:rPr>
          <w:sz w:val="20"/>
          <w:szCs w:val="20"/>
          <w:color w:val="auto"/>
        </w:rPr>
      </w:pPr>
    </w:p>
    <w:p>
      <w:pPr>
        <w:ind w:left="720" w:right="419"/>
        <w:spacing w:after="0" w:line="241" w:lineRule="auto"/>
        <w:rPr>
          <w:sz w:val="20"/>
          <w:szCs w:val="20"/>
          <w:color w:val="auto"/>
        </w:rPr>
      </w:pPr>
      <w:r>
        <w:rPr>
          <w:rFonts w:ascii="Times New Roman" w:cs="Times New Roman" w:eastAsia="Times New Roman" w:hAnsi="Times New Roman"/>
          <w:sz w:val="20"/>
          <w:szCs w:val="20"/>
          <w:color w:val="auto"/>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p>
    <w:p>
      <w:pPr>
        <w:spacing w:after="0" w:line="193"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9"/>
          <w:szCs w:val="29"/>
          <w:color w:val="auto"/>
        </w:rPr>
        <w:t>12</w:t>
      </w:r>
      <w:r>
        <w:rPr>
          <w:sz w:val="20"/>
          <w:szCs w:val="20"/>
          <w:color w:val="auto"/>
        </w:rPr>
        <w:tab/>
      </w:r>
      <w:r>
        <w:rPr>
          <w:rFonts w:ascii="Times New Roman" w:cs="Times New Roman" w:eastAsia="Times New Roman" w:hAnsi="Times New Roman"/>
          <w:sz w:val="29"/>
          <w:szCs w:val="29"/>
          <w:color w:val="auto"/>
        </w:rPr>
        <w:t>Indemnities</w:t>
      </w:r>
    </w:p>
    <w:p>
      <w:pPr>
        <w:spacing w:after="0" w:line="4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1"/>
          <w:szCs w:val="21"/>
          <w:b w:val="1"/>
          <w:bCs w:val="1"/>
          <w:color w:val="auto"/>
        </w:rPr>
        <w:t>Nature</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indemnifies the Bank on demand against any liability, loss, cost or expense (including</w:t>
      </w:r>
    </w:p>
    <w:p>
      <w:pPr>
        <w:ind w:left="720"/>
        <w:spacing w:after="0"/>
        <w:rPr>
          <w:sz w:val="20"/>
          <w:szCs w:val="20"/>
          <w:color w:val="auto"/>
        </w:rPr>
      </w:pPr>
      <w:r>
        <w:rPr>
          <w:rFonts w:ascii="Times New Roman" w:cs="Times New Roman" w:eastAsia="Times New Roman" w:hAnsi="Times New Roman"/>
          <w:sz w:val="20"/>
          <w:szCs w:val="20"/>
          <w:color w:val="auto"/>
        </w:rPr>
        <w:t>Break Costs) caused or contributed to by:</w:t>
      </w:r>
    </w:p>
    <w:p>
      <w:pPr>
        <w:ind w:left="1380" w:right="499" w:hanging="656"/>
        <w:spacing w:after="0" w:line="239" w:lineRule="auto"/>
        <w:tabs>
          <w:tab w:leader="none" w:pos="141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Transaction Party to comply with any obligation under any Transaction Document;</w:t>
      </w:r>
    </w:p>
    <w:p>
      <w:pPr>
        <w:ind w:left="1420" w:hanging="696"/>
        <w:spacing w:after="0"/>
        <w:tabs>
          <w:tab w:leader="none" w:pos="14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or Potential Event of Default;</w:t>
      </w:r>
    </w:p>
    <w:p>
      <w:pPr>
        <w:ind w:left="1380" w:right="599" w:hanging="656"/>
        <w:spacing w:after="0" w:line="239" w:lineRule="auto"/>
        <w:tabs>
          <w:tab w:leader="none" w:pos="141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enforcement or attempted enforcement of any right by the Bank, any Receiver or any Attorney under the Transaction Documents;</w:t>
      </w:r>
    </w:p>
    <w:p>
      <w:pPr>
        <w:ind w:left="1380" w:right="339" w:hanging="656"/>
        <w:spacing w:after="0" w:line="239" w:lineRule="auto"/>
        <w:tabs>
          <w:tab w:leader="none" w:pos="142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Drawing requested by the Borrower not being granted by the Bank for any reason other than a default by the Bank;</w:t>
      </w:r>
    </w:p>
    <w:p>
      <w:pPr>
        <w:ind w:left="1380" w:right="199" w:hanging="656"/>
        <w:spacing w:after="0" w:line="239" w:lineRule="auto"/>
        <w:tabs>
          <w:tab w:leader="none" w:pos="141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not being made by the Borrower in accordance with any Transaction Document; or</w:t>
      </w:r>
    </w:p>
    <w:p>
      <w:pPr>
        <w:ind w:left="1380" w:right="259" w:hanging="656"/>
        <w:spacing w:after="0" w:line="246" w:lineRule="auto"/>
        <w:tabs>
          <w:tab w:leader="none" w:pos="1389"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by the Bank in reliance on any communication purporting to be from the Borrower or to be given on behalf of the Borrower.</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color w:val="auto"/>
        </w:rPr>
        <w:t>Representatives</w:t>
      </w:r>
    </w:p>
    <w:p>
      <w:pPr>
        <w:spacing w:after="0" w:line="33" w:lineRule="exact"/>
        <w:rPr>
          <w:sz w:val="20"/>
          <w:szCs w:val="20"/>
          <w:color w:val="auto"/>
        </w:rPr>
      </w:pPr>
    </w:p>
    <w:p>
      <w:pPr>
        <w:ind w:left="720" w:right="119"/>
        <w:spacing w:after="0" w:line="241" w:lineRule="auto"/>
        <w:rPr>
          <w:sz w:val="20"/>
          <w:szCs w:val="20"/>
          <w:color w:val="auto"/>
        </w:rPr>
      </w:pPr>
      <w:r>
        <w:rPr>
          <w:rFonts w:ascii="Times New Roman" w:cs="Times New Roman" w:eastAsia="Times New Roman" w:hAnsi="Times New Roman"/>
          <w:sz w:val="20"/>
          <w:szCs w:val="20"/>
          <w:color w:val="auto"/>
        </w:rPr>
        <w:t>The Borrower indemnifies each Receiver and Attorney and their respective Representatives and the Representatives of the Bank against any liability, loss, cost and expense caused by anything the Bank is indemnified against under clause 12.1 and the Bank holds the benefit of this clause 12.2 on trust for those persons.</w:t>
      </w:r>
    </w:p>
    <w:p>
      <w:pPr>
        <w:spacing w:after="0" w:line="19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b w:val="1"/>
          <w:bCs w:val="1"/>
          <w:color w:val="auto"/>
        </w:rPr>
        <w:t>Currency deficiency</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there is any deficiency between:</w:t>
      </w:r>
    </w:p>
    <w:p>
      <w:pPr>
        <w:spacing w:after="0" w:line="14" w:lineRule="exact"/>
        <w:rPr>
          <w:sz w:val="20"/>
          <w:szCs w:val="20"/>
          <w:color w:val="auto"/>
        </w:rPr>
      </w:pPr>
    </w:p>
    <w:p>
      <w:pPr>
        <w:ind w:left="1380" w:right="119" w:hanging="656"/>
        <w:spacing w:after="0" w:line="239" w:lineRule="auto"/>
        <w:tabs>
          <w:tab w:leader="none" w:pos="1411"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payable by a Transaction Party under a Transaction Document which is received by the Bank in a currency other than the currency payable under the Transaction Document because of a judgment, order or otherwise; and</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produced by converting the payment received from the currency in which it was</w:t>
      </w:r>
    </w:p>
    <w:p>
      <w:pPr>
        <w:ind w:left="1380" w:right="339"/>
        <w:spacing w:after="0" w:line="239" w:lineRule="auto"/>
        <w:rPr>
          <w:sz w:val="20"/>
          <w:szCs w:val="20"/>
          <w:color w:val="auto"/>
        </w:rPr>
      </w:pPr>
      <w:r>
        <w:rPr>
          <w:rFonts w:ascii="Times New Roman" w:cs="Times New Roman" w:eastAsia="Times New Roman" w:hAnsi="Times New Roman"/>
          <w:sz w:val="20"/>
          <w:szCs w:val="20"/>
          <w:color w:val="auto"/>
        </w:rPr>
        <w:t>paid into the currency in which it was agreed to be paid either directly or through a currency other than that in which it was agreed to be paid,</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must pay to the Bank the deficiency and any loss, costs or expenses resulting from it.</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b w:val="1"/>
          <w:bCs w:val="1"/>
          <w:color w:val="auto"/>
        </w:rPr>
        <w:t>Independence and survival</w:t>
      </w:r>
    </w:p>
    <w:p>
      <w:pPr>
        <w:spacing w:after="0" w:line="33" w:lineRule="exact"/>
        <w:rPr>
          <w:sz w:val="20"/>
          <w:szCs w:val="20"/>
          <w:color w:val="auto"/>
        </w:rPr>
      </w:pPr>
    </w:p>
    <w:p>
      <w:pPr>
        <w:ind w:left="720" w:right="259"/>
        <w:spacing w:after="0" w:line="272" w:lineRule="auto"/>
        <w:rPr>
          <w:sz w:val="20"/>
          <w:szCs w:val="20"/>
          <w:color w:val="auto"/>
        </w:rPr>
      </w:pPr>
      <w:r>
        <w:rPr>
          <w:rFonts w:ascii="Times New Roman" w:cs="Times New Roman" w:eastAsia="Times New Roman" w:hAnsi="Times New Roman"/>
          <w:sz w:val="19"/>
          <w:szCs w:val="19"/>
          <w:color w:val="auto"/>
        </w:rPr>
        <w:t>Each indemnity in a Transaction Document is a continuing obligation, separate and independent from the other obligations of the Borrower and survives the termination of that Transaction Document.</w:t>
      </w:r>
    </w:p>
    <w:p>
      <w:pPr>
        <w:spacing w:after="0" w:line="16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b w:val="1"/>
          <w:bCs w:val="1"/>
          <w:color w:val="auto"/>
        </w:rPr>
        <w:t>Accounting for transactions</w:t>
      </w:r>
    </w:p>
    <w:p>
      <w:pPr>
        <w:spacing w:after="0" w:line="33" w:lineRule="exact"/>
        <w:rPr>
          <w:sz w:val="20"/>
          <w:szCs w:val="20"/>
          <w:color w:val="auto"/>
        </w:rPr>
      </w:pPr>
    </w:p>
    <w:p>
      <w:pPr>
        <w:ind w:left="1380" w:right="279" w:hanging="656"/>
        <w:spacing w:after="0" w:line="239" w:lineRule="auto"/>
        <w:tabs>
          <w:tab w:leader="none" w:pos="141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irrevocably authorises the Bank to open such accounts as the Bank requires in connection with a Facility.</w:t>
      </w:r>
    </w:p>
    <w:p>
      <w:pPr>
        <w:spacing w:after="0" w:line="1" w:lineRule="exact"/>
        <w:rPr>
          <w:rFonts w:ascii="Times New Roman" w:cs="Times New Roman" w:eastAsia="Times New Roman" w:hAnsi="Times New Roman"/>
          <w:sz w:val="20"/>
          <w:szCs w:val="20"/>
          <w:color w:val="auto"/>
        </w:rPr>
      </w:pPr>
    </w:p>
    <w:p>
      <w:pPr>
        <w:ind w:left="1380" w:right="159" w:hanging="656"/>
        <w:spacing w:after="0" w:line="239" w:lineRule="auto"/>
        <w:tabs>
          <w:tab w:leader="none" w:pos="142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irrevocably authorises the Bank to debit from any account in the name of the Borrower (including an account the Bank opens in the Borrower’s name) any amounts payable by the Borrower in relation to that Facility or account, including interest, costs, Taxes, enforcement expenses and any amount payable under an indemnity.</w:t>
      </w:r>
    </w:p>
    <w:p>
      <w:pPr>
        <w:spacing w:after="0" w:line="1" w:lineRule="exact"/>
        <w:rPr>
          <w:rFonts w:ascii="Times New Roman" w:cs="Times New Roman" w:eastAsia="Times New Roman" w:hAnsi="Times New Roman"/>
          <w:sz w:val="20"/>
          <w:szCs w:val="20"/>
          <w:color w:val="auto"/>
        </w:rPr>
      </w:pPr>
    </w:p>
    <w:p>
      <w:pPr>
        <w:ind w:left="1380" w:right="99" w:hanging="656"/>
        <w:spacing w:after="0" w:line="239" w:lineRule="auto"/>
        <w:tabs>
          <w:tab w:leader="none" w:pos="141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w:t>
      </w:r>
    </w:p>
    <w:p>
      <w:pPr>
        <w:spacing w:after="0" w:line="2"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Bank debits an account in the name of the Borrower, opened by:</w:t>
      </w:r>
    </w:p>
    <w:p>
      <w:pPr>
        <w:ind w:left="2020" w:right="379" w:hanging="648"/>
        <w:spacing w:after="0" w:line="239" w:lineRule="auto"/>
        <w:tabs>
          <w:tab w:leader="none" w:pos="201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the Borrower must pay the Bank interest (including default interest if applicable) on any debit balance in accordance with the terms of that account;</w:t>
      </w:r>
    </w:p>
    <w:p>
      <w:pPr>
        <w:ind w:left="2020" w:right="339" w:hanging="648"/>
        <w:spacing w:after="0" w:line="252" w:lineRule="auto"/>
        <w:tabs>
          <w:tab w:leader="none" w:pos="2019"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Bank, the Borrower must pay the Bank interest on the overdrawn balance of that account at the Overdue Rate applying to the relevant Facility or, if there is none, in accordance with the terms normally applied by the Bank to accounts of that type; or</w:t>
      </w:r>
    </w:p>
    <w:p>
      <w:pPr>
        <w:ind w:left="2020" w:right="139" w:hanging="648"/>
        <w:spacing w:after="0" w:line="239" w:lineRule="auto"/>
        <w:tabs>
          <w:tab w:leader="none" w:pos="202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the Borrower or the Bank, the overdrawn balance of the account in excess of the applicable Facility Limit is immediately payable without further notice.</w:t>
      </w:r>
    </w:p>
    <w:p>
      <w:pPr>
        <w:ind w:left="1380" w:right="179" w:hanging="656"/>
        <w:spacing w:after="0" w:line="246" w:lineRule="auto"/>
        <w:tabs>
          <w:tab w:leader="none" w:pos="141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the Bank may apply any payment under or in connection with this document towards satisfying obligations under this document as the Bank sees fit.</w:t>
      </w:r>
    </w:p>
    <w:p>
      <w:pPr>
        <w:sectPr>
          <w:pgSz w:w="11900" w:h="16838" w:orient="portrait"/>
          <w:cols w:equalWidth="0" w:num="1">
            <w:col w:w="9019"/>
          </w:cols>
          <w:pgMar w:left="1440" w:top="118" w:right="1440" w:bottom="0" w:gutter="0" w:footer="0" w:header="0"/>
        </w:sectPr>
      </w:pPr>
    </w:p>
    <w:bookmarkStart w:id="84" w:name="page85"/>
    <w:bookmarkEnd w:id="84"/>
    <w:p>
      <w:pPr>
        <w:spacing w:after="0" w:line="5" w:lineRule="exact"/>
        <w:rPr>
          <w:sz w:val="20"/>
          <w:szCs w:val="20"/>
          <w:color w:val="auto"/>
        </w:rPr>
      </w:pPr>
    </w:p>
    <w:p>
      <w:pPr>
        <w:ind w:left="1380" w:right="239" w:hanging="656"/>
        <w:spacing w:after="0" w:line="268" w:lineRule="auto"/>
        <w:tabs>
          <w:tab w:leader="none" w:pos="138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Bank is authorised to debit an amount from an account under this document, it can do so without prior notice.</w:t>
      </w:r>
    </w:p>
    <w:p>
      <w:pPr>
        <w:spacing w:after="0" w:line="165"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b w:val="1"/>
          <w:bCs w:val="1"/>
          <w:color w:val="auto"/>
        </w:rPr>
        <w:t>Liability for Regulatory Events</w:t>
      </w:r>
    </w:p>
    <w:p>
      <w:pPr>
        <w:spacing w:after="0" w:line="33" w:lineRule="exact"/>
        <w:rPr>
          <w:sz w:val="20"/>
          <w:szCs w:val="20"/>
          <w:color w:val="auto"/>
        </w:rPr>
      </w:pPr>
    </w:p>
    <w:p>
      <w:pPr>
        <w:ind w:left="1380" w:right="619" w:hanging="656"/>
        <w:spacing w:after="0" w:line="239" w:lineRule="auto"/>
        <w:tabs>
          <w:tab w:leader="none" w:pos="141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acknowledges that the Services may be interrupted, prevented, delayed or otherwise adversely affected by a Regulatory Event.</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w:t>
      </w:r>
    </w:p>
    <w:p>
      <w:pPr>
        <w:ind w:left="2020" w:right="99" w:hanging="648"/>
        <w:spacing w:after="0" w:line="239" w:lineRule="auto"/>
        <w:tabs>
          <w:tab w:leader="none" w:pos="201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is not liable for any loss incurred by a Borrower or any other person if an event described in clause 12.6(a) occurs, irrespective of the nature or cause of that loss, and the Bank has no obligation to contest any Regulatory Event or to mitigate its impact on the Borrower or the Bank; and</w:t>
      </w:r>
    </w:p>
    <w:p>
      <w:pPr>
        <w:spacing w:after="0" w:line="1" w:lineRule="exact"/>
        <w:rPr>
          <w:rFonts w:ascii="Times New Roman" w:cs="Times New Roman" w:eastAsia="Times New Roman" w:hAnsi="Times New Roman"/>
          <w:sz w:val="20"/>
          <w:szCs w:val="20"/>
          <w:color w:val="auto"/>
        </w:rPr>
      </w:pPr>
    </w:p>
    <w:p>
      <w:pPr>
        <w:ind w:left="2020" w:right="239" w:hanging="648"/>
        <w:spacing w:after="0" w:line="252" w:lineRule="auto"/>
        <w:tabs>
          <w:tab w:leader="none" w:pos="2019"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releases the Bank from all liability in connection with any loss incurred by a Borrower or any other person if an event described in </w:t>
      </w:r>
      <w:r>
        <w:rPr>
          <w:rFonts w:ascii="Times New Roman" w:cs="Times New Roman" w:eastAsia="Times New Roman" w:hAnsi="Times New Roman"/>
          <w:sz w:val="19"/>
          <w:szCs w:val="19"/>
          <w:b w:val="1"/>
          <w:bCs w:val="1"/>
          <w:color w:val="auto"/>
        </w:rPr>
        <w:t>clause 12.6(a)</w:t>
      </w:r>
      <w:r>
        <w:rPr>
          <w:rFonts w:ascii="Times New Roman" w:cs="Times New Roman" w:eastAsia="Times New Roman" w:hAnsi="Times New Roman"/>
          <w:sz w:val="19"/>
          <w:szCs w:val="19"/>
          <w:color w:val="auto"/>
        </w:rPr>
        <w:t xml:space="preserve"> occurs.</w:t>
      </w:r>
    </w:p>
    <w:p>
      <w:pPr>
        <w:ind w:left="1380" w:right="219" w:hanging="656"/>
        <w:spacing w:after="0" w:line="239" w:lineRule="auto"/>
        <w:tabs>
          <w:tab w:leader="none" w:pos="141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Bank’s liability cannot be excluded, the Bank’s liability is limited to the cost of having the Service supplied again.</w:t>
      </w:r>
    </w:p>
    <w:p>
      <w:pPr>
        <w:ind w:left="1380" w:right="259" w:hanging="656"/>
        <w:spacing w:after="0" w:line="239" w:lineRule="auto"/>
        <w:tabs>
          <w:tab w:leader="none" w:pos="142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w:t>
      </w:r>
    </w:p>
    <w:p>
      <w:pPr>
        <w:spacing w:after="0" w:line="2" w:lineRule="exact"/>
        <w:rPr>
          <w:rFonts w:ascii="Times New Roman" w:cs="Times New Roman" w:eastAsia="Times New Roman" w:hAnsi="Times New Roman"/>
          <w:sz w:val="20"/>
          <w:szCs w:val="20"/>
          <w:color w:val="auto"/>
        </w:rPr>
      </w:pPr>
    </w:p>
    <w:p>
      <w:pPr>
        <w:jc w:val="both"/>
        <w:ind w:left="1380" w:right="299" w:hanging="656"/>
        <w:spacing w:after="0" w:line="242" w:lineRule="auto"/>
        <w:tabs>
          <w:tab w:leader="none" w:pos="141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provide information to the Bank about it, the Services or any person connected with it or the Services on request, and to promptly procure any consents the Bank requires to give effect to </w:t>
      </w:r>
      <w:r>
        <w:rPr>
          <w:rFonts w:ascii="Times New Roman" w:cs="Times New Roman" w:eastAsia="Times New Roman" w:hAnsi="Times New Roman"/>
          <w:sz w:val="20"/>
          <w:szCs w:val="20"/>
          <w:b w:val="1"/>
          <w:bCs w:val="1"/>
          <w:color w:val="auto"/>
        </w:rPr>
        <w:t>clause 12.6(d).</w:t>
      </w:r>
    </w:p>
    <w:p>
      <w:pPr>
        <w:spacing w:after="0" w:line="191"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9"/>
          <w:szCs w:val="29"/>
          <w:color w:val="auto"/>
        </w:rPr>
        <w:t>13</w:t>
      </w:r>
      <w:r>
        <w:rPr>
          <w:sz w:val="20"/>
          <w:szCs w:val="20"/>
          <w:color w:val="auto"/>
        </w:rPr>
        <w:tab/>
      </w:r>
      <w:r>
        <w:rPr>
          <w:rFonts w:ascii="Times New Roman" w:cs="Times New Roman" w:eastAsia="Times New Roman" w:hAnsi="Times New Roman"/>
          <w:sz w:val="29"/>
          <w:szCs w:val="29"/>
          <w:color w:val="auto"/>
        </w:rPr>
        <w:t>Goods and Services Tax</w:t>
      </w:r>
    </w:p>
    <w:p>
      <w:pPr>
        <w:spacing w:after="0" w:line="4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13.1</w:t>
      </w:r>
      <w:r>
        <w:rPr>
          <w:sz w:val="20"/>
          <w:szCs w:val="20"/>
          <w:color w:val="auto"/>
        </w:rPr>
        <w:tab/>
      </w:r>
      <w:r>
        <w:rPr>
          <w:rFonts w:ascii="Times New Roman" w:cs="Times New Roman" w:eastAsia="Times New Roman" w:hAnsi="Times New Roman"/>
          <w:sz w:val="21"/>
          <w:szCs w:val="21"/>
          <w:b w:val="1"/>
          <w:bCs w:val="1"/>
          <w:color w:val="auto"/>
        </w:rPr>
        <w:t>Taxable supply</w:t>
      </w:r>
    </w:p>
    <w:p>
      <w:pPr>
        <w:spacing w:after="0" w:line="22" w:lineRule="exact"/>
        <w:rPr>
          <w:sz w:val="20"/>
          <w:szCs w:val="20"/>
          <w:color w:val="auto"/>
        </w:rPr>
      </w:pPr>
    </w:p>
    <w:p>
      <w:pPr>
        <w:ind w:left="1380" w:right="739" w:hanging="656"/>
        <w:spacing w:after="0" w:line="252" w:lineRule="auto"/>
        <w:tabs>
          <w:tab w:leader="none" w:pos="141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GST is payable by the Bank on any supply made under a Transaction Document, the Borrower must pay to the Bank an amount equal to the GST payable on the supply.</w:t>
      </w:r>
    </w:p>
    <w:p>
      <w:pPr>
        <w:ind w:left="1380" w:right="399" w:hanging="656"/>
        <w:spacing w:after="0" w:line="239" w:lineRule="auto"/>
        <w:tabs>
          <w:tab w:leader="none" w:pos="142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amount must be paid at the same time that the consideration for the supply is to be provided under the Transaction Document and must be paid in addition to the consideration expressed elsewhere in the Transaction Document.</w:t>
      </w:r>
    </w:p>
    <w:p>
      <w:pPr>
        <w:spacing w:after="0" w:line="1" w:lineRule="exact"/>
        <w:rPr>
          <w:rFonts w:ascii="Times New Roman" w:cs="Times New Roman" w:eastAsia="Times New Roman" w:hAnsi="Times New Roman"/>
          <w:sz w:val="20"/>
          <w:szCs w:val="20"/>
          <w:color w:val="auto"/>
        </w:rPr>
      </w:pPr>
    </w:p>
    <w:p>
      <w:pPr>
        <w:ind w:left="1380" w:right="259" w:hanging="656"/>
        <w:spacing w:after="0" w:line="246" w:lineRule="auto"/>
        <w:tabs>
          <w:tab w:leader="none" w:pos="141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receiving that amount from the Borrower, the Bank must provide the Borrower with a tax invoice for the supply.</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13.2</w:t>
      </w:r>
      <w:r>
        <w:rPr>
          <w:sz w:val="20"/>
          <w:szCs w:val="20"/>
          <w:color w:val="auto"/>
        </w:rPr>
        <w:tab/>
      </w:r>
      <w:r>
        <w:rPr>
          <w:rFonts w:ascii="Times New Roman" w:cs="Times New Roman" w:eastAsia="Times New Roman" w:hAnsi="Times New Roman"/>
          <w:sz w:val="21"/>
          <w:szCs w:val="21"/>
          <w:b w:val="1"/>
          <w:bCs w:val="1"/>
          <w:color w:val="auto"/>
        </w:rPr>
        <w:t>Adjustment events</w:t>
      </w:r>
    </w:p>
    <w:p>
      <w:pPr>
        <w:spacing w:after="0" w:line="33" w:lineRule="exact"/>
        <w:rPr>
          <w:sz w:val="20"/>
          <w:szCs w:val="20"/>
          <w:color w:val="auto"/>
        </w:rPr>
      </w:pPr>
    </w:p>
    <w:p>
      <w:pPr>
        <w:ind w:left="720" w:right="159"/>
        <w:spacing w:after="0" w:line="241" w:lineRule="auto"/>
        <w:rPr>
          <w:sz w:val="20"/>
          <w:szCs w:val="20"/>
          <w:color w:val="auto"/>
        </w:rPr>
      </w:pPr>
      <w:r>
        <w:rPr>
          <w:rFonts w:ascii="Times New Roman" w:cs="Times New Roman" w:eastAsia="Times New Roman" w:hAnsi="Times New Roman"/>
          <w:sz w:val="20"/>
          <w:szCs w:val="20"/>
          <w:color w:val="auto"/>
        </w:rPr>
        <w:t>If an adjustment event arises in relation to a supply made by the Bank to the Borrower under a Transaction Document, a corresponding adjustment must be made between the Bank and the Borrower in relation to any amount paid to the Bank by the Borrower under clause 13.1 and payments to give effect to the adjustment must be made.</w:t>
      </w:r>
    </w:p>
    <w:p>
      <w:pPr>
        <w:spacing w:after="0" w:line="19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b w:val="1"/>
          <w:bCs w:val="1"/>
          <w:color w:val="auto"/>
        </w:rPr>
        <w:t>Payments</w:t>
      </w:r>
    </w:p>
    <w:p>
      <w:pPr>
        <w:spacing w:after="0" w:line="33" w:lineRule="exact"/>
        <w:rPr>
          <w:sz w:val="20"/>
          <w:szCs w:val="20"/>
          <w:color w:val="auto"/>
        </w:rPr>
      </w:pPr>
    </w:p>
    <w:p>
      <w:pPr>
        <w:ind w:left="720" w:right="179"/>
        <w:spacing w:after="0" w:line="244" w:lineRule="auto"/>
        <w:rPr>
          <w:sz w:val="20"/>
          <w:szCs w:val="20"/>
          <w:color w:val="auto"/>
        </w:rPr>
      </w:pPr>
      <w:r>
        <w:rPr>
          <w:rFonts w:ascii="Times New Roman" w:cs="Times New Roman" w:eastAsia="Times New Roman" w:hAnsi="Times New Roman"/>
          <w:sz w:val="20"/>
          <w:szCs w:val="20"/>
          <w:color w:val="auto"/>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p>
    <w:p>
      <w:pPr>
        <w:spacing w:after="0" w:line="1" w:lineRule="exact"/>
        <w:rPr>
          <w:sz w:val="20"/>
          <w:szCs w:val="20"/>
          <w:color w:val="auto"/>
        </w:rPr>
      </w:pPr>
    </w:p>
    <w:p>
      <w:pPr>
        <w:ind w:left="1380" w:right="339" w:hanging="656"/>
        <w:spacing w:after="0" w:line="239" w:lineRule="auto"/>
        <w:tabs>
          <w:tab w:leader="none" w:pos="141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expense or outgoing less any input tax credit in relation to that expense or outgoing that the Bank is entitled to; and</w:t>
      </w:r>
    </w:p>
    <w:p>
      <w:pPr>
        <w:ind w:left="1380" w:right="139" w:hanging="656"/>
        <w:spacing w:after="0" w:line="246" w:lineRule="auto"/>
        <w:tabs>
          <w:tab w:leader="none" w:pos="142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Bank’s recovery from the Borrower is in relation to a taxable supply, an amount equal to the GST payable by the Bank in relation to that recovery.</w:t>
      </w:r>
    </w:p>
    <w:p>
      <w:pPr>
        <w:spacing w:after="0" w:line="186"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9"/>
          <w:szCs w:val="29"/>
          <w:color w:val="auto"/>
        </w:rPr>
        <w:t>14</w:t>
      </w:r>
      <w:r>
        <w:rPr>
          <w:sz w:val="20"/>
          <w:szCs w:val="20"/>
          <w:color w:val="auto"/>
        </w:rPr>
        <w:tab/>
      </w:r>
      <w:r>
        <w:rPr>
          <w:rFonts w:ascii="Times New Roman" w:cs="Times New Roman" w:eastAsia="Times New Roman" w:hAnsi="Times New Roman"/>
          <w:sz w:val="29"/>
          <w:szCs w:val="29"/>
          <w:color w:val="auto"/>
        </w:rPr>
        <w:t>Increased costs</w:t>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the Bank determines that:</w:t>
      </w:r>
    </w:p>
    <w:p>
      <w:pPr>
        <w:spacing w:after="0" w:line="5" w:lineRule="exact"/>
        <w:rPr>
          <w:sz w:val="20"/>
          <w:szCs w:val="20"/>
          <w:color w:val="auto"/>
        </w:rPr>
      </w:pPr>
    </w:p>
    <w:p>
      <w:pPr>
        <w:ind w:left="1400" w:hanging="676"/>
        <w:spacing w:after="0"/>
        <w:tabs>
          <w:tab w:leader="none" w:pos="14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to it of providing, funding or maintaining the Facility is increased;</w:t>
      </w:r>
    </w:p>
    <w:p>
      <w:pPr>
        <w:ind w:left="1380" w:right="799" w:hanging="656"/>
        <w:spacing w:after="0" w:line="239" w:lineRule="auto"/>
        <w:tabs>
          <w:tab w:leader="none" w:pos="142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payable to the Bank or the effective return to the Bank under a Transaction Document is reduced;</w:t>
      </w:r>
    </w:p>
    <w:p>
      <w:pPr>
        <w:ind w:left="1380" w:right="159" w:hanging="656"/>
        <w:spacing w:after="0" w:line="239" w:lineRule="auto"/>
        <w:tabs>
          <w:tab w:leader="none" w:pos="141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return to the Bank under any Transaction Document as a proportion of the capital of the Bank is reduced; or</w:t>
      </w:r>
    </w:p>
    <w:p>
      <w:pPr>
        <w:ind w:left="1380" w:right="299" w:hanging="656"/>
        <w:spacing w:after="0" w:line="242" w:lineRule="auto"/>
        <w:tabs>
          <w:tab w:leader="none" w:pos="142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must make a payment or forego any interest or other return calculated by reference to any amount received or receivable by it from any Transaction Party under a Transaction Document,</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because of:</w:t>
      </w:r>
    </w:p>
    <w:p>
      <w:pPr>
        <w:spacing w:after="0" w:line="22" w:lineRule="exact"/>
        <w:rPr>
          <w:sz w:val="20"/>
          <w:szCs w:val="20"/>
          <w:color w:val="auto"/>
        </w:rPr>
      </w:pPr>
    </w:p>
    <w:p>
      <w:pPr>
        <w:ind w:left="1380" w:right="119" w:hanging="656"/>
        <w:spacing w:after="0" w:line="239" w:lineRule="auto"/>
        <w:tabs>
          <w:tab w:leader="none" w:pos="141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regulation or Government Body directive or request (whether or not having the force of law) introduced or made after the date of this document, including those relating to taxation, capital adequacy or reserve requirements or banking or monetary controls; or</w:t>
      </w:r>
    </w:p>
    <w:p>
      <w:pPr>
        <w:spacing w:after="0" w:line="1" w:lineRule="exact"/>
        <w:rPr>
          <w:rFonts w:ascii="Times New Roman" w:cs="Times New Roman" w:eastAsia="Times New Roman" w:hAnsi="Times New Roman"/>
          <w:sz w:val="20"/>
          <w:szCs w:val="20"/>
          <w:color w:val="auto"/>
        </w:rPr>
      </w:pPr>
    </w:p>
    <w:p>
      <w:pPr>
        <w:ind w:left="1380" w:right="239" w:hanging="656"/>
        <w:spacing w:after="0" w:line="241" w:lineRule="auto"/>
        <w:tabs>
          <w:tab w:leader="none" w:pos="138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interpretation or application of any of them, the Borrower must, within two Business Days after a demand by the Bank, pay to the Bank the amount which, in the Bank’s reasonable opinion, will compensate the Bank for the increased cost, reduction, payment or foregone interest or other return.</w:t>
      </w:r>
    </w:p>
    <w:p>
      <w:pPr>
        <w:sectPr>
          <w:pgSz w:w="11900" w:h="16843" w:orient="portrait"/>
          <w:cols w:equalWidth="0" w:num="1">
            <w:col w:w="9019"/>
          </w:cols>
          <w:pgMar w:left="1440" w:top="118" w:right="1440" w:bottom="0" w:gutter="0" w:footer="0" w:header="0"/>
        </w:sectPr>
      </w:pPr>
    </w:p>
    <w:p>
      <w:pPr>
        <w:spacing w:after="0" w:line="193"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8"/>
          <w:szCs w:val="28"/>
          <w:color w:val="auto"/>
        </w:rPr>
        <w:t>15</w:t>
      </w:r>
      <w:r>
        <w:rPr>
          <w:sz w:val="20"/>
          <w:szCs w:val="20"/>
          <w:color w:val="auto"/>
        </w:rPr>
        <w:tab/>
      </w:r>
      <w:r>
        <w:rPr>
          <w:rFonts w:ascii="Times New Roman" w:cs="Times New Roman" w:eastAsia="Times New Roman" w:hAnsi="Times New Roman"/>
          <w:sz w:val="28"/>
          <w:szCs w:val="28"/>
          <w:color w:val="auto"/>
        </w:rPr>
        <w:t>Illegality</w:t>
      </w:r>
    </w:p>
    <w:p>
      <w:pPr>
        <w:sectPr>
          <w:pgSz w:w="11900" w:h="16843" w:orient="portrait"/>
          <w:cols w:equalWidth="0" w:num="1">
            <w:col w:w="9019"/>
          </w:cols>
          <w:pgMar w:left="1440" w:top="118" w:right="1440" w:bottom="0" w:gutter="0" w:footer="0" w:header="0"/>
          <w:type w:val="continuous"/>
        </w:sectPr>
      </w:pPr>
    </w:p>
    <w:bookmarkStart w:id="85" w:name="page86"/>
    <w:bookmarkEnd w:id="85"/>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b w:val="1"/>
          <w:bCs w:val="1"/>
          <w:color w:val="auto"/>
        </w:rPr>
        <w:t>Prepayment</w:t>
      </w:r>
    </w:p>
    <w:p>
      <w:pPr>
        <w:spacing w:after="0" w:line="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because of any change after the date of this document in:</w:t>
      </w:r>
    </w:p>
    <w:p>
      <w:pPr>
        <w:ind w:left="1380" w:right="219" w:hanging="656"/>
        <w:spacing w:after="0" w:line="239" w:lineRule="auto"/>
        <w:tabs>
          <w:tab w:leader="none" w:pos="141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law, regulation or a Government Body directive or request which is legally enforceable or compliance with which is in accordance with the practice of responsible Banks in the relevant jurisdiction; or</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interpretation or application of any of them,</w:t>
      </w:r>
    </w:p>
    <w:p>
      <w:pPr>
        <w:spacing w:after="0" w:line="207" w:lineRule="exact"/>
        <w:rPr>
          <w:sz w:val="20"/>
          <w:szCs w:val="20"/>
          <w:color w:val="auto"/>
        </w:rPr>
      </w:pPr>
    </w:p>
    <w:p>
      <w:pPr>
        <w:ind w:left="720" w:right="419"/>
        <w:spacing w:after="0" w:line="269" w:lineRule="auto"/>
        <w:rPr>
          <w:sz w:val="20"/>
          <w:szCs w:val="20"/>
          <w:color w:val="auto"/>
        </w:rPr>
      </w:pPr>
      <w:r>
        <w:rPr>
          <w:rFonts w:ascii="Times New Roman" w:cs="Times New Roman" w:eastAsia="Times New Roman" w:hAnsi="Times New Roman"/>
          <w:sz w:val="20"/>
          <w:szCs w:val="20"/>
          <w:color w:val="auto"/>
        </w:rPr>
        <w:t>the Bank determines that it is or it will become impossible or illegal or contrary to that Government Body directive or request for:</w:t>
      </w:r>
    </w:p>
    <w:p>
      <w:pPr>
        <w:spacing w:after="0" w:line="173" w:lineRule="exact"/>
        <w:rPr>
          <w:sz w:val="20"/>
          <w:szCs w:val="20"/>
          <w:color w:val="auto"/>
        </w:rPr>
      </w:pPr>
    </w:p>
    <w:p>
      <w:pPr>
        <w:ind w:left="1380" w:right="439" w:hanging="656"/>
        <w:spacing w:after="0" w:line="250" w:lineRule="auto"/>
        <w:tabs>
          <w:tab w:leader="none" w:pos="141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to fund, provide or maintain the Facility or otherwise comply with its obligations under the Transaction Documents; or</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from whom the Bank has raised or proposes to raise money in relation to the Facility</w:t>
      </w:r>
    </w:p>
    <w:p>
      <w:pPr>
        <w:spacing w:after="0" w:line="1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to fund, provide or maintain that money,</w:t>
      </w:r>
    </w:p>
    <w:p>
      <w:pPr>
        <w:jc w:val="both"/>
        <w:ind w:left="720" w:right="199"/>
        <w:spacing w:after="0" w:line="242" w:lineRule="auto"/>
        <w:rPr>
          <w:sz w:val="20"/>
          <w:szCs w:val="20"/>
          <w:color w:val="auto"/>
        </w:rPr>
      </w:pPr>
      <w:r>
        <w:rPr>
          <w:rFonts w:ascii="Times New Roman" w:cs="Times New Roman" w:eastAsia="Times New Roman" w:hAnsi="Times New Roman"/>
          <w:sz w:val="20"/>
          <w:szCs w:val="20"/>
          <w:color w:val="auto"/>
        </w:rPr>
        <w:t>the Borrower must, within five Business Days after receipt of a notice from the Bank to do so, pay the amount referred to in clause 10.2(a)(ii)(A) or 10.2(a)(ii)(B) as if that notice were a notice under clause 10.2(a)(ii)(A) or 10.2(a)(ii)(B).</w:t>
      </w:r>
    </w:p>
    <w:p>
      <w:pPr>
        <w:spacing w:after="0" w:line="192"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b w:val="1"/>
          <w:bCs w:val="1"/>
          <w:color w:val="auto"/>
        </w:rPr>
        <w:t>Facility terminated</w:t>
      </w:r>
    </w:p>
    <w:p>
      <w:pPr>
        <w:spacing w:after="0" w:line="33" w:lineRule="exact"/>
        <w:rPr>
          <w:sz w:val="20"/>
          <w:szCs w:val="20"/>
          <w:color w:val="auto"/>
        </w:rPr>
      </w:pPr>
    </w:p>
    <w:p>
      <w:pPr>
        <w:ind w:left="720" w:right="139"/>
        <w:spacing w:after="0" w:line="260" w:lineRule="auto"/>
        <w:rPr>
          <w:sz w:val="20"/>
          <w:szCs w:val="20"/>
          <w:color w:val="auto"/>
        </w:rPr>
      </w:pPr>
      <w:r>
        <w:rPr>
          <w:rFonts w:ascii="Times New Roman" w:cs="Times New Roman" w:eastAsia="Times New Roman" w:hAnsi="Times New Roman"/>
          <w:sz w:val="20"/>
          <w:szCs w:val="20"/>
          <w:color w:val="auto"/>
        </w:rPr>
        <w:t>The Bank’s obligation to make Advances or Drawings under this document terminates on the giving of a notice under clause 15.1.</w:t>
      </w:r>
    </w:p>
    <w:p>
      <w:pPr>
        <w:spacing w:after="0" w:line="173"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9"/>
          <w:szCs w:val="29"/>
          <w:color w:val="auto"/>
        </w:rPr>
        <w:t>16</w:t>
      </w:r>
      <w:r>
        <w:rPr>
          <w:sz w:val="20"/>
          <w:szCs w:val="20"/>
          <w:color w:val="auto"/>
        </w:rPr>
        <w:tab/>
      </w:r>
      <w:r>
        <w:rPr>
          <w:rFonts w:ascii="Times New Roman" w:cs="Times New Roman" w:eastAsia="Times New Roman" w:hAnsi="Times New Roman"/>
          <w:sz w:val="29"/>
          <w:szCs w:val="29"/>
          <w:color w:val="auto"/>
        </w:rPr>
        <w:t>Guarantee and indemnity</w:t>
      </w:r>
    </w:p>
    <w:p>
      <w:pPr>
        <w:spacing w:after="0" w:line="4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16.1</w:t>
      </w:r>
      <w:r>
        <w:rPr>
          <w:sz w:val="20"/>
          <w:szCs w:val="20"/>
          <w:color w:val="auto"/>
        </w:rPr>
        <w:tab/>
      </w:r>
      <w:r>
        <w:rPr>
          <w:rFonts w:ascii="Times New Roman" w:cs="Times New Roman" w:eastAsia="Times New Roman" w:hAnsi="Times New Roman"/>
          <w:sz w:val="21"/>
          <w:szCs w:val="21"/>
          <w:b w:val="1"/>
          <w:bCs w:val="1"/>
          <w:color w:val="auto"/>
        </w:rPr>
        <w:t>Guarantee</w:t>
      </w:r>
    </w:p>
    <w:p>
      <w:pPr>
        <w:spacing w:after="0" w:line="9" w:lineRule="exact"/>
        <w:rPr>
          <w:sz w:val="20"/>
          <w:szCs w:val="20"/>
          <w:color w:val="auto"/>
        </w:rPr>
      </w:pPr>
    </w:p>
    <w:p>
      <w:pPr>
        <w:ind w:left="1380" w:right="399" w:hanging="656"/>
        <w:spacing w:after="0" w:line="239" w:lineRule="auto"/>
        <w:tabs>
          <w:tab w:leader="none" w:pos="141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unconditionally and irrevocably guarantees the payment to the Bank of the Guaranteed Money.</w:t>
      </w:r>
    </w:p>
    <w:p>
      <w:pPr>
        <w:spacing w:after="0" w:line="1" w:lineRule="exact"/>
        <w:rPr>
          <w:rFonts w:ascii="Times New Roman" w:cs="Times New Roman" w:eastAsia="Times New Roman" w:hAnsi="Times New Roman"/>
          <w:sz w:val="20"/>
          <w:szCs w:val="20"/>
          <w:color w:val="auto"/>
        </w:rPr>
      </w:pPr>
    </w:p>
    <w:p>
      <w:pPr>
        <w:ind w:left="1380" w:right="299" w:hanging="656"/>
        <w:spacing w:after="0" w:line="239" w:lineRule="auto"/>
        <w:tabs>
          <w:tab w:leader="none" w:pos="1422"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does not pay the Guaranteed Money on time and in accordance with the Transaction Documents, then the Guarantors agree to pay the Guaranteed Money on demand from the Bank.</w:t>
      </w:r>
    </w:p>
    <w:p>
      <w:pPr>
        <w:spacing w:after="0" w:line="1" w:lineRule="exact"/>
        <w:rPr>
          <w:rFonts w:ascii="Times New Roman" w:cs="Times New Roman" w:eastAsia="Times New Roman" w:hAnsi="Times New Roman"/>
          <w:sz w:val="20"/>
          <w:szCs w:val="20"/>
          <w:color w:val="auto"/>
        </w:rPr>
      </w:pPr>
    </w:p>
    <w:p>
      <w:pPr>
        <w:ind w:left="1380" w:right="179" w:hanging="656"/>
        <w:spacing w:after="0" w:line="246" w:lineRule="auto"/>
        <w:tabs>
          <w:tab w:leader="none" w:pos="141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demand may be made at any time and from time to time and whether or not the Bank or the Bank has made demand on the Borrower or any other Transaction Party.</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b w:val="1"/>
          <w:bCs w:val="1"/>
          <w:color w:val="auto"/>
        </w:rPr>
        <w:t>Nature of guarantee</w:t>
      </w:r>
    </w:p>
    <w:p>
      <w:pPr>
        <w:spacing w:after="0" w:line="33" w:lineRule="exact"/>
        <w:rPr>
          <w:sz w:val="20"/>
          <w:szCs w:val="20"/>
          <w:color w:val="auto"/>
        </w:rPr>
      </w:pPr>
    </w:p>
    <w:p>
      <w:pPr>
        <w:ind w:left="720"/>
        <w:spacing w:after="0"/>
        <w:tabs>
          <w:tab w:leader="none" w:pos="1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xml:space="preserve">The guarantee in </w:t>
      </w:r>
      <w:r>
        <w:rPr>
          <w:rFonts w:ascii="Times New Roman" w:cs="Times New Roman" w:eastAsia="Times New Roman" w:hAnsi="Times New Roman"/>
          <w:sz w:val="20"/>
          <w:szCs w:val="20"/>
          <w:b w:val="1"/>
          <w:bCs w:val="1"/>
          <w:color w:val="auto"/>
        </w:rPr>
        <w:t>clause 16.1</w:t>
      </w:r>
      <w:r>
        <w:rPr>
          <w:rFonts w:ascii="Times New Roman" w:cs="Times New Roman" w:eastAsia="Times New Roman" w:hAnsi="Times New Roman"/>
          <w:sz w:val="20"/>
          <w:szCs w:val="20"/>
          <w:color w:val="auto"/>
        </w:rPr>
        <w:t xml:space="preserve"> is a continuing obligation despite any intervening payment,</w:t>
      </w:r>
    </w:p>
    <w:p>
      <w:pPr>
        <w:spacing w:after="0" w:line="1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settlement or other thing and extends to all of the Guaranteed Money.</w:t>
      </w: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As between each Guarantor and the Bank (but without affecting the obligations of any other</w:t>
      </w:r>
    </w:p>
    <w:p>
      <w:pPr>
        <w:ind w:left="1380" w:right="279"/>
        <w:spacing w:after="0" w:line="246" w:lineRule="auto"/>
        <w:rPr>
          <w:sz w:val="20"/>
          <w:szCs w:val="20"/>
          <w:color w:val="auto"/>
        </w:rPr>
      </w:pPr>
      <w:r>
        <w:rPr>
          <w:rFonts w:ascii="Times New Roman" w:cs="Times New Roman" w:eastAsia="Times New Roman" w:hAnsi="Times New Roman"/>
          <w:sz w:val="20"/>
          <w:szCs w:val="20"/>
          <w:color w:val="auto"/>
        </w:rPr>
        <w:t>Transaction Party) each Guarantor is liable under this document in relation to the Guaranteed Money as a sole and principal debtor and not as surety.</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b w:val="1"/>
          <w:bCs w:val="1"/>
          <w:color w:val="auto"/>
        </w:rPr>
        <w:t>Indemnity</w:t>
      </w:r>
    </w:p>
    <w:p>
      <w:pPr>
        <w:spacing w:after="0" w:line="33" w:lineRule="exact"/>
        <w:rPr>
          <w:sz w:val="20"/>
          <w:szCs w:val="20"/>
          <w:color w:val="auto"/>
        </w:rPr>
      </w:pPr>
    </w:p>
    <w:p>
      <w:pPr>
        <w:ind w:left="1380" w:right="579" w:hanging="656"/>
        <w:spacing w:after="0" w:line="239" w:lineRule="auto"/>
        <w:tabs>
          <w:tab w:leader="none" w:pos="141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indemnifies the Bank against any liability or loss arising and any costs it suffers or incurs:</w:t>
      </w:r>
    </w:p>
    <w:p>
      <w:pPr>
        <w:spacing w:after="0" w:line="1" w:lineRule="exact"/>
        <w:rPr>
          <w:rFonts w:ascii="Times New Roman" w:cs="Times New Roman" w:eastAsia="Times New Roman" w:hAnsi="Times New Roman"/>
          <w:sz w:val="20"/>
          <w:szCs w:val="20"/>
          <w:color w:val="auto"/>
        </w:rPr>
      </w:pPr>
    </w:p>
    <w:p>
      <w:pPr>
        <w:ind w:left="2020" w:right="439" w:hanging="648"/>
        <w:spacing w:after="0" w:line="239" w:lineRule="auto"/>
        <w:tabs>
          <w:tab w:leader="none" w:pos="201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Transaction Party does not, is not obliged to or is unable to pay the Guaranteed Money in accordance with the Transaction Documents;</w:t>
      </w:r>
    </w:p>
    <w:p>
      <w:pPr>
        <w:ind w:left="2020" w:hanging="648"/>
        <w:spacing w:after="0"/>
        <w:tabs>
          <w:tab w:leader="none" w:pos="202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Guarantor is not obliged to pay the Bank an amount under </w:t>
      </w:r>
      <w:r>
        <w:rPr>
          <w:rFonts w:ascii="Times New Roman" w:cs="Times New Roman" w:eastAsia="Times New Roman" w:hAnsi="Times New Roman"/>
          <w:sz w:val="20"/>
          <w:szCs w:val="20"/>
          <w:b w:val="1"/>
          <w:bCs w:val="1"/>
          <w:color w:val="auto"/>
        </w:rPr>
        <w:t>clause 16;</w:t>
      </w:r>
    </w:p>
    <w:p>
      <w:pPr>
        <w:ind w:left="2020" w:right="539" w:hanging="648"/>
        <w:spacing w:after="0" w:line="239" w:lineRule="auto"/>
        <w:tabs>
          <w:tab w:leader="none" w:pos="202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Bank is obliged, or agrees, to pay an amount to a trustee in bankruptcy or liquidator (of an insolvent person) in connection with a payment by a Transaction Party under or in connection with a Transaction Document;</w:t>
      </w:r>
    </w:p>
    <w:p>
      <w:pPr>
        <w:spacing w:after="0" w:line="1" w:lineRule="exact"/>
        <w:rPr>
          <w:rFonts w:ascii="Times New Roman" w:cs="Times New Roman" w:eastAsia="Times New Roman" w:hAnsi="Times New Roman"/>
          <w:sz w:val="20"/>
          <w:szCs w:val="20"/>
          <w:color w:val="auto"/>
        </w:rPr>
      </w:pPr>
    </w:p>
    <w:p>
      <w:pPr>
        <w:ind w:left="2060" w:hanging="688"/>
        <w:spacing w:after="0"/>
        <w:tabs>
          <w:tab w:leader="none" w:pos="20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Guarantor defaults under the Guarantee in </w:t>
      </w:r>
      <w:r>
        <w:rPr>
          <w:rFonts w:ascii="Times New Roman" w:cs="Times New Roman" w:eastAsia="Times New Roman" w:hAnsi="Times New Roman"/>
          <w:sz w:val="20"/>
          <w:szCs w:val="20"/>
          <w:b w:val="1"/>
          <w:bCs w:val="1"/>
          <w:color w:val="auto"/>
        </w:rPr>
        <w:t>clause 16.1</w:t>
      </w:r>
      <w:r>
        <w:rPr>
          <w:rFonts w:ascii="Times New Roman" w:cs="Times New Roman" w:eastAsia="Times New Roman" w:hAnsi="Times New Roman"/>
          <w:sz w:val="20"/>
          <w:szCs w:val="20"/>
          <w:color w:val="auto"/>
        </w:rPr>
        <w:t>; or</w:t>
      </w:r>
    </w:p>
    <w:p>
      <w:pPr>
        <w:ind w:left="2020" w:right="939" w:hanging="648"/>
        <w:spacing w:after="0" w:line="239" w:lineRule="auto"/>
        <w:tabs>
          <w:tab w:leader="none" w:pos="2062"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person exercising, or not exercising, rights under the Guarantee in </w:t>
      </w:r>
      <w:r>
        <w:rPr>
          <w:rFonts w:ascii="Times New Roman" w:cs="Times New Roman" w:eastAsia="Times New Roman" w:hAnsi="Times New Roman"/>
          <w:sz w:val="20"/>
          <w:szCs w:val="20"/>
          <w:b w:val="1"/>
          <w:bCs w:val="1"/>
          <w:color w:val="auto"/>
        </w:rPr>
        <w:t>clause 16.1.</w:t>
      </w:r>
    </w:p>
    <w:p>
      <w:pPr>
        <w:ind w:left="1380" w:right="119" w:hanging="656"/>
        <w:spacing w:after="0" w:line="246" w:lineRule="auto"/>
        <w:tabs>
          <w:tab w:leader="none" w:pos="142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agrees to pay amounts due under this indemnity immediately on demand from the Bank.</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16.4</w:t>
      </w:r>
      <w:r>
        <w:rPr>
          <w:sz w:val="20"/>
          <w:szCs w:val="20"/>
          <w:color w:val="auto"/>
        </w:rPr>
        <w:tab/>
      </w:r>
      <w:r>
        <w:rPr>
          <w:rFonts w:ascii="Times New Roman" w:cs="Times New Roman" w:eastAsia="Times New Roman" w:hAnsi="Times New Roman"/>
          <w:sz w:val="21"/>
          <w:szCs w:val="21"/>
          <w:b w:val="1"/>
          <w:bCs w:val="1"/>
          <w:color w:val="auto"/>
        </w:rPr>
        <w:t>Reinstatement of rights</w:t>
      </w:r>
    </w:p>
    <w:p>
      <w:pPr>
        <w:spacing w:after="0" w:line="33" w:lineRule="exact"/>
        <w:rPr>
          <w:sz w:val="20"/>
          <w:szCs w:val="20"/>
          <w:color w:val="auto"/>
        </w:rPr>
      </w:pPr>
    </w:p>
    <w:p>
      <w:pPr>
        <w:ind w:left="1380" w:right="179" w:hanging="656"/>
        <w:spacing w:after="0" w:line="239" w:lineRule="auto"/>
        <w:tabs>
          <w:tab w:leader="none" w:pos="141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an Insolvency Event in respect of a Transaction Party, a person may claim that a transaction (including a payment) in connection with this Guarantee or the Guaranteed Money is void or voidable.</w:t>
      </w:r>
    </w:p>
    <w:p>
      <w:pPr>
        <w:spacing w:after="0" w:line="2" w:lineRule="exact"/>
        <w:rPr>
          <w:rFonts w:ascii="Times New Roman" w:cs="Times New Roman" w:eastAsia="Times New Roman" w:hAnsi="Times New Roman"/>
          <w:sz w:val="20"/>
          <w:szCs w:val="20"/>
          <w:color w:val="auto"/>
        </w:rPr>
      </w:pPr>
    </w:p>
    <w:p>
      <w:pPr>
        <w:ind w:left="1600" w:hanging="876"/>
        <w:spacing w:after="0"/>
        <w:tabs>
          <w:tab w:leader="none" w:pos="16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claim is made and upheld, conceded or comprised:</w:t>
      </w:r>
    </w:p>
    <w:p>
      <w:pPr>
        <w:ind w:left="2020" w:right="99" w:hanging="648"/>
        <w:spacing w:after="0" w:line="252" w:lineRule="auto"/>
        <w:tabs>
          <w:tab w:leader="none" w:pos="2018"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Bank is immediately entitled as against the Guarantors to the rights in respect of the Guaranteed Money to which it was entitled immediately before the transaction; and</w:t>
      </w:r>
    </w:p>
    <w:p>
      <w:pPr>
        <w:ind w:left="2020" w:right="99" w:hanging="648"/>
        <w:spacing w:after="0" w:line="242" w:lineRule="auto"/>
        <w:tabs>
          <w:tab w:leader="none" w:pos="2019"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request from the Bank, each Guarantor agrees to do anything (including signing any document) to restore to the Bank any Security Interest (including this Guarantee) held by it from the Guarantors immediately before the transaction.</w:t>
      </w:r>
    </w:p>
    <w:p>
      <w:pPr>
        <w:spacing w:after="0" w:line="192"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b w:val="1"/>
          <w:bCs w:val="1"/>
          <w:color w:val="auto"/>
        </w:rPr>
        <w:t>Rights of the Bank are protected</w:t>
      </w:r>
    </w:p>
    <w:p>
      <w:pPr>
        <w:sectPr>
          <w:pgSz w:w="11900" w:h="16838" w:orient="portrait"/>
          <w:cols w:equalWidth="0" w:num="1">
            <w:col w:w="9019"/>
          </w:cols>
          <w:pgMar w:left="1440" w:top="108" w:right="1440" w:bottom="0" w:gutter="0" w:footer="0" w:header="0"/>
        </w:sectPr>
      </w:pPr>
    </w:p>
    <w:p>
      <w:pPr>
        <w:spacing w:after="0" w:line="33" w:lineRule="exact"/>
        <w:rPr>
          <w:sz w:val="20"/>
          <w:szCs w:val="20"/>
          <w:color w:val="auto"/>
        </w:rPr>
      </w:pPr>
    </w:p>
    <w:p>
      <w:pPr>
        <w:ind w:left="720" w:right="139"/>
        <w:spacing w:after="0" w:line="250" w:lineRule="auto"/>
        <w:rPr>
          <w:sz w:val="20"/>
          <w:szCs w:val="20"/>
          <w:color w:val="auto"/>
        </w:rPr>
      </w:pPr>
      <w:r>
        <w:rPr>
          <w:rFonts w:ascii="Times New Roman" w:cs="Times New Roman" w:eastAsia="Times New Roman" w:hAnsi="Times New Roman"/>
          <w:sz w:val="20"/>
          <w:szCs w:val="20"/>
          <w:color w:val="auto"/>
        </w:rPr>
        <w:t>Rights given to the Bank under this Guarantee (and each Guarantor’s liabilities under it) are not affected by any act or omission by the Bank or by anything else that might otherwise affect them under law or otherwise, including:</w:t>
      </w:r>
    </w:p>
    <w:p>
      <w:pPr>
        <w:sectPr>
          <w:pgSz w:w="11900" w:h="16838" w:orient="portrait"/>
          <w:cols w:equalWidth="0" w:num="1">
            <w:col w:w="9019"/>
          </w:cols>
          <w:pgMar w:left="1440" w:top="108" w:right="1440" w:bottom="0" w:gutter="0" w:footer="0" w:header="0"/>
          <w:type w:val="continuous"/>
        </w:sectPr>
      </w:pPr>
    </w:p>
    <w:bookmarkStart w:id="86" w:name="page87"/>
    <w:bookmarkEnd w:id="86"/>
    <w:p>
      <w:pPr>
        <w:spacing w:after="0" w:line="36" w:lineRule="exact"/>
        <w:rPr>
          <w:sz w:val="20"/>
          <w:szCs w:val="20"/>
          <w:color w:val="auto"/>
        </w:rPr>
      </w:pPr>
    </w:p>
    <w:p>
      <w:pPr>
        <w:jc w:val="both"/>
        <w:ind w:left="1380" w:right="839" w:hanging="656"/>
        <w:spacing w:after="0" w:line="263" w:lineRule="auto"/>
        <w:tabs>
          <w:tab w:leader="none" w:pos="1411"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fact that it varies or novates any agreement under which the Guaranteed Money is expressed to be owing, such as by increasing the Facility Limit or extending the term;</w:t>
      </w:r>
    </w:p>
    <w:p>
      <w:pPr>
        <w:spacing w:after="0" w:line="1" w:lineRule="exact"/>
        <w:rPr>
          <w:rFonts w:ascii="Times New Roman" w:cs="Times New Roman" w:eastAsia="Times New Roman" w:hAnsi="Times New Roman"/>
          <w:sz w:val="19"/>
          <w:szCs w:val="19"/>
          <w:color w:val="auto"/>
        </w:rPr>
      </w:pPr>
    </w:p>
    <w:p>
      <w:pPr>
        <w:ind w:left="1380" w:right="419" w:hanging="656"/>
        <w:spacing w:after="0" w:line="239" w:lineRule="auto"/>
        <w:tabs>
          <w:tab w:leader="none" w:pos="142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it releases any Transaction Party or gives it a concession, such as more time to pay;</w:t>
      </w:r>
    </w:p>
    <w:p>
      <w:pPr>
        <w:ind w:left="1400" w:hanging="676"/>
        <w:spacing w:after="0"/>
        <w:tabs>
          <w:tab w:leader="none" w:pos="14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 Transaction Party opens an account with it;</w:t>
      </w:r>
    </w:p>
    <w:p>
      <w:pPr>
        <w:ind w:left="1420" w:hanging="696"/>
        <w:spacing w:after="0"/>
        <w:tabs>
          <w:tab w:leader="none" w:pos="142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it releases, loses the benefit of or does not obtain any Security Interest;</w:t>
      </w:r>
    </w:p>
    <w:p>
      <w:pPr>
        <w:ind w:left="1400" w:hanging="676"/>
        <w:spacing w:after="0"/>
        <w:tabs>
          <w:tab w:leader="none" w:pos="14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it does not register any Security Interest which could be registered;</w:t>
      </w:r>
    </w:p>
    <w:p>
      <w:pPr>
        <w:ind w:left="1380" w:right="219" w:hanging="656"/>
        <w:spacing w:after="0" w:line="239" w:lineRule="auto"/>
        <w:tabs>
          <w:tab w:leader="none" w:pos="138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it releases any person who gives a guarantee or indemnity in connection with any Transaction Party’s obligations (including under clause 16.13);</w:t>
      </w:r>
    </w:p>
    <w:p>
      <w:pPr>
        <w:ind w:left="1380" w:right="399" w:hanging="656"/>
        <w:spacing w:after="0" w:line="239" w:lineRule="auto"/>
        <w:tabs>
          <w:tab w:leader="none" w:pos="142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 person becomes a Guarantor after the date of this document (including under clause 16.14);</w:t>
      </w:r>
    </w:p>
    <w:p>
      <w:pPr>
        <w:ind w:left="1380" w:right="539" w:hanging="656"/>
        <w:spacing w:after="0" w:line="239" w:lineRule="auto"/>
        <w:tabs>
          <w:tab w:leader="none" w:pos="142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the obligations of any person who guarantees any Transaction Party’s obligations (including under this Guarantee) may not be enforceable;</w:t>
      </w:r>
    </w:p>
    <w:p>
      <w:pPr>
        <w:ind w:left="1380" w:right="459" w:hanging="656"/>
        <w:spacing w:after="0" w:line="239" w:lineRule="auto"/>
        <w:tabs>
          <w:tab w:leader="none" w:pos="137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any person who was intended to guarantee any Transaction Party’s obligations does not do so or does not do so effectively;</w:t>
      </w:r>
    </w:p>
    <w:p>
      <w:pPr>
        <w:ind w:left="1360" w:hanging="636"/>
        <w:spacing w:after="0"/>
        <w:tabs>
          <w:tab w:leader="none" w:pos="13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membership, name or business of any person; or</w:t>
      </w:r>
    </w:p>
    <w:p>
      <w:pPr>
        <w:ind w:left="1380" w:right="539" w:hanging="656"/>
        <w:spacing w:after="0" w:line="246" w:lineRule="auto"/>
        <w:tabs>
          <w:tab w:leader="none" w:pos="142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 person who is a co-surety or co-indemnifier for payment of the Guaranteed Money is discharged under an agreement or by operation of law.</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b w:val="1"/>
          <w:bCs w:val="1"/>
          <w:color w:val="auto"/>
        </w:rPr>
        <w:t>No merger</w:t>
      </w:r>
    </w:p>
    <w:p>
      <w:pPr>
        <w:spacing w:after="0" w:line="33" w:lineRule="exact"/>
        <w:rPr>
          <w:sz w:val="20"/>
          <w:szCs w:val="20"/>
          <w:color w:val="auto"/>
        </w:rPr>
      </w:pPr>
    </w:p>
    <w:p>
      <w:pPr>
        <w:ind w:left="1380" w:right="259" w:hanging="656"/>
        <w:spacing w:after="0" w:line="239" w:lineRule="auto"/>
        <w:tabs>
          <w:tab w:leader="none" w:pos="1411"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Guarantee does not merge with or adversely affect, and is not adversely affected by, any of the following:</w:t>
      </w:r>
    </w:p>
    <w:p>
      <w:pPr>
        <w:spacing w:after="0" w:line="1" w:lineRule="exact"/>
        <w:rPr>
          <w:rFonts w:ascii="Times New Roman" w:cs="Times New Roman" w:eastAsia="Times New Roman" w:hAnsi="Times New Roman"/>
          <w:sz w:val="20"/>
          <w:szCs w:val="20"/>
          <w:color w:val="auto"/>
        </w:rPr>
      </w:pPr>
    </w:p>
    <w:p>
      <w:pPr>
        <w:ind w:left="2020" w:right="199" w:hanging="648"/>
        <w:spacing w:after="0" w:line="239" w:lineRule="auto"/>
        <w:tabs>
          <w:tab w:leader="none" w:pos="2018"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guarantee, indemnity, or Security Interest, or other right or remedy to which the Bank is entitled; or</w:t>
      </w:r>
    </w:p>
    <w:p>
      <w:pPr>
        <w:ind w:left="2020" w:right="559" w:hanging="648"/>
        <w:spacing w:after="0" w:line="239" w:lineRule="auto"/>
        <w:tabs>
          <w:tab w:leader="none" w:pos="2019"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judgment which the Bank obtains against the Guarantors in connection with the Guaranteed Money or any other amount payable under this Guarantee.</w:t>
      </w:r>
    </w:p>
    <w:p>
      <w:pPr>
        <w:ind w:left="1380" w:right="279" w:hanging="656"/>
        <w:spacing w:after="0" w:line="246" w:lineRule="auto"/>
        <w:tabs>
          <w:tab w:leader="none" w:pos="142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still exercise rights under this Guarantee as well as under the judgment, other guarantee, indemnity, Security Interest, or other right or remedy.</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16.7</w:t>
      </w:r>
      <w:r>
        <w:rPr>
          <w:sz w:val="20"/>
          <w:szCs w:val="20"/>
          <w:color w:val="auto"/>
        </w:rPr>
        <w:tab/>
      </w:r>
      <w:r>
        <w:rPr>
          <w:rFonts w:ascii="Times New Roman" w:cs="Times New Roman" w:eastAsia="Times New Roman" w:hAnsi="Times New Roman"/>
          <w:sz w:val="21"/>
          <w:szCs w:val="21"/>
          <w:b w:val="1"/>
          <w:bCs w:val="1"/>
          <w:color w:val="auto"/>
        </w:rPr>
        <w:t>Extent of Guarantor’s obligations</w:t>
      </w:r>
    </w:p>
    <w:p>
      <w:pPr>
        <w:spacing w:after="0" w:line="33" w:lineRule="exact"/>
        <w:rPr>
          <w:sz w:val="20"/>
          <w:szCs w:val="20"/>
          <w:color w:val="auto"/>
        </w:rPr>
      </w:pPr>
    </w:p>
    <w:p>
      <w:pPr>
        <w:ind w:left="720" w:right="119"/>
        <w:spacing w:after="0" w:line="287" w:lineRule="auto"/>
        <w:rPr>
          <w:sz w:val="20"/>
          <w:szCs w:val="20"/>
          <w:color w:val="auto"/>
        </w:rPr>
      </w:pPr>
      <w:r>
        <w:rPr>
          <w:rFonts w:ascii="Times New Roman" w:cs="Times New Roman" w:eastAsia="Times New Roman" w:hAnsi="Times New Roman"/>
          <w:sz w:val="19"/>
          <w:szCs w:val="19"/>
          <w:color w:val="auto"/>
        </w:rPr>
        <w:t>If more than one person is named as “Guarantor”, each of them is liable for all the obligations under this Guarantee both individually and jointly with any one or more other persons named as “Guarantor”.</w:t>
      </w:r>
    </w:p>
    <w:p>
      <w:pPr>
        <w:spacing w:after="0" w:line="150"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b w:val="1"/>
          <w:bCs w:val="1"/>
          <w:color w:val="auto"/>
        </w:rPr>
        <w:t>Guarantor’s rights are suspended</w:t>
      </w:r>
    </w:p>
    <w:p>
      <w:pPr>
        <w:spacing w:after="0" w:line="33" w:lineRule="exact"/>
        <w:rPr>
          <w:sz w:val="20"/>
          <w:szCs w:val="20"/>
          <w:color w:val="auto"/>
        </w:rPr>
      </w:pPr>
    </w:p>
    <w:p>
      <w:pPr>
        <w:ind w:left="720" w:right="299"/>
        <w:spacing w:after="0" w:line="239" w:lineRule="auto"/>
        <w:rPr>
          <w:sz w:val="20"/>
          <w:szCs w:val="20"/>
          <w:color w:val="auto"/>
        </w:rPr>
      </w:pPr>
      <w:r>
        <w:rPr>
          <w:rFonts w:ascii="Times New Roman" w:cs="Times New Roman" w:eastAsia="Times New Roman" w:hAnsi="Times New Roman"/>
          <w:sz w:val="20"/>
          <w:szCs w:val="20"/>
          <w:color w:val="auto"/>
        </w:rPr>
        <w:t>As long as any of the Guaranteed Money remains unpaid, the Guarantor may not, without the Bank’s consent:</w:t>
      </w:r>
    </w:p>
    <w:p>
      <w:pPr>
        <w:spacing w:after="0" w:line="2" w:lineRule="exact"/>
        <w:rPr>
          <w:sz w:val="20"/>
          <w:szCs w:val="20"/>
          <w:color w:val="auto"/>
        </w:rPr>
      </w:pPr>
    </w:p>
    <w:p>
      <w:pPr>
        <w:ind w:left="1380" w:right="339" w:hanging="656"/>
        <w:spacing w:after="0" w:line="239" w:lineRule="auto"/>
        <w:tabs>
          <w:tab w:leader="none" w:pos="141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its liability under this Guarantee by claiming that it or any other Transaction Party or any other person has a right of set-off or counterclaim against the Bank;</w:t>
      </w:r>
    </w:p>
    <w:p>
      <w:pPr>
        <w:ind w:left="1380" w:right="279" w:hanging="656"/>
        <w:spacing w:after="0" w:line="239" w:lineRule="auto"/>
        <w:tabs>
          <w:tab w:leader="none" w:pos="1422"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any legal right to claim to be entitled to the benefit of another guarantee, indemnity, or Security Interest given in connection with the Guaranteed Money or any other amount payable under this Guarantee;</w:t>
      </w:r>
    </w:p>
    <w:p>
      <w:pPr>
        <w:spacing w:after="0" w:line="1" w:lineRule="exact"/>
        <w:rPr>
          <w:rFonts w:ascii="Times New Roman" w:cs="Times New Roman" w:eastAsia="Times New Roman" w:hAnsi="Times New Roman"/>
          <w:sz w:val="20"/>
          <w:szCs w:val="20"/>
          <w:color w:val="auto"/>
        </w:rPr>
      </w:pPr>
    </w:p>
    <w:p>
      <w:pPr>
        <w:ind w:left="1380" w:right="299" w:hanging="656"/>
        <w:spacing w:after="0" w:line="239" w:lineRule="auto"/>
        <w:tabs>
          <w:tab w:leader="none" w:pos="141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 an amount from another Transaction Party, or another guarantor of the Guaranteed Money (including a person who has signed this document as a “Guarantor”), under a right of indemnity in respect of this guarantee; or</w:t>
      </w:r>
    </w:p>
    <w:p>
      <w:pPr>
        <w:spacing w:after="0" w:line="1" w:lineRule="exact"/>
        <w:rPr>
          <w:rFonts w:ascii="Times New Roman" w:cs="Times New Roman" w:eastAsia="Times New Roman" w:hAnsi="Times New Roman"/>
          <w:sz w:val="20"/>
          <w:szCs w:val="20"/>
          <w:color w:val="auto"/>
        </w:rPr>
      </w:pPr>
    </w:p>
    <w:p>
      <w:pPr>
        <w:ind w:left="1380" w:right="619" w:hanging="656"/>
        <w:spacing w:after="0" w:line="271" w:lineRule="auto"/>
        <w:tabs>
          <w:tab w:leader="none" w:pos="142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claim an amount in the insolvency of a Transaction Party or of another guarantor of the Guaranteed Money (including a person who has signed this document as a “Guarantor”).</w:t>
      </w:r>
    </w:p>
    <w:p>
      <w:pPr>
        <w:spacing w:after="0" w:line="16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16.9</w:t>
      </w:r>
      <w:r>
        <w:rPr>
          <w:sz w:val="20"/>
          <w:szCs w:val="20"/>
          <w:color w:val="auto"/>
        </w:rPr>
        <w:tab/>
      </w:r>
      <w:r>
        <w:rPr>
          <w:rFonts w:ascii="Times New Roman" w:cs="Times New Roman" w:eastAsia="Times New Roman" w:hAnsi="Times New Roman"/>
          <w:sz w:val="21"/>
          <w:szCs w:val="21"/>
          <w:b w:val="1"/>
          <w:bCs w:val="1"/>
          <w:color w:val="auto"/>
        </w:rPr>
        <w:t>Guarantor’s right of proof limited</w:t>
      </w:r>
    </w:p>
    <w:p>
      <w:pPr>
        <w:spacing w:after="0" w:line="33" w:lineRule="exact"/>
        <w:rPr>
          <w:sz w:val="20"/>
          <w:szCs w:val="20"/>
          <w:color w:val="auto"/>
        </w:rPr>
      </w:pPr>
    </w:p>
    <w:p>
      <w:pPr>
        <w:ind w:left="720" w:right="299"/>
        <w:spacing w:after="0" w:line="262" w:lineRule="auto"/>
        <w:rPr>
          <w:sz w:val="20"/>
          <w:szCs w:val="20"/>
          <w:color w:val="auto"/>
        </w:rPr>
      </w:pPr>
      <w:r>
        <w:rPr>
          <w:rFonts w:ascii="Times New Roman" w:cs="Times New Roman" w:eastAsia="Times New Roman" w:hAnsi="Times New Roman"/>
          <w:sz w:val="19"/>
          <w:szCs w:val="19"/>
          <w:color w:val="auto"/>
        </w:rPr>
        <w:t xml:space="preserve">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w:t>
      </w:r>
      <w:r>
        <w:rPr>
          <w:rFonts w:ascii="Times New Roman" w:cs="Times New Roman" w:eastAsia="Times New Roman" w:hAnsi="Times New Roman"/>
          <w:sz w:val="19"/>
          <w:szCs w:val="19"/>
          <w:b w:val="1"/>
          <w:bCs w:val="1"/>
          <w:color w:val="auto"/>
        </w:rPr>
        <w:t>clause 16.12.</w:t>
      </w:r>
    </w:p>
    <w:p>
      <w:pPr>
        <w:spacing w:after="0" w:line="173"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16.10</w:t>
      </w:r>
      <w:r>
        <w:rPr>
          <w:sz w:val="20"/>
          <w:szCs w:val="20"/>
          <w:color w:val="auto"/>
        </w:rPr>
        <w:tab/>
      </w:r>
      <w:r>
        <w:rPr>
          <w:rFonts w:ascii="Times New Roman" w:cs="Times New Roman" w:eastAsia="Times New Roman" w:hAnsi="Times New Roman"/>
          <w:sz w:val="21"/>
          <w:szCs w:val="21"/>
          <w:b w:val="1"/>
          <w:bCs w:val="1"/>
          <w:color w:val="auto"/>
        </w:rPr>
        <w:t>No set-off against assignees</w:t>
      </w:r>
    </w:p>
    <w:p>
      <w:pPr>
        <w:spacing w:after="0" w:line="33" w:lineRule="exact"/>
        <w:rPr>
          <w:sz w:val="20"/>
          <w:szCs w:val="20"/>
          <w:color w:val="auto"/>
        </w:rPr>
      </w:pPr>
    </w:p>
    <w:p>
      <w:pPr>
        <w:ind w:left="720" w:right="199"/>
        <w:spacing w:after="0" w:line="250" w:lineRule="auto"/>
        <w:rPr>
          <w:sz w:val="20"/>
          <w:szCs w:val="20"/>
          <w:color w:val="auto"/>
        </w:rPr>
      </w:pPr>
      <w:r>
        <w:rPr>
          <w:rFonts w:ascii="Times New Roman" w:cs="Times New Roman" w:eastAsia="Times New Roman" w:hAnsi="Times New Roman"/>
          <w:sz w:val="20"/>
          <w:szCs w:val="20"/>
          <w:color w:val="auto"/>
        </w:rPr>
        <w:t>If the Bank assigns or otherwise deals with its rights under this Guarantee, the Guarantors may not claim against any assignee (or any other person who has an interest in this Guarantee) any right of set-off or other right the Guarantors have against the Bank.</w:t>
      </w:r>
    </w:p>
    <w:p>
      <w:pPr>
        <w:spacing w:after="0" w:line="183" w:lineRule="exact"/>
        <w:rPr>
          <w:sz w:val="20"/>
          <w:szCs w:val="20"/>
          <w:color w:val="auto"/>
        </w:rPr>
      </w:pPr>
    </w:p>
    <w:p>
      <w:pPr>
        <w:ind w:left="8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16.11</w:t>
      </w:r>
      <w:r>
        <w:rPr>
          <w:sz w:val="20"/>
          <w:szCs w:val="20"/>
          <w:color w:val="auto"/>
        </w:rPr>
        <w:tab/>
      </w:r>
      <w:r>
        <w:rPr>
          <w:rFonts w:ascii="Times New Roman" w:cs="Times New Roman" w:eastAsia="Times New Roman" w:hAnsi="Times New Roman"/>
          <w:sz w:val="21"/>
          <w:szCs w:val="21"/>
          <w:b w:val="1"/>
          <w:bCs w:val="1"/>
          <w:color w:val="auto"/>
        </w:rPr>
        <w:t>Suspense account</w:t>
      </w:r>
    </w:p>
    <w:p>
      <w:pPr>
        <w:spacing w:after="0" w:line="33" w:lineRule="exact"/>
        <w:rPr>
          <w:sz w:val="20"/>
          <w:szCs w:val="20"/>
          <w:color w:val="auto"/>
        </w:rPr>
      </w:pPr>
    </w:p>
    <w:p>
      <w:pPr>
        <w:ind w:left="720" w:right="99"/>
        <w:spacing w:after="0" w:line="241" w:lineRule="auto"/>
        <w:rPr>
          <w:sz w:val="20"/>
          <w:szCs w:val="20"/>
          <w:color w:val="auto"/>
        </w:rPr>
      </w:pPr>
      <w:r>
        <w:rPr>
          <w:rFonts w:ascii="Times New Roman" w:cs="Times New Roman" w:eastAsia="Times New Roman" w:hAnsi="Times New Roman"/>
          <w:sz w:val="20"/>
          <w:szCs w:val="20"/>
          <w:color w:val="auto"/>
        </w:rPr>
        <w:t>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w:t>
      </w:r>
    </w:p>
    <w:p>
      <w:pPr>
        <w:spacing w:after="0" w:line="194"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16.12</w:t>
      </w:r>
      <w:r>
        <w:rPr>
          <w:sz w:val="20"/>
          <w:szCs w:val="20"/>
          <w:color w:val="auto"/>
        </w:rPr>
        <w:tab/>
      </w:r>
      <w:r>
        <w:rPr>
          <w:rFonts w:ascii="Times New Roman" w:cs="Times New Roman" w:eastAsia="Times New Roman" w:hAnsi="Times New Roman"/>
          <w:sz w:val="21"/>
          <w:szCs w:val="21"/>
          <w:b w:val="1"/>
          <w:bCs w:val="1"/>
          <w:color w:val="auto"/>
        </w:rPr>
        <w:t>Right to prove</w:t>
      </w:r>
    </w:p>
    <w:p>
      <w:pPr>
        <w:spacing w:after="0" w:line="33" w:lineRule="exact"/>
        <w:rPr>
          <w:sz w:val="20"/>
          <w:szCs w:val="20"/>
          <w:color w:val="auto"/>
        </w:rPr>
      </w:pPr>
    </w:p>
    <w:p>
      <w:pPr>
        <w:ind w:left="1380" w:right="99" w:hanging="656"/>
        <w:spacing w:after="0" w:line="239" w:lineRule="auto"/>
        <w:tabs>
          <w:tab w:leader="none" w:pos="1411"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Guarantor irrevocably appoints the Bank and each of its Authorised Representatives individually as its attorney and agrees to formally approve all action taken by an attorney under this </w:t>
      </w:r>
      <w:r>
        <w:rPr>
          <w:rFonts w:ascii="Times New Roman" w:cs="Times New Roman" w:eastAsia="Times New Roman" w:hAnsi="Times New Roman"/>
          <w:sz w:val="20"/>
          <w:szCs w:val="20"/>
          <w:b w:val="1"/>
          <w:bCs w:val="1"/>
          <w:color w:val="auto"/>
        </w:rPr>
        <w:t>clause 16.</w:t>
      </w:r>
    </w:p>
    <w:p>
      <w:pPr>
        <w:spacing w:after="0" w:line="2"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attorney may, at any time while any Guaranteed Money is outstanding:</w:t>
      </w:r>
    </w:p>
    <w:p>
      <w:pPr>
        <w:ind w:left="2020" w:right="159" w:hanging="648"/>
        <w:spacing w:after="0" w:line="261" w:lineRule="auto"/>
        <w:tabs>
          <w:tab w:leader="none" w:pos="2018"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anything which a Guarantor may lawfully do to exercise their right of proof in respect of a Transaction Party after an Insolvency Event occurs in respect of such Transaction Party. These things may be done in the Guarantor’s name or the attorney’s</w:t>
      </w:r>
    </w:p>
    <w:p>
      <w:pPr>
        <w:sectPr>
          <w:pgSz w:w="11900" w:h="16874" w:orient="portrait"/>
          <w:cols w:equalWidth="0" w:num="1">
            <w:col w:w="9019"/>
          </w:cols>
          <w:pgMar w:left="1440" w:top="118" w:right="1440" w:bottom="0" w:gutter="0" w:footer="0" w:header="0"/>
        </w:sectPr>
      </w:pPr>
    </w:p>
    <w:bookmarkStart w:id="87" w:name="page88"/>
    <w:bookmarkEnd w:id="87"/>
    <w:p>
      <w:pPr>
        <w:spacing w:after="0" w:line="75" w:lineRule="exact"/>
        <w:rPr>
          <w:sz w:val="20"/>
          <w:szCs w:val="20"/>
          <w:color w:val="auto"/>
        </w:rPr>
      </w:pPr>
    </w:p>
    <w:p>
      <w:pPr>
        <w:ind w:left="2020" w:right="899"/>
        <w:spacing w:after="0" w:line="263" w:lineRule="auto"/>
        <w:rPr>
          <w:sz w:val="20"/>
          <w:szCs w:val="20"/>
          <w:color w:val="auto"/>
        </w:rPr>
      </w:pPr>
      <w:r>
        <w:rPr>
          <w:rFonts w:ascii="Times New Roman" w:cs="Times New Roman" w:eastAsia="Times New Roman" w:hAnsi="Times New Roman"/>
          <w:sz w:val="19"/>
          <w:szCs w:val="19"/>
          <w:color w:val="auto"/>
        </w:rPr>
        <w:t>name and they include signing and delivering documents, taking part in legal proceedings and receiving any dividends arising out of the right of proof;</w:t>
      </w:r>
    </w:p>
    <w:p>
      <w:pPr>
        <w:spacing w:after="0" w:line="1" w:lineRule="exact"/>
        <w:rPr>
          <w:sz w:val="20"/>
          <w:szCs w:val="20"/>
          <w:color w:val="auto"/>
        </w:rPr>
      </w:pPr>
    </w:p>
    <w:p>
      <w:pPr>
        <w:ind w:left="2020" w:hanging="648"/>
        <w:spacing w:after="0"/>
        <w:tabs>
          <w:tab w:leader="none" w:pos="202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delegates its powers (including this power) and may revoke a delegation; and</w:t>
      </w:r>
    </w:p>
    <w:p>
      <w:pPr>
        <w:ind w:left="2020" w:right="179" w:hanging="648"/>
        <w:spacing w:after="0" w:line="239" w:lineRule="auto"/>
        <w:tabs>
          <w:tab w:leader="none" w:pos="202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its powers even if this involves a conflict of duty and even if it has a personal interest in doing so.</w:t>
      </w:r>
    </w:p>
    <w:p>
      <w:pPr>
        <w:ind w:left="1380" w:right="119" w:hanging="656"/>
        <w:spacing w:after="0" w:line="261" w:lineRule="auto"/>
        <w:tabs>
          <w:tab w:leader="none" w:pos="1411"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attorney need not account to a Guarantor for any dividend received on exercising the right of proof under </w:t>
      </w:r>
      <w:r>
        <w:rPr>
          <w:rFonts w:ascii="Times New Roman" w:cs="Times New Roman" w:eastAsia="Times New Roman" w:hAnsi="Times New Roman"/>
          <w:sz w:val="19"/>
          <w:szCs w:val="19"/>
          <w:b w:val="1"/>
          <w:bCs w:val="1"/>
          <w:color w:val="auto"/>
        </w:rPr>
        <w:t>clause 16.12(i)</w:t>
      </w:r>
      <w:r>
        <w:rPr>
          <w:rFonts w:ascii="Times New Roman" w:cs="Times New Roman" w:eastAsia="Times New Roman" w:hAnsi="Times New Roman"/>
          <w:sz w:val="19"/>
          <w:szCs w:val="19"/>
          <w:color w:val="auto"/>
        </w:rPr>
        <w:t xml:space="preserve"> except to the extent that any dividend remains after the Bank has received all of the Guaranteed Money and all other amounts payable under the Guarantee.</w:t>
      </w:r>
    </w:p>
    <w:p>
      <w:pPr>
        <w:spacing w:after="0" w:line="175"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16.13</w:t>
      </w:r>
      <w:r>
        <w:rPr>
          <w:sz w:val="20"/>
          <w:szCs w:val="20"/>
          <w:color w:val="auto"/>
        </w:rPr>
        <w:tab/>
      </w:r>
      <w:r>
        <w:rPr>
          <w:rFonts w:ascii="Times New Roman" w:cs="Times New Roman" w:eastAsia="Times New Roman" w:hAnsi="Times New Roman"/>
          <w:sz w:val="21"/>
          <w:szCs w:val="21"/>
          <w:b w:val="1"/>
          <w:bCs w:val="1"/>
          <w:color w:val="auto"/>
        </w:rPr>
        <w:t>Release of Guarantors</w:t>
      </w:r>
    </w:p>
    <w:p>
      <w:pPr>
        <w:spacing w:after="0" w:line="33" w:lineRule="exact"/>
        <w:rPr>
          <w:sz w:val="20"/>
          <w:szCs w:val="20"/>
          <w:color w:val="auto"/>
        </w:rPr>
      </w:pPr>
    </w:p>
    <w:p>
      <w:pPr>
        <w:ind w:left="1380" w:right="379" w:hanging="656"/>
        <w:spacing w:after="0" w:line="239" w:lineRule="auto"/>
        <w:tabs>
          <w:tab w:leader="none" w:pos="1411"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Bank must, at the Borrower’s cost, execute any release documentation in respect of the Bank’s rights under </w:t>
      </w:r>
      <w:r>
        <w:rPr>
          <w:rFonts w:ascii="Times New Roman" w:cs="Times New Roman" w:eastAsia="Times New Roman" w:hAnsi="Times New Roman"/>
          <w:sz w:val="20"/>
          <w:szCs w:val="20"/>
          <w:b w:val="1"/>
          <w:bCs w:val="1"/>
          <w:color w:val="auto"/>
        </w:rPr>
        <w:t>clause 16.</w:t>
      </w:r>
    </w:p>
    <w:p>
      <w:pPr>
        <w:spacing w:after="0" w:line="1" w:lineRule="exact"/>
        <w:rPr>
          <w:rFonts w:ascii="Times New Roman" w:cs="Times New Roman" w:eastAsia="Times New Roman" w:hAnsi="Times New Roman"/>
          <w:sz w:val="20"/>
          <w:szCs w:val="20"/>
          <w:color w:val="auto"/>
        </w:rPr>
      </w:pPr>
    </w:p>
    <w:p>
      <w:pPr>
        <w:ind w:left="1380" w:right="599" w:hanging="656"/>
        <w:spacing w:after="0" w:line="239" w:lineRule="auto"/>
        <w:tabs>
          <w:tab w:leader="none" w:pos="142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Transaction Parties and the Bank, the Bank is not obliged to consent to a release unless required to do by the terms of another Transaction Document.</w:t>
      </w:r>
    </w:p>
    <w:p>
      <w:pPr>
        <w:ind w:left="1380" w:right="139" w:hanging="656"/>
        <w:spacing w:after="0" w:line="271" w:lineRule="auto"/>
        <w:tabs>
          <w:tab w:leader="none" w:pos="1411"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rights and obligations of the remaining Guarantors under the Guarantee in </w:t>
      </w:r>
      <w:r>
        <w:rPr>
          <w:rFonts w:ascii="Times New Roman" w:cs="Times New Roman" w:eastAsia="Times New Roman" w:hAnsi="Times New Roman"/>
          <w:sz w:val="19"/>
          <w:szCs w:val="19"/>
          <w:b w:val="1"/>
          <w:bCs w:val="1"/>
          <w:color w:val="auto"/>
        </w:rPr>
        <w:t>clause 16.1</w:t>
      </w:r>
      <w:r>
        <w:rPr>
          <w:rFonts w:ascii="Times New Roman" w:cs="Times New Roman" w:eastAsia="Times New Roman" w:hAnsi="Times New Roman"/>
          <w:sz w:val="19"/>
          <w:szCs w:val="19"/>
          <w:color w:val="auto"/>
        </w:rPr>
        <w:t xml:space="preserve"> will continue in full force and effect despite the release of a Guarantor under this </w:t>
      </w:r>
      <w:r>
        <w:rPr>
          <w:rFonts w:ascii="Times New Roman" w:cs="Times New Roman" w:eastAsia="Times New Roman" w:hAnsi="Times New Roman"/>
          <w:sz w:val="19"/>
          <w:szCs w:val="19"/>
          <w:b w:val="1"/>
          <w:bCs w:val="1"/>
          <w:color w:val="auto"/>
        </w:rPr>
        <w:t>clause 16.13.</w:t>
      </w:r>
    </w:p>
    <w:p>
      <w:pPr>
        <w:spacing w:after="0" w:line="164"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16.14</w:t>
      </w:r>
      <w:r>
        <w:rPr>
          <w:sz w:val="20"/>
          <w:szCs w:val="20"/>
          <w:color w:val="auto"/>
        </w:rPr>
        <w:tab/>
      </w:r>
      <w:r>
        <w:rPr>
          <w:rFonts w:ascii="Times New Roman" w:cs="Times New Roman" w:eastAsia="Times New Roman" w:hAnsi="Times New Roman"/>
          <w:sz w:val="21"/>
          <w:szCs w:val="21"/>
          <w:b w:val="1"/>
          <w:bCs w:val="1"/>
          <w:color w:val="auto"/>
        </w:rPr>
        <w:t>New Guarantors</w:t>
      </w:r>
    </w:p>
    <w:p>
      <w:pPr>
        <w:spacing w:after="0" w:line="33" w:lineRule="exact"/>
        <w:rPr>
          <w:sz w:val="20"/>
          <w:szCs w:val="20"/>
          <w:color w:val="auto"/>
        </w:rPr>
      </w:pPr>
    </w:p>
    <w:p>
      <w:pPr>
        <w:jc w:val="both"/>
        <w:ind w:left="720" w:right="159"/>
        <w:spacing w:after="0" w:line="250" w:lineRule="auto"/>
        <w:rPr>
          <w:sz w:val="20"/>
          <w:szCs w:val="20"/>
          <w:color w:val="auto"/>
        </w:rPr>
      </w:pPr>
      <w:r>
        <w:rPr>
          <w:rFonts w:ascii="Times New Roman" w:cs="Times New Roman" w:eastAsia="Times New Roman" w:hAnsi="Times New Roman"/>
          <w:sz w:val="20"/>
          <w:szCs w:val="20"/>
          <w:color w:val="auto"/>
        </w:rPr>
        <w:t>If a Subsidiary of any Transaction Party is required by the terms of a Transaction Document to become a Guarantor, the Borrower must ensure that such subsidiary executes a Guarantor Accession Deed as a new Transaction Party.</w:t>
      </w:r>
    </w:p>
    <w:p>
      <w:pPr>
        <w:spacing w:after="0" w:line="183"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16.15</w:t>
      </w:r>
      <w:r>
        <w:rPr>
          <w:sz w:val="20"/>
          <w:szCs w:val="20"/>
          <w:color w:val="auto"/>
        </w:rPr>
        <w:tab/>
      </w:r>
      <w:r>
        <w:rPr>
          <w:rFonts w:ascii="Times New Roman" w:cs="Times New Roman" w:eastAsia="Times New Roman" w:hAnsi="Times New Roman"/>
          <w:sz w:val="21"/>
          <w:szCs w:val="21"/>
          <w:b w:val="1"/>
          <w:bCs w:val="1"/>
          <w:color w:val="auto"/>
        </w:rPr>
        <w:t>Consideration</w:t>
      </w:r>
    </w:p>
    <w:p>
      <w:pPr>
        <w:spacing w:after="0" w:line="33" w:lineRule="exact"/>
        <w:rPr>
          <w:sz w:val="20"/>
          <w:szCs w:val="20"/>
          <w:color w:val="auto"/>
        </w:rPr>
      </w:pPr>
    </w:p>
    <w:p>
      <w:pPr>
        <w:ind w:left="720" w:right="259"/>
        <w:spacing w:after="0" w:line="246" w:lineRule="auto"/>
        <w:rPr>
          <w:sz w:val="20"/>
          <w:szCs w:val="20"/>
          <w:color w:val="auto"/>
        </w:rPr>
      </w:pPr>
      <w:r>
        <w:rPr>
          <w:rFonts w:ascii="Times New Roman" w:cs="Times New Roman" w:eastAsia="Times New Roman" w:hAnsi="Times New Roman"/>
          <w:sz w:val="20"/>
          <w:szCs w:val="20"/>
          <w:color w:val="auto"/>
        </w:rPr>
        <w:t>Each Guarantor acknowledges having executed this document in return for the Bank entering into the Transaction Documents at the request of the Guarantor and other valuable consideration.</w:t>
      </w:r>
    </w:p>
    <w:p>
      <w:pPr>
        <w:spacing w:after="0" w:line="187"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16.16</w:t>
      </w:r>
      <w:r>
        <w:rPr>
          <w:sz w:val="20"/>
          <w:szCs w:val="20"/>
          <w:color w:val="auto"/>
        </w:rPr>
        <w:tab/>
      </w:r>
      <w:r>
        <w:rPr>
          <w:rFonts w:ascii="Times New Roman" w:cs="Times New Roman" w:eastAsia="Times New Roman" w:hAnsi="Times New Roman"/>
          <w:sz w:val="21"/>
          <w:szCs w:val="21"/>
          <w:b w:val="1"/>
          <w:bCs w:val="1"/>
          <w:color w:val="auto"/>
        </w:rPr>
        <w:t>New Guarantors</w:t>
      </w:r>
    </w:p>
    <w:p>
      <w:pPr>
        <w:spacing w:after="0" w:line="33" w:lineRule="exact"/>
        <w:rPr>
          <w:sz w:val="20"/>
          <w:szCs w:val="20"/>
          <w:color w:val="auto"/>
        </w:rPr>
      </w:pPr>
    </w:p>
    <w:p>
      <w:pPr>
        <w:ind w:left="1380" w:right="479" w:hanging="656"/>
        <w:spacing w:after="0" w:line="239" w:lineRule="auto"/>
        <w:tabs>
          <w:tab w:leader="none" w:pos="141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automatically becomes a party to this document as a Guarantor and Transaction Party (after the date of this document) by signing and delivering to the Bank a Guarantor Accession Deed and doing anything else which the Bank reasonably requests to ensure the enforceability of that person’s obligations as a Guarantor.</w:t>
      </w:r>
    </w:p>
    <w:p>
      <w:pPr>
        <w:spacing w:after="0" w:line="2" w:lineRule="exact"/>
        <w:rPr>
          <w:rFonts w:ascii="Times New Roman" w:cs="Times New Roman" w:eastAsia="Times New Roman" w:hAnsi="Times New Roman"/>
          <w:sz w:val="20"/>
          <w:szCs w:val="20"/>
          <w:color w:val="auto"/>
        </w:rPr>
      </w:pPr>
    </w:p>
    <w:p>
      <w:pPr>
        <w:ind w:left="1380" w:right="179" w:hanging="656"/>
        <w:spacing w:after="0" w:line="239" w:lineRule="auto"/>
        <w:tabs>
          <w:tab w:leader="none" w:pos="1422"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other parties to his document irrevocably appoints the Bank as its agent to sign on its behalf any Guarantor Accession Deed.</w:t>
      </w:r>
    </w:p>
    <w:p>
      <w:pPr>
        <w:ind w:left="1380" w:right="399" w:hanging="656"/>
        <w:spacing w:after="0" w:line="246" w:lineRule="auto"/>
        <w:tabs>
          <w:tab w:leader="none" w:pos="141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of a Guarantor Accession Deed will not operate to release any party from its obligations under any Transaction Document.</w:t>
      </w:r>
    </w:p>
    <w:p>
      <w:pPr>
        <w:spacing w:after="0" w:line="186"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9"/>
          <w:szCs w:val="29"/>
          <w:color w:val="auto"/>
        </w:rPr>
        <w:t>17</w:t>
      </w:r>
      <w:r>
        <w:rPr>
          <w:sz w:val="20"/>
          <w:szCs w:val="20"/>
          <w:color w:val="auto"/>
        </w:rPr>
        <w:tab/>
      </w:r>
      <w:r>
        <w:rPr>
          <w:rFonts w:ascii="Times New Roman" w:cs="Times New Roman" w:eastAsia="Times New Roman" w:hAnsi="Times New Roman"/>
          <w:sz w:val="29"/>
          <w:szCs w:val="29"/>
          <w:color w:val="auto"/>
        </w:rPr>
        <w:t>Attorney</w:t>
      </w:r>
    </w:p>
    <w:p>
      <w:pPr>
        <w:spacing w:after="0" w:line="4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b w:val="1"/>
          <w:bCs w:val="1"/>
          <w:color w:val="auto"/>
        </w:rPr>
        <w:t>Appointment</w:t>
      </w:r>
    </w:p>
    <w:p>
      <w:pPr>
        <w:spacing w:after="0" w:line="22" w:lineRule="exact"/>
        <w:rPr>
          <w:sz w:val="20"/>
          <w:szCs w:val="20"/>
          <w:color w:val="auto"/>
        </w:rPr>
      </w:pPr>
    </w:p>
    <w:p>
      <w:pPr>
        <w:ind w:left="720" w:right="139"/>
        <w:spacing w:after="0" w:line="239" w:lineRule="auto"/>
        <w:rPr>
          <w:sz w:val="20"/>
          <w:szCs w:val="20"/>
          <w:color w:val="auto"/>
        </w:rPr>
      </w:pPr>
      <w:r>
        <w:rPr>
          <w:rFonts w:ascii="Times New Roman" w:cs="Times New Roman" w:eastAsia="Times New Roman" w:hAnsi="Times New Roman"/>
          <w:sz w:val="20"/>
          <w:szCs w:val="20"/>
          <w:color w:val="auto"/>
        </w:rPr>
        <w:t>If and for so long as an Event of Default occurred and is continuing, the Borrower irrevocably appoints the Bank its attorney with the power:</w:t>
      </w:r>
    </w:p>
    <w:p>
      <w:pPr>
        <w:spacing w:after="0" w:line="1" w:lineRule="exact"/>
        <w:rPr>
          <w:sz w:val="20"/>
          <w:szCs w:val="20"/>
          <w:color w:val="auto"/>
        </w:rPr>
      </w:pPr>
    </w:p>
    <w:p>
      <w:pPr>
        <w:ind w:left="1400" w:hanging="676"/>
        <w:spacing w:after="0"/>
        <w:tabs>
          <w:tab w:leader="none" w:pos="14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to:</w:t>
      </w:r>
    </w:p>
    <w:p>
      <w:pPr>
        <w:jc w:val="both"/>
        <w:ind w:left="2020" w:right="219" w:hanging="648"/>
        <w:spacing w:after="0" w:line="252" w:lineRule="auto"/>
        <w:tabs>
          <w:tab w:leader="none" w:pos="201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everything which in the Attorney’s reasonable opinion is necessary or expedient to enable the exercise of any right of the Bank in relation to the Transaction Documents;</w:t>
      </w:r>
    </w:p>
    <w:p>
      <w:pPr>
        <w:ind w:left="2020" w:hanging="648"/>
        <w:spacing w:after="0"/>
        <w:tabs>
          <w:tab w:leader="none" w:pos="202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used;</w:t>
      </w:r>
    </w:p>
    <w:p>
      <w:pPr>
        <w:ind w:left="2020" w:hanging="648"/>
        <w:spacing w:after="0"/>
        <w:tabs>
          <w:tab w:leader="none" w:pos="202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the Transaction Documents to which it is a party; and</w:t>
      </w:r>
    </w:p>
    <w:p>
      <w:pPr>
        <w:ind w:left="2020" w:right="379" w:hanging="648"/>
        <w:spacing w:after="0" w:line="252" w:lineRule="auto"/>
        <w:tabs>
          <w:tab w:leader="none" w:pos="2063"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 its directors, officers, employees and solicitors as substitutes and otherwise delegate its powers to any of them (except this power of delegation); and</w:t>
      </w:r>
    </w:p>
    <w:p>
      <w:pPr>
        <w:ind w:left="1380" w:right="259" w:hanging="656"/>
        <w:spacing w:after="0" w:line="241" w:lineRule="auto"/>
        <w:tabs>
          <w:tab w:leader="none" w:pos="142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a notice is given under </w:t>
      </w:r>
      <w:r>
        <w:rPr>
          <w:rFonts w:ascii="Times New Roman" w:cs="Times New Roman" w:eastAsia="Times New Roman" w:hAnsi="Times New Roman"/>
          <w:sz w:val="20"/>
          <w:szCs w:val="20"/>
          <w:b w:val="1"/>
          <w:bCs w:val="1"/>
          <w:color w:val="auto"/>
        </w:rPr>
        <w:t>clause 10.2(a)(ii)(A) or 10.2(a)(ii)(B),</w:t>
      </w:r>
      <w:r>
        <w:rPr>
          <w:rFonts w:ascii="Times New Roman" w:cs="Times New Roman" w:eastAsia="Times New Roman" w:hAnsi="Times New Roman"/>
          <w:sz w:val="20"/>
          <w:szCs w:val="20"/>
          <w:color w:val="auto"/>
        </w:rPr>
        <w:t xml:space="preserve"> to do all acts and things which the Borrower is obliged to do under the Transaction Documents or which in the Attorney’s opinion are necessary or expedient to enable the exercise of any right of the Bank in relation to the Transaction Documents.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70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3"/>
              </w:rPr>
              <w:t>17.2</w:t>
            </w:r>
          </w:p>
        </w:tc>
        <w:tc>
          <w:tcPr>
            <w:tcW w:w="11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Not used</w:t>
            </w:r>
          </w:p>
        </w:tc>
      </w:tr>
      <w:tr>
        <w:trPr>
          <w:trHeight w:val="286"/>
        </w:trPr>
        <w:tc>
          <w:tcPr>
            <w:tcW w:w="70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w w:val="93"/>
              </w:rPr>
              <w:t>17.3</w:t>
            </w:r>
          </w:p>
        </w:tc>
        <w:tc>
          <w:tcPr>
            <w:tcW w:w="11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General</w:t>
            </w:r>
          </w:p>
        </w:tc>
      </w:tr>
    </w:tbl>
    <w:p>
      <w:pPr>
        <w:ind w:left="1380" w:right="159" w:hanging="656"/>
        <w:spacing w:after="0" w:line="246" w:lineRule="auto"/>
        <w:tabs>
          <w:tab w:leader="none" w:pos="141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Attorney may exercise any right solely for the benefit of the Bank, even if the exercise of the right constitutes a conflict of interest or duty.</w:t>
      </w:r>
    </w:p>
    <w:p>
      <w:pPr>
        <w:spacing w:after="0" w:line="1" w:lineRule="exact"/>
        <w:rPr>
          <w:rFonts w:ascii="Times New Roman" w:cs="Times New Roman" w:eastAsia="Times New Roman" w:hAnsi="Times New Roman"/>
          <w:sz w:val="20"/>
          <w:szCs w:val="20"/>
          <w:color w:val="auto"/>
        </w:rPr>
      </w:pPr>
    </w:p>
    <w:p>
      <w:pPr>
        <w:ind w:left="1380" w:right="119" w:hanging="656"/>
        <w:spacing w:after="0" w:line="239" w:lineRule="auto"/>
        <w:tabs>
          <w:tab w:leader="none" w:pos="142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by this document ratifies anything done or not done by the Attorney pursuant to the power of attorney.</w:t>
      </w:r>
    </w:p>
    <w:p>
      <w:pPr>
        <w:ind w:left="1400" w:hanging="676"/>
        <w:spacing w:after="0"/>
        <w:tabs>
          <w:tab w:leader="none" w:pos="14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of attorney is granted:</w:t>
      </w:r>
    </w:p>
    <w:p>
      <w:pPr>
        <w:ind w:left="2020" w:right="379" w:hanging="648"/>
        <w:spacing w:after="0" w:line="239" w:lineRule="auto"/>
        <w:tabs>
          <w:tab w:leader="none" w:pos="201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secure the compliance by the Borrower with its obligations to the Bank under the Transaction Documents and any proprietary interests of the Bank under the Transaction Documents; and</w:t>
      </w:r>
    </w:p>
    <w:p>
      <w:pPr>
        <w:spacing w:after="0" w:line="1" w:lineRule="exact"/>
        <w:rPr>
          <w:rFonts w:ascii="Times New Roman" w:cs="Times New Roman" w:eastAsia="Times New Roman" w:hAnsi="Times New Roman"/>
          <w:sz w:val="20"/>
          <w:szCs w:val="20"/>
          <w:color w:val="auto"/>
        </w:rPr>
      </w:pPr>
    </w:p>
    <w:p>
      <w:pPr>
        <w:ind w:left="2020" w:right="399" w:hanging="648"/>
        <w:spacing w:after="0" w:line="246" w:lineRule="auto"/>
        <w:tabs>
          <w:tab w:leader="none" w:pos="2019"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valuable consideration (receipt of which is acknowledged) which includes entry into of this document by the Bank at the Borrower’s request.</w:t>
      </w:r>
    </w:p>
    <w:p>
      <w:pPr>
        <w:spacing w:after="0" w:line="186"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9"/>
          <w:szCs w:val="29"/>
          <w:color w:val="auto"/>
        </w:rPr>
        <w:t>18</w:t>
      </w:r>
      <w:r>
        <w:rPr>
          <w:sz w:val="20"/>
          <w:szCs w:val="20"/>
          <w:color w:val="auto"/>
        </w:rPr>
        <w:tab/>
      </w:r>
      <w:r>
        <w:rPr>
          <w:rFonts w:ascii="Times New Roman" w:cs="Times New Roman" w:eastAsia="Times New Roman" w:hAnsi="Times New Roman"/>
          <w:sz w:val="29"/>
          <w:szCs w:val="29"/>
          <w:color w:val="auto"/>
        </w:rPr>
        <w:t>General</w:t>
      </w:r>
    </w:p>
    <w:p>
      <w:pPr>
        <w:spacing w:after="0" w:line="4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18.1</w:t>
      </w:r>
      <w:r>
        <w:rPr>
          <w:sz w:val="20"/>
          <w:szCs w:val="20"/>
          <w:color w:val="auto"/>
        </w:rPr>
        <w:tab/>
      </w:r>
      <w:r>
        <w:rPr>
          <w:rFonts w:ascii="Times New Roman" w:cs="Times New Roman" w:eastAsia="Times New Roman" w:hAnsi="Times New Roman"/>
          <w:sz w:val="21"/>
          <w:szCs w:val="21"/>
          <w:b w:val="1"/>
          <w:bCs w:val="1"/>
          <w:color w:val="auto"/>
        </w:rPr>
        <w:t>Set-off</w:t>
      </w:r>
    </w:p>
    <w:p>
      <w:pPr>
        <w:sectPr>
          <w:pgSz w:w="11900" w:h="16913" w:orient="portrait"/>
          <w:cols w:equalWidth="0" w:num="1">
            <w:col w:w="9019"/>
          </w:cols>
          <w:pgMar w:left="1440" w:top="118" w:right="1440" w:bottom="0" w:gutter="0" w:footer="0" w:header="0"/>
        </w:sectPr>
      </w:pPr>
    </w:p>
    <w:p>
      <w:pPr>
        <w:spacing w:after="0" w:line="9" w:lineRule="exact"/>
        <w:rPr>
          <w:sz w:val="20"/>
          <w:szCs w:val="20"/>
          <w:color w:val="auto"/>
        </w:rPr>
      </w:pPr>
    </w:p>
    <w:p>
      <w:pPr>
        <w:jc w:val="both"/>
        <w:ind w:left="720" w:right="179"/>
        <w:spacing w:after="0" w:line="243" w:lineRule="auto"/>
        <w:rPr>
          <w:sz w:val="20"/>
          <w:szCs w:val="20"/>
          <w:color w:val="auto"/>
        </w:rPr>
      </w:pPr>
      <w:r>
        <w:rPr>
          <w:rFonts w:ascii="Times New Roman" w:cs="Times New Roman" w:eastAsia="Times New Roman" w:hAnsi="Times New Roman"/>
          <w:sz w:val="20"/>
          <w:szCs w:val="20"/>
          <w:color w:val="auto"/>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p>
    <w:p>
      <w:pPr>
        <w:sectPr>
          <w:pgSz w:w="11900" w:h="16913" w:orient="portrait"/>
          <w:cols w:equalWidth="0" w:num="1">
            <w:col w:w="9019"/>
          </w:cols>
          <w:pgMar w:left="1440" w:top="118" w:right="1440" w:bottom="0" w:gutter="0" w:footer="0" w:header="0"/>
          <w:type w:val="continuous"/>
        </w:sectPr>
      </w:pPr>
    </w:p>
    <w:bookmarkStart w:id="88" w:name="page89"/>
    <w:bookmarkEnd w:id="88"/>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18.2</w:t>
      </w:r>
      <w:r>
        <w:rPr>
          <w:sz w:val="20"/>
          <w:szCs w:val="20"/>
          <w:color w:val="auto"/>
        </w:rPr>
        <w:tab/>
      </w:r>
      <w:r>
        <w:rPr>
          <w:rFonts w:ascii="Times New Roman" w:cs="Times New Roman" w:eastAsia="Times New Roman" w:hAnsi="Times New Roman"/>
          <w:sz w:val="21"/>
          <w:szCs w:val="21"/>
          <w:b w:val="1"/>
          <w:bCs w:val="1"/>
          <w:color w:val="auto"/>
        </w:rPr>
        <w:t>Bank’s certificate</w:t>
      </w:r>
    </w:p>
    <w:p>
      <w:pPr>
        <w:spacing w:after="0" w:line="33" w:lineRule="exact"/>
        <w:rPr>
          <w:sz w:val="20"/>
          <w:szCs w:val="20"/>
          <w:color w:val="auto"/>
        </w:rPr>
      </w:pPr>
    </w:p>
    <w:p>
      <w:pPr>
        <w:ind w:left="1380" w:right="119" w:hanging="656"/>
        <w:spacing w:after="0" w:line="239" w:lineRule="auto"/>
        <w:tabs>
          <w:tab w:leader="none" w:pos="1411"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by the Bank relating to any amount owing under a Transaction Document or as to its opinion in relation to any matter under any Transaction Document is prima facie evidence against the Borrower of the matters certified unless proven incorrect or there is a manifest error.</w:t>
      </w:r>
    </w:p>
    <w:p>
      <w:pPr>
        <w:spacing w:after="0" w:line="2" w:lineRule="exact"/>
        <w:rPr>
          <w:rFonts w:ascii="Times New Roman" w:cs="Times New Roman" w:eastAsia="Times New Roman" w:hAnsi="Times New Roman"/>
          <w:sz w:val="20"/>
          <w:szCs w:val="20"/>
          <w:color w:val="auto"/>
        </w:rPr>
      </w:pPr>
    </w:p>
    <w:p>
      <w:pPr>
        <w:ind w:left="1380" w:right="79" w:hanging="656"/>
        <w:spacing w:after="0" w:line="239" w:lineRule="auto"/>
        <w:tabs>
          <w:tab w:leader="none" w:pos="142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is not obliged to give the reasons for its determination or opinion in relation to any matter under any Transaction Document. Any certification, determination or opinion relating to an amount must contain reasonable detail as to how the amount was calculated.</w:t>
      </w:r>
    </w:p>
    <w:p>
      <w:pPr>
        <w:spacing w:after="0" w:line="1" w:lineRule="exact"/>
        <w:rPr>
          <w:rFonts w:ascii="Times New Roman" w:cs="Times New Roman" w:eastAsia="Times New Roman" w:hAnsi="Times New Roman"/>
          <w:sz w:val="20"/>
          <w:szCs w:val="20"/>
          <w:color w:val="auto"/>
        </w:rPr>
      </w:pPr>
    </w:p>
    <w:p>
      <w:pPr>
        <w:ind w:left="1380" w:right="239" w:hanging="656"/>
        <w:spacing w:after="0" w:line="242" w:lineRule="auto"/>
        <w:tabs>
          <w:tab w:leader="none" w:pos="1411"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or an opinion of an Authorised Representative of the Bank which is given to the Borrower or otherwise expressed or acted on by the Bank as being a determination or an opinion of the Bank will be deemed to be a determination or opinion of the Bank.</w:t>
      </w:r>
    </w:p>
    <w:p>
      <w:pPr>
        <w:spacing w:after="0" w:line="192"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18.3</w:t>
      </w:r>
      <w:r>
        <w:rPr>
          <w:sz w:val="20"/>
          <w:szCs w:val="20"/>
          <w:color w:val="auto"/>
        </w:rPr>
        <w:tab/>
      </w:r>
      <w:r>
        <w:rPr>
          <w:rFonts w:ascii="Times New Roman" w:cs="Times New Roman" w:eastAsia="Times New Roman" w:hAnsi="Times New Roman"/>
          <w:sz w:val="21"/>
          <w:szCs w:val="21"/>
          <w:b w:val="1"/>
          <w:bCs w:val="1"/>
          <w:color w:val="auto"/>
        </w:rPr>
        <w:t>Supervening legislation</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Any present or future legislation which operates:</w:t>
      </w:r>
    </w:p>
    <w:p>
      <w:pPr>
        <w:spacing w:after="0" w:line="14" w:lineRule="exact"/>
        <w:rPr>
          <w:sz w:val="20"/>
          <w:szCs w:val="20"/>
          <w:color w:val="auto"/>
        </w:rPr>
      </w:pPr>
    </w:p>
    <w:p>
      <w:pPr>
        <w:ind w:left="1380" w:right="699" w:hanging="656"/>
        <w:spacing w:after="0" w:line="239" w:lineRule="auto"/>
        <w:tabs>
          <w:tab w:leader="none" w:pos="141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lessen or vary in favour of the Borrower any of its obligations in connection with the Transaction Documents; or</w:t>
      </w:r>
    </w:p>
    <w:p>
      <w:pPr>
        <w:ind w:left="720" w:right="199" w:firstLine="4"/>
        <w:spacing w:after="0" w:line="271" w:lineRule="auto"/>
        <w:tabs>
          <w:tab w:leader="none" w:pos="141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postpone, stay, suspend or curtail any rights of the Bank under the Transaction Documents, is excluded except to the extent that its exclusion is prohibited or rendered ineffective by law.</w:t>
      </w:r>
    </w:p>
    <w:p>
      <w:pPr>
        <w:spacing w:after="0" w:line="16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18.4</w:t>
      </w:r>
      <w:r>
        <w:rPr>
          <w:sz w:val="20"/>
          <w:szCs w:val="20"/>
          <w:color w:val="auto"/>
        </w:rPr>
        <w:tab/>
      </w:r>
      <w:r>
        <w:rPr>
          <w:rFonts w:ascii="Times New Roman" w:cs="Times New Roman" w:eastAsia="Times New Roman" w:hAnsi="Times New Roman"/>
          <w:sz w:val="21"/>
          <w:szCs w:val="21"/>
          <w:b w:val="1"/>
          <w:bCs w:val="1"/>
          <w:color w:val="auto"/>
        </w:rPr>
        <w:t>Time of the essence</w:t>
      </w:r>
    </w:p>
    <w:p>
      <w:pPr>
        <w:spacing w:after="0" w:line="33" w:lineRule="exact"/>
        <w:rPr>
          <w:sz w:val="20"/>
          <w:szCs w:val="20"/>
          <w:color w:val="auto"/>
        </w:rPr>
      </w:pPr>
    </w:p>
    <w:p>
      <w:pPr>
        <w:ind w:left="720" w:right="479"/>
        <w:spacing w:after="0" w:line="243" w:lineRule="auto"/>
        <w:rPr>
          <w:sz w:val="20"/>
          <w:szCs w:val="20"/>
          <w:color w:val="auto"/>
        </w:rPr>
      </w:pPr>
      <w:r>
        <w:rPr>
          <w:rFonts w:ascii="Times New Roman" w:cs="Times New Roman" w:eastAsia="Times New Roman" w:hAnsi="Times New Roman"/>
          <w:sz w:val="20"/>
          <w:szCs w:val="20"/>
          <w:color w:val="auto"/>
        </w:rPr>
        <w:t>Time is of the essence as regards any obligations of the Borrower or any date or period determined under the Transaction Documents, and if any date or period is altered by agreement between the parties, time is of the essence as regards such altered date or period.</w:t>
      </w:r>
    </w:p>
    <w:p>
      <w:pPr>
        <w:spacing w:after="0" w:line="189"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18.5</w:t>
      </w:r>
      <w:r>
        <w:rPr>
          <w:sz w:val="20"/>
          <w:szCs w:val="20"/>
          <w:color w:val="auto"/>
        </w:rPr>
        <w:tab/>
      </w:r>
      <w:r>
        <w:rPr>
          <w:rFonts w:ascii="Times New Roman" w:cs="Times New Roman" w:eastAsia="Times New Roman" w:hAnsi="Times New Roman"/>
          <w:sz w:val="21"/>
          <w:szCs w:val="21"/>
          <w:b w:val="1"/>
          <w:bCs w:val="1"/>
          <w:color w:val="auto"/>
        </w:rPr>
        <w:t>Business Days</w:t>
      </w:r>
    </w:p>
    <w:p>
      <w:pPr>
        <w:spacing w:after="0" w:line="33" w:lineRule="exact"/>
        <w:rPr>
          <w:sz w:val="20"/>
          <w:szCs w:val="20"/>
          <w:color w:val="auto"/>
        </w:rPr>
      </w:pPr>
    </w:p>
    <w:p>
      <w:pPr>
        <w:ind w:left="1380" w:right="239" w:hanging="656"/>
        <w:spacing w:after="0" w:line="239" w:lineRule="auto"/>
        <w:tabs>
          <w:tab w:leader="none" w:pos="141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day on or by which anything, other than making a payment, must be done by the Borrower under a Transaction Document is not a Business Day, that thing must be done on or by the preceding Business Day.</w:t>
      </w:r>
    </w:p>
    <w:p>
      <w:pPr>
        <w:spacing w:after="0" w:line="2" w:lineRule="exact"/>
        <w:rPr>
          <w:rFonts w:ascii="Times New Roman" w:cs="Times New Roman" w:eastAsia="Times New Roman" w:hAnsi="Times New Roman"/>
          <w:sz w:val="20"/>
          <w:szCs w:val="20"/>
          <w:color w:val="auto"/>
        </w:rPr>
      </w:pPr>
    </w:p>
    <w:p>
      <w:pPr>
        <w:jc w:val="both"/>
        <w:ind w:left="1380" w:right="299" w:hanging="656"/>
        <w:spacing w:after="0" w:line="239" w:lineRule="auto"/>
        <w:tabs>
          <w:tab w:leader="none" w:pos="1422"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would otherwise be due on a day which is not a Business Day it will be due on the immediately following Business Day. However, if this would result in the payment being due in the month after the original due day or after the Termination Date it will be due on the immediately preceding Business Day.</w:t>
      </w:r>
    </w:p>
    <w:p>
      <w:pPr>
        <w:spacing w:after="0" w:line="1" w:lineRule="exact"/>
        <w:rPr>
          <w:rFonts w:ascii="Times New Roman" w:cs="Times New Roman" w:eastAsia="Times New Roman" w:hAnsi="Times New Roman"/>
          <w:sz w:val="20"/>
          <w:szCs w:val="20"/>
          <w:color w:val="auto"/>
        </w:rPr>
      </w:pPr>
    </w:p>
    <w:p>
      <w:pPr>
        <w:ind w:left="1380" w:right="279" w:hanging="656"/>
        <w:spacing w:after="0" w:line="239" w:lineRule="auto"/>
        <w:tabs>
          <w:tab w:leader="none" w:pos="141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anything, including making a payment, is to be done by the Borrower on or by a particular day and it is done:</w:t>
      </w:r>
    </w:p>
    <w:p>
      <w:pPr>
        <w:ind w:left="2020" w:right="99" w:hanging="648"/>
        <w:spacing w:after="0" w:line="239" w:lineRule="auto"/>
        <w:tabs>
          <w:tab w:leader="none" w:pos="201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time by which a Transaction Document states it must be done or, if the Transaction Document does not state a time, after 4.00 pm in the place where it is to be done; or</w:t>
      </w:r>
    </w:p>
    <w:p>
      <w:pPr>
        <w:spacing w:after="0" w:line="1"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day which is not a Business Day,</w:t>
      </w:r>
    </w:p>
    <w:p>
      <w:pPr>
        <w:ind w:left="1380"/>
        <w:spacing w:after="0"/>
        <w:rPr>
          <w:sz w:val="20"/>
          <w:szCs w:val="20"/>
          <w:color w:val="auto"/>
        </w:rPr>
      </w:pPr>
      <w:r>
        <w:rPr>
          <w:rFonts w:ascii="Times New Roman" w:cs="Times New Roman" w:eastAsia="Times New Roman" w:hAnsi="Times New Roman"/>
          <w:sz w:val="20"/>
          <w:szCs w:val="20"/>
          <w:color w:val="auto"/>
        </w:rPr>
        <w:t>it will be deemed to have been done at 9.00 am on the next Business Day.</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18.6</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33" w:lineRule="exact"/>
        <w:rPr>
          <w:sz w:val="20"/>
          <w:szCs w:val="20"/>
          <w:color w:val="auto"/>
        </w:rPr>
      </w:pPr>
    </w:p>
    <w:p>
      <w:pPr>
        <w:ind w:left="1380" w:right="139" w:hanging="656"/>
        <w:spacing w:after="0" w:line="244" w:lineRule="auto"/>
        <w:tabs>
          <w:tab w:leader="none" w:pos="141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must keep any information or document relating to a Transaction Party confidential. However, the Bank may disclose to any person any information or document relating to a Transaction Party:</w:t>
      </w:r>
    </w:p>
    <w:p>
      <w:pPr>
        <w:spacing w:after="0" w:line="1" w:lineRule="exact"/>
        <w:rPr>
          <w:rFonts w:ascii="Times New Roman" w:cs="Times New Roman" w:eastAsia="Times New Roman" w:hAnsi="Times New Roman"/>
          <w:sz w:val="20"/>
          <w:szCs w:val="20"/>
          <w:color w:val="auto"/>
        </w:rPr>
      </w:pPr>
    </w:p>
    <w:p>
      <w:pPr>
        <w:ind w:left="2020" w:hanging="648"/>
        <w:spacing w:after="0"/>
        <w:tabs>
          <w:tab w:leader="none" w:pos="202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permitted in a Transaction Document;</w:t>
      </w:r>
    </w:p>
    <w:p>
      <w:pPr>
        <w:ind w:left="2020" w:hanging="648"/>
        <w:spacing w:after="0"/>
        <w:tabs>
          <w:tab w:leader="none" w:pos="202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another party to a Transaction Document;</w:t>
      </w:r>
    </w:p>
    <w:p>
      <w:pPr>
        <w:jc w:val="both"/>
        <w:ind w:left="2020" w:right="159" w:hanging="648"/>
        <w:spacing w:after="0" w:line="252" w:lineRule="auto"/>
        <w:tabs>
          <w:tab w:leader="none" w:pos="202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 potential transferee, assignee, participant or sub-participant of the Bank’s interests under a Transaction Document or to any other person who is considering entering into contractual relations with it in connection with a Transaction Document;</w:t>
      </w:r>
    </w:p>
    <w:p>
      <w:pPr>
        <w:ind w:left="2020" w:right="279" w:hanging="648"/>
        <w:spacing w:after="0" w:line="239" w:lineRule="auto"/>
        <w:tabs>
          <w:tab w:leader="none" w:pos="206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Bank’s related bodies corporate and shareholders, or to any employee, banker, lawyer, auditor or other consultant of the Bank, its related bodies corporate or its shareholders;</w:t>
      </w:r>
    </w:p>
    <w:p>
      <w:pPr>
        <w:spacing w:after="0" w:line="1" w:lineRule="exact"/>
        <w:rPr>
          <w:rFonts w:ascii="Times New Roman" w:cs="Times New Roman" w:eastAsia="Times New Roman" w:hAnsi="Times New Roman"/>
          <w:sz w:val="20"/>
          <w:szCs w:val="20"/>
          <w:color w:val="auto"/>
        </w:rPr>
      </w:pPr>
    </w:p>
    <w:p>
      <w:pPr>
        <w:ind w:left="2020" w:right="379" w:hanging="648"/>
        <w:spacing w:after="0" w:line="239" w:lineRule="auto"/>
        <w:tabs>
          <w:tab w:leader="none" w:pos="2062"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professional advisers or consultants of any party involved in connection with any Facility who are bound by a duty or obligation of confidence;</w:t>
      </w:r>
    </w:p>
    <w:p>
      <w:pPr>
        <w:ind w:left="2060" w:hanging="688"/>
        <w:spacing w:after="0"/>
        <w:tabs>
          <w:tab w:leader="none" w:pos="206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law or by any Government Body or stock exchange;</w:t>
      </w:r>
    </w:p>
    <w:p>
      <w:pPr>
        <w:ind w:left="2020" w:right="519" w:hanging="648"/>
        <w:spacing w:after="0" w:line="239" w:lineRule="auto"/>
        <w:tabs>
          <w:tab w:leader="none" w:pos="206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legal proceedings relating to a Transaction Document or a document delivered under or in relation to a Transaction Document;</w:t>
      </w:r>
    </w:p>
    <w:p>
      <w:pPr>
        <w:ind w:left="2060" w:hanging="688"/>
        <w:spacing w:after="0"/>
        <w:tabs>
          <w:tab w:leader="none" w:pos="206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information or document is in the public domain; or</w:t>
      </w:r>
    </w:p>
    <w:p>
      <w:pPr>
        <w:ind w:left="2020" w:right="719" w:hanging="648"/>
        <w:spacing w:after="0" w:line="239" w:lineRule="auto"/>
        <w:tabs>
          <w:tab w:leader="none" w:pos="206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Borrower (which must not be unreasonably withheld or delayed).</w:t>
      </w:r>
    </w:p>
    <w:p>
      <w:pPr>
        <w:ind w:left="1380" w:right="319" w:hanging="656"/>
        <w:spacing w:after="0" w:line="239" w:lineRule="auto"/>
        <w:tabs>
          <w:tab w:leader="none" w:pos="142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color w:val="auto"/>
        </w:rPr>
        <w:t>paragraph (c</w:t>
      </w:r>
      <w:r>
        <w:rPr>
          <w:rFonts w:ascii="Times New Roman" w:cs="Times New Roman" w:eastAsia="Times New Roman" w:hAnsi="Times New Roman"/>
          <w:sz w:val="20"/>
          <w:szCs w:val="20"/>
          <w:color w:val="auto"/>
        </w:rPr>
        <w:t>), the Transaction Parties shall keep confidential and not disclose to any other person the terms of the Transaction Documents.</w:t>
      </w:r>
    </w:p>
    <w:p>
      <w:pPr>
        <w:ind w:left="1380" w:right="99" w:hanging="656"/>
        <w:spacing w:after="0" w:line="239" w:lineRule="auto"/>
        <w:tabs>
          <w:tab w:leader="none" w:pos="141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However, the Transaction Parties and any officers or employees of each Transaction Party may disclose such information:</w:t>
      </w:r>
    </w:p>
    <w:p>
      <w:pPr>
        <w:ind w:left="2020" w:hanging="648"/>
        <w:spacing w:after="0"/>
        <w:tabs>
          <w:tab w:leader="none" w:pos="202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written consent of the Bank;</w:t>
      </w:r>
    </w:p>
    <w:p>
      <w:pPr>
        <w:ind w:left="2020" w:hanging="648"/>
        <w:spacing w:after="0"/>
        <w:tabs>
          <w:tab w:leader="none" w:pos="202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by any applicable law or regulation;</w:t>
      </w:r>
    </w:p>
    <w:p>
      <w:pPr>
        <w:ind w:left="2020" w:right="979" w:hanging="648"/>
        <w:spacing w:after="0" w:line="239" w:lineRule="auto"/>
        <w:tabs>
          <w:tab w:leader="none" w:pos="202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it reasonably deems necessary in connection with any actual or contemplated proceedings or a claim with respect to this </w:t>
      </w:r>
      <w:r>
        <w:rPr>
          <w:rFonts w:ascii="Times New Roman" w:cs="Times New Roman" w:eastAsia="Times New Roman" w:hAnsi="Times New Roman"/>
          <w:sz w:val="20"/>
          <w:szCs w:val="20"/>
          <w:b w:val="1"/>
          <w:bCs w:val="1"/>
          <w:color w:val="auto"/>
        </w:rPr>
        <w:t>clause 18.6</w:t>
      </w:r>
      <w:r>
        <w:rPr>
          <w:rFonts w:ascii="Times New Roman" w:cs="Times New Roman" w:eastAsia="Times New Roman" w:hAnsi="Times New Roman"/>
          <w:sz w:val="20"/>
          <w:szCs w:val="20"/>
          <w:color w:val="auto"/>
        </w:rPr>
        <w:t>; or</w:t>
      </w:r>
    </w:p>
    <w:p>
      <w:pPr>
        <w:ind w:left="2020" w:right="199" w:hanging="648"/>
        <w:spacing w:after="0" w:line="271" w:lineRule="auto"/>
        <w:tabs>
          <w:tab w:leader="none" w:pos="2063"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w:t>
      </w:r>
      <w:r>
        <w:rPr>
          <w:rFonts w:ascii="Times New Roman" w:cs="Times New Roman" w:eastAsia="Times New Roman" w:hAnsi="Times New Roman"/>
          <w:sz w:val="19"/>
          <w:szCs w:val="19"/>
          <w:b w:val="1"/>
          <w:bCs w:val="1"/>
          <w:color w:val="auto"/>
        </w:rPr>
        <w:t>clause 18.6(a)</w:t>
      </w:r>
      <w:r>
        <w:rPr>
          <w:rFonts w:ascii="Times New Roman" w:cs="Times New Roman" w:eastAsia="Times New Roman" w:hAnsi="Times New Roman"/>
          <w:sz w:val="19"/>
          <w:szCs w:val="19"/>
          <w:color w:val="auto"/>
        </w:rPr>
        <w:t xml:space="preserve"> (other than paragraph (iii)) as if each reference in that clause to the ‘Bank’ were to a ‘Transaction Party’ and each reference</w:t>
      </w:r>
    </w:p>
    <w:p>
      <w:pPr>
        <w:sectPr>
          <w:pgSz w:w="11900" w:h="16838" w:orient="portrait"/>
          <w:cols w:equalWidth="0" w:num="1">
            <w:col w:w="9019"/>
          </w:cols>
          <w:pgMar w:left="1440" w:top="338" w:right="1440" w:bottom="0" w:gutter="0" w:footer="0" w:header="0"/>
        </w:sectPr>
      </w:pPr>
    </w:p>
    <w:bookmarkStart w:id="89" w:name="page90"/>
    <w:bookmarkEnd w:id="89"/>
    <w:p>
      <w:pPr>
        <w:ind w:left="2020"/>
        <w:spacing w:after="0"/>
        <w:rPr>
          <w:sz w:val="20"/>
          <w:szCs w:val="20"/>
          <w:color w:val="auto"/>
        </w:rPr>
      </w:pPr>
      <w:r>
        <w:rPr>
          <w:rFonts w:ascii="Times New Roman" w:cs="Times New Roman" w:eastAsia="Times New Roman" w:hAnsi="Times New Roman"/>
          <w:sz w:val="20"/>
          <w:szCs w:val="20"/>
          <w:color w:val="auto"/>
        </w:rPr>
        <w:t>to the ‘Borrower’ were to the ‘Bank’; or</w:t>
      </w:r>
    </w:p>
    <w:p>
      <w:pPr>
        <w:spacing w:after="0" w:line="21" w:lineRule="exact"/>
        <w:rPr>
          <w:sz w:val="20"/>
          <w:szCs w:val="20"/>
          <w:color w:val="auto"/>
        </w:rPr>
      </w:pPr>
    </w:p>
    <w:p>
      <w:pPr>
        <w:ind w:left="2020" w:right="159" w:hanging="648"/>
        <w:spacing w:after="0" w:line="242" w:lineRule="auto"/>
        <w:tabs>
          <w:tab w:leader="none" w:pos="2062"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Reading International, Inc. or any other holding company of a Transaction Party (who in turn may disclose such information to their officers or employees or to the extent required by any applicable law or regulation or rule of any stock exchange).</w:t>
      </w:r>
    </w:p>
    <w:p>
      <w:pPr>
        <w:spacing w:after="0" w:line="200"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and the Transaction Parties agree that:</w:t>
      </w:r>
    </w:p>
    <w:p>
      <w:pPr>
        <w:spacing w:after="0" w:line="21" w:lineRule="exact"/>
        <w:rPr>
          <w:rFonts w:ascii="Times New Roman" w:cs="Times New Roman" w:eastAsia="Times New Roman" w:hAnsi="Times New Roman"/>
          <w:sz w:val="20"/>
          <w:szCs w:val="20"/>
          <w:color w:val="auto"/>
        </w:rPr>
      </w:pPr>
    </w:p>
    <w:p>
      <w:pPr>
        <w:ind w:left="2020" w:right="359" w:hanging="648"/>
        <w:spacing w:after="0" w:line="239" w:lineRule="auto"/>
        <w:tabs>
          <w:tab w:leader="none" w:pos="2018"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of them will disclose information of the kind mentioned in section 275(1) of the PPS Act; and</w:t>
      </w:r>
    </w:p>
    <w:p>
      <w:pPr>
        <w:ind w:left="2020" w:hanging="648"/>
        <w:spacing w:after="0"/>
        <w:tabs>
          <w:tab w:leader="none" w:pos="202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document does not create a Security Interest.</w:t>
      </w:r>
    </w:p>
    <w:p>
      <w:pPr>
        <w:ind w:left="1400" w:hanging="676"/>
        <w:spacing w:after="0"/>
        <w:tabs>
          <w:tab w:leader="none" w:pos="14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clause 18.6</w:t>
      </w:r>
      <w:r>
        <w:rPr>
          <w:rFonts w:ascii="Times New Roman" w:cs="Times New Roman" w:eastAsia="Times New Roman" w:hAnsi="Times New Roman"/>
          <w:sz w:val="20"/>
          <w:szCs w:val="20"/>
          <w:color w:val="auto"/>
        </w:rPr>
        <w:t xml:space="preserve"> survives the termination of this document.</w:t>
      </w:r>
    </w:p>
    <w:p>
      <w:pPr>
        <w:ind w:left="1380" w:hanging="656"/>
        <w:spacing w:after="0"/>
        <w:tabs>
          <w:tab w:leader="none" w:pos="138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acknowledges that:</w:t>
      </w:r>
    </w:p>
    <w:p>
      <w:pPr>
        <w:ind w:left="2020" w:right="419" w:hanging="648"/>
        <w:spacing w:after="0" w:line="239" w:lineRule="auto"/>
        <w:tabs>
          <w:tab w:leader="none" w:pos="2018"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provided from time to time by the Transaction Parties to the Bank may constitute confidential non-public information; and</w:t>
      </w:r>
    </w:p>
    <w:p>
      <w:pPr>
        <w:spacing w:after="0" w:line="1" w:lineRule="exact"/>
        <w:rPr>
          <w:sz w:val="20"/>
          <w:szCs w:val="20"/>
          <w:color w:val="auto"/>
        </w:rPr>
      </w:pPr>
    </w:p>
    <w:p>
      <w:pPr>
        <w:ind w:left="2020" w:right="139" w:hanging="648"/>
        <w:spacing w:after="0" w:line="239" w:lineRule="auto"/>
        <w:tabs>
          <w:tab w:leader="none" w:pos="2019"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trading in marketable securities of Reading International Inc while in possession of the information referred </w:t>
      </w:r>
      <w:r>
        <w:rPr>
          <w:rFonts w:ascii="Times New Roman" w:cs="Times New Roman" w:eastAsia="Times New Roman" w:hAnsi="Times New Roman"/>
          <w:sz w:val="20"/>
          <w:szCs w:val="20"/>
          <w:b w:val="1"/>
          <w:bCs w:val="1"/>
          <w:color w:val="auto"/>
        </w:rPr>
        <w:t>to clause 18.6(f)(i</w:t>
      </w:r>
      <w:r>
        <w:rPr>
          <w:rFonts w:ascii="Times New Roman" w:cs="Times New Roman" w:eastAsia="Times New Roman" w:hAnsi="Times New Roman"/>
          <w:sz w:val="20"/>
          <w:szCs w:val="20"/>
          <w:color w:val="auto"/>
        </w:rPr>
        <w:t>) will violate United States' federal securities laws.</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agrees to:</w:t>
      </w:r>
    </w:p>
    <w:p>
      <w:pPr>
        <w:ind w:left="2020" w:right="219" w:hanging="648"/>
        <w:spacing w:after="0" w:line="239" w:lineRule="auto"/>
        <w:tabs>
          <w:tab w:leader="none" w:pos="2018"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reasonable precautions to maintain the confidentiality of the information referred to in </w:t>
      </w:r>
      <w:r>
        <w:rPr>
          <w:rFonts w:ascii="Times New Roman" w:cs="Times New Roman" w:eastAsia="Times New Roman" w:hAnsi="Times New Roman"/>
          <w:sz w:val="20"/>
          <w:szCs w:val="20"/>
          <w:b w:val="1"/>
          <w:bCs w:val="1"/>
          <w:color w:val="auto"/>
        </w:rPr>
        <w:t>clause 18.6(f)(i);</w:t>
      </w:r>
      <w:r>
        <w:rPr>
          <w:rFonts w:ascii="Times New Roman" w:cs="Times New Roman" w:eastAsia="Times New Roman" w:hAnsi="Times New Roman"/>
          <w:sz w:val="20"/>
          <w:szCs w:val="20"/>
          <w:color w:val="auto"/>
        </w:rPr>
        <w:t xml:space="preserve"> and</w:t>
      </w:r>
    </w:p>
    <w:p>
      <w:pPr>
        <w:spacing w:after="0" w:line="1" w:lineRule="exact"/>
        <w:rPr>
          <w:sz w:val="20"/>
          <w:szCs w:val="20"/>
          <w:color w:val="auto"/>
        </w:rPr>
      </w:pPr>
    </w:p>
    <w:p>
      <w:pPr>
        <w:ind w:left="2020" w:right="199" w:hanging="648"/>
        <w:spacing w:after="0" w:line="239" w:lineRule="auto"/>
        <w:tabs>
          <w:tab w:leader="none" w:pos="2019"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advise any party to whom the information referred to in </w:t>
      </w:r>
      <w:r>
        <w:rPr>
          <w:rFonts w:ascii="Times New Roman" w:cs="Times New Roman" w:eastAsia="Times New Roman" w:hAnsi="Times New Roman"/>
          <w:sz w:val="20"/>
          <w:szCs w:val="20"/>
          <w:b w:val="1"/>
          <w:bCs w:val="1"/>
          <w:color w:val="auto"/>
        </w:rPr>
        <w:t>clause 18.6(f)(i)</w:t>
      </w:r>
      <w:r>
        <w:rPr>
          <w:rFonts w:ascii="Times New Roman" w:cs="Times New Roman" w:eastAsia="Times New Roman" w:hAnsi="Times New Roman"/>
          <w:sz w:val="20"/>
          <w:szCs w:val="20"/>
          <w:color w:val="auto"/>
        </w:rPr>
        <w:t xml:space="preserve"> is disclosed that it may not trade in the marketable securities of Reading International Inc while in the possession of such information.</w:t>
      </w:r>
    </w:p>
    <w:p>
      <w:pPr>
        <w:spacing w:after="0" w:line="1" w:lineRule="exact"/>
        <w:rPr>
          <w:rFonts w:ascii="Times New Roman" w:cs="Times New Roman" w:eastAsia="Times New Roman" w:hAnsi="Times New Roman"/>
          <w:sz w:val="20"/>
          <w:szCs w:val="20"/>
          <w:color w:val="auto"/>
        </w:rPr>
      </w:pPr>
    </w:p>
    <w:p>
      <w:pPr>
        <w:ind w:left="1380" w:right="119" w:hanging="656"/>
        <w:spacing w:after="0" w:line="246" w:lineRule="auto"/>
        <w:tabs>
          <w:tab w:leader="none" w:pos="142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clause 18.6</w:t>
      </w:r>
      <w:r>
        <w:rPr>
          <w:rFonts w:ascii="Times New Roman" w:cs="Times New Roman" w:eastAsia="Times New Roman" w:hAnsi="Times New Roman"/>
          <w:sz w:val="20"/>
          <w:szCs w:val="20"/>
          <w:color w:val="auto"/>
        </w:rPr>
        <w:t xml:space="preserve"> will not be deemed to restrict the provision of information by any party to the Internal Revenue Service of the United States of America.</w:t>
      </w:r>
    </w:p>
    <w:p>
      <w:pPr>
        <w:spacing w:after="0" w:line="18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18.7</w:t>
      </w:r>
      <w:r>
        <w:rPr>
          <w:sz w:val="20"/>
          <w:szCs w:val="20"/>
          <w:color w:val="auto"/>
        </w:rPr>
        <w:tab/>
      </w:r>
      <w:r>
        <w:rPr>
          <w:rFonts w:ascii="Times New Roman" w:cs="Times New Roman" w:eastAsia="Times New Roman" w:hAnsi="Times New Roman"/>
          <w:sz w:val="21"/>
          <w:szCs w:val="21"/>
          <w:b w:val="1"/>
          <w:bCs w:val="1"/>
          <w:color w:val="auto"/>
        </w:rPr>
        <w:t>Exchange rate</w:t>
      </w:r>
    </w:p>
    <w:p>
      <w:pPr>
        <w:spacing w:after="0" w:line="33" w:lineRule="exact"/>
        <w:rPr>
          <w:sz w:val="20"/>
          <w:szCs w:val="20"/>
          <w:color w:val="auto"/>
        </w:rPr>
      </w:pPr>
    </w:p>
    <w:p>
      <w:pPr>
        <w:ind w:left="720" w:right="439"/>
        <w:spacing w:after="0" w:line="243" w:lineRule="auto"/>
        <w:rPr>
          <w:sz w:val="20"/>
          <w:szCs w:val="20"/>
          <w:color w:val="auto"/>
        </w:rPr>
      </w:pPr>
      <w:r>
        <w:rPr>
          <w:rFonts w:ascii="Times New Roman" w:cs="Times New Roman" w:eastAsia="Times New Roman" w:hAnsi="Times New Roman"/>
          <w:sz w:val="20"/>
          <w:szCs w:val="20"/>
          <w:color w:val="auto"/>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p>
    <w:p>
      <w:pPr>
        <w:spacing w:after="0" w:line="189"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18.8</w:t>
      </w:r>
      <w:r>
        <w:rPr>
          <w:sz w:val="20"/>
          <w:szCs w:val="20"/>
          <w:color w:val="auto"/>
        </w:rPr>
        <w:tab/>
      </w:r>
      <w:r>
        <w:rPr>
          <w:rFonts w:ascii="Times New Roman" w:cs="Times New Roman" w:eastAsia="Times New Roman" w:hAnsi="Times New Roman"/>
          <w:sz w:val="21"/>
          <w:szCs w:val="21"/>
          <w:b w:val="1"/>
          <w:bCs w:val="1"/>
          <w:color w:val="auto"/>
        </w:rPr>
        <w:t>Records as evidence</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Bank may maintain records specifying:</w:t>
      </w:r>
    </w:p>
    <w:p>
      <w:pPr>
        <w:spacing w:after="0" w:line="14" w:lineRule="exact"/>
        <w:rPr>
          <w:sz w:val="20"/>
          <w:szCs w:val="20"/>
          <w:color w:val="auto"/>
        </w:rPr>
      </w:pPr>
    </w:p>
    <w:p>
      <w:pPr>
        <w:ind w:left="1380" w:right="739" w:hanging="656"/>
        <w:spacing w:after="0" w:line="239" w:lineRule="auto"/>
        <w:tabs>
          <w:tab w:leader="none" w:pos="1411"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by the Bank for the account of a Transaction Party under a Transaction Document;</w:t>
      </w:r>
    </w:p>
    <w:p>
      <w:pPr>
        <w:ind w:left="1380" w:right="259" w:hanging="656"/>
        <w:spacing w:after="0" w:line="239" w:lineRule="auto"/>
        <w:tabs>
          <w:tab w:leader="none" w:pos="1422"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by a Transaction Party for the account of the Bank under a Transaction Document; and</w:t>
      </w:r>
    </w:p>
    <w:p>
      <w:pPr>
        <w:ind w:left="1400" w:hanging="676"/>
        <w:spacing w:after="0"/>
        <w:tabs>
          <w:tab w:leader="none" w:pos="14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fees, charges, costs and expenses payable in relation to the Transaction Documents,</w:t>
      </w:r>
    </w:p>
    <w:p>
      <w:pPr>
        <w:spacing w:after="0" w:line="207" w:lineRule="exact"/>
        <w:rPr>
          <w:sz w:val="20"/>
          <w:szCs w:val="20"/>
          <w:color w:val="auto"/>
        </w:rPr>
      </w:pPr>
    </w:p>
    <w:p>
      <w:pPr>
        <w:ind w:left="720" w:right="419"/>
        <w:spacing w:after="0" w:line="269" w:lineRule="auto"/>
        <w:rPr>
          <w:sz w:val="20"/>
          <w:szCs w:val="20"/>
          <w:color w:val="auto"/>
        </w:rPr>
      </w:pPr>
      <w:r>
        <w:rPr>
          <w:rFonts w:ascii="Times New Roman" w:cs="Times New Roman" w:eastAsia="Times New Roman" w:hAnsi="Times New Roman"/>
          <w:sz w:val="20"/>
          <w:szCs w:val="20"/>
          <w:color w:val="auto"/>
        </w:rPr>
        <w:t>and those records will against the Borrower constitute prima facie evidence of the matters set out in them.</w:t>
      </w:r>
    </w:p>
    <w:p>
      <w:pPr>
        <w:spacing w:after="0" w:line="16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18.9</w:t>
      </w:r>
      <w:r>
        <w:rPr>
          <w:sz w:val="20"/>
          <w:szCs w:val="20"/>
          <w:color w:val="auto"/>
        </w:rPr>
        <w:tab/>
      </w:r>
      <w:r>
        <w:rPr>
          <w:rFonts w:ascii="Times New Roman" w:cs="Times New Roman" w:eastAsia="Times New Roman" w:hAnsi="Times New Roman"/>
          <w:sz w:val="21"/>
          <w:szCs w:val="21"/>
          <w:b w:val="1"/>
          <w:bCs w:val="1"/>
          <w:color w:val="auto"/>
        </w:rPr>
        <w:t>Further assurances</w:t>
      </w:r>
    </w:p>
    <w:p>
      <w:pPr>
        <w:spacing w:after="0" w:line="33" w:lineRule="exact"/>
        <w:rPr>
          <w:sz w:val="20"/>
          <w:szCs w:val="20"/>
          <w:color w:val="auto"/>
        </w:rPr>
      </w:pPr>
    </w:p>
    <w:p>
      <w:pPr>
        <w:ind w:left="720" w:right="259"/>
        <w:spacing w:after="0" w:line="239" w:lineRule="auto"/>
        <w:rPr>
          <w:sz w:val="20"/>
          <w:szCs w:val="20"/>
          <w:color w:val="auto"/>
        </w:rPr>
      </w:pPr>
      <w:r>
        <w:rPr>
          <w:rFonts w:ascii="Times New Roman" w:cs="Times New Roman" w:eastAsia="Times New Roman" w:hAnsi="Times New Roman"/>
          <w:sz w:val="20"/>
          <w:szCs w:val="20"/>
          <w:color w:val="auto"/>
        </w:rPr>
        <w:t>The Borrower must promptly execute all documents and do all things that the Bank from time to time reasonably requires to:</w:t>
      </w:r>
    </w:p>
    <w:p>
      <w:pPr>
        <w:spacing w:after="0" w:line="2" w:lineRule="exact"/>
        <w:rPr>
          <w:sz w:val="20"/>
          <w:szCs w:val="20"/>
          <w:color w:val="auto"/>
        </w:rPr>
      </w:pPr>
    </w:p>
    <w:p>
      <w:pPr>
        <w:ind w:left="1380" w:right="419" w:hanging="656"/>
        <w:spacing w:after="0" w:line="239" w:lineRule="auto"/>
        <w:tabs>
          <w:tab w:leader="none" w:pos="141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perfect or complete the provisions of each Transaction Document or any transaction contemplated by it;</w:t>
      </w:r>
    </w:p>
    <w:p>
      <w:pPr>
        <w:ind w:left="1380" w:right="119" w:hanging="656"/>
        <w:spacing w:after="0" w:line="239" w:lineRule="auto"/>
        <w:tabs>
          <w:tab w:leader="none" w:pos="142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the priority of or reserve or create any Security Interest contemplated by or purported to be reserved or created by a Transaction Document; and</w:t>
      </w:r>
    </w:p>
    <w:p>
      <w:pPr>
        <w:ind w:left="1380" w:right="239" w:hanging="656"/>
        <w:spacing w:after="0" w:line="246" w:lineRule="auto"/>
        <w:tabs>
          <w:tab w:leader="none" w:pos="141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stamp and register each Transaction Document in any relevant jurisdiction and by any person that the Bank thinks fit.</w:t>
      </w:r>
    </w:p>
    <w:p>
      <w:pPr>
        <w:spacing w:after="0" w:line="186"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18.10</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This document may only be varied or replaced by a document executed by the parties.</w:t>
      </w:r>
    </w:p>
    <w:p>
      <w:pPr>
        <w:spacing w:after="0" w:line="199" w:lineRule="exact"/>
        <w:rPr>
          <w:sz w:val="20"/>
          <w:szCs w:val="20"/>
          <w:color w:val="auto"/>
        </w:rPr>
      </w:pPr>
    </w:p>
    <w:p>
      <w:pPr>
        <w:ind w:left="8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18.11</w:t>
      </w:r>
      <w:r>
        <w:rPr>
          <w:sz w:val="20"/>
          <w:szCs w:val="20"/>
          <w:color w:val="auto"/>
        </w:rPr>
        <w:tab/>
      </w:r>
      <w:r>
        <w:rPr>
          <w:rFonts w:ascii="Times New Roman" w:cs="Times New Roman" w:eastAsia="Times New Roman" w:hAnsi="Times New Roman"/>
          <w:sz w:val="21"/>
          <w:szCs w:val="21"/>
          <w:b w:val="1"/>
          <w:bCs w:val="1"/>
          <w:color w:val="auto"/>
        </w:rPr>
        <w:t>Waiver and exercise of rights</w:t>
      </w:r>
    </w:p>
    <w:p>
      <w:pPr>
        <w:spacing w:after="0" w:line="33" w:lineRule="exact"/>
        <w:rPr>
          <w:sz w:val="20"/>
          <w:szCs w:val="20"/>
          <w:color w:val="auto"/>
        </w:rPr>
      </w:pPr>
    </w:p>
    <w:p>
      <w:pPr>
        <w:ind w:left="1380" w:right="259" w:hanging="656"/>
        <w:spacing w:after="0" w:line="243" w:lineRule="auto"/>
        <w:tabs>
          <w:tab w:leader="none" w:pos="141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w:t>
      </w:r>
    </w:p>
    <w:p>
      <w:pPr>
        <w:ind w:left="1380" w:right="319" w:hanging="656"/>
        <w:spacing w:after="0" w:line="252" w:lineRule="auto"/>
        <w:tabs>
          <w:tab w:leader="none" w:pos="1422"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single or partial exercise or waiver by the Bank of a right relating to a Transaction Document does not prevent any other exercise of that right or the exercise of any other right.</w:t>
      </w:r>
    </w:p>
    <w:p>
      <w:pPr>
        <w:ind w:left="1380" w:right="99" w:hanging="656"/>
        <w:spacing w:after="0" w:line="241" w:lineRule="auto"/>
        <w:tabs>
          <w:tab w:leader="none" w:pos="141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and its Representatives are not liable for any loss, cost or expense of the Borrower caused or contributed to by the waiver, exercise, attempted exercise, failure to exercise or delay in the exercise of a right and the Bank holds the benefit of this clause 18.11 on trust for itself and its Representatives.</w:t>
      </w:r>
    </w:p>
    <w:p>
      <w:pPr>
        <w:spacing w:after="0" w:line="193"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18.12</w:t>
      </w:r>
      <w:r>
        <w:rPr>
          <w:sz w:val="20"/>
          <w:szCs w:val="20"/>
          <w:color w:val="auto"/>
        </w:rPr>
        <w:tab/>
      </w:r>
      <w:r>
        <w:rPr>
          <w:rFonts w:ascii="Times New Roman" w:cs="Times New Roman" w:eastAsia="Times New Roman" w:hAnsi="Times New Roman"/>
          <w:sz w:val="21"/>
          <w:szCs w:val="21"/>
          <w:b w:val="1"/>
          <w:bCs w:val="1"/>
          <w:color w:val="auto"/>
        </w:rPr>
        <w:t>Rights cumulative</w:t>
      </w:r>
    </w:p>
    <w:p>
      <w:pPr>
        <w:spacing w:after="0" w:line="33" w:lineRule="exact"/>
        <w:rPr>
          <w:sz w:val="20"/>
          <w:szCs w:val="20"/>
          <w:color w:val="auto"/>
        </w:rPr>
      </w:pPr>
    </w:p>
    <w:p>
      <w:pPr>
        <w:ind w:left="720" w:right="439"/>
        <w:spacing w:after="0" w:line="246" w:lineRule="auto"/>
        <w:rPr>
          <w:sz w:val="20"/>
          <w:szCs w:val="20"/>
          <w:color w:val="auto"/>
        </w:rPr>
      </w:pPr>
      <w:r>
        <w:rPr>
          <w:rFonts w:ascii="Times New Roman" w:cs="Times New Roman" w:eastAsia="Times New Roman" w:hAnsi="Times New Roman"/>
          <w:sz w:val="20"/>
          <w:szCs w:val="20"/>
          <w:color w:val="auto"/>
        </w:rPr>
        <w:t>The rights of the Bank under the Transaction Documents are cumulative and in addition to its other rights.</w:t>
      </w:r>
    </w:p>
    <w:p>
      <w:pPr>
        <w:sectPr>
          <w:pgSz w:w="11900" w:h="16838" w:orient="portrait"/>
          <w:cols w:equalWidth="0" w:num="1">
            <w:col w:w="9019"/>
          </w:cols>
          <w:pgMar w:left="1440" w:top="118" w:right="1440" w:bottom="0" w:gutter="0" w:footer="0" w:header="0"/>
        </w:sectPr>
      </w:pPr>
    </w:p>
    <w:p>
      <w:pPr>
        <w:spacing w:after="0" w:line="187"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18.13</w:t>
      </w:r>
      <w:r>
        <w:rPr>
          <w:sz w:val="20"/>
          <w:szCs w:val="20"/>
          <w:color w:val="auto"/>
        </w:rPr>
        <w:tab/>
      </w:r>
      <w:r>
        <w:rPr>
          <w:rFonts w:ascii="Times New Roman" w:cs="Times New Roman" w:eastAsia="Times New Roman" w:hAnsi="Times New Roman"/>
          <w:sz w:val="21"/>
          <w:szCs w:val="21"/>
          <w:b w:val="1"/>
          <w:bCs w:val="1"/>
          <w:color w:val="auto"/>
        </w:rPr>
        <w:t>Approval and consent</w:t>
      </w:r>
    </w:p>
    <w:p>
      <w:pPr>
        <w:sectPr>
          <w:pgSz w:w="11900" w:h="16838" w:orient="portrait"/>
          <w:cols w:equalWidth="0" w:num="1">
            <w:col w:w="9019"/>
          </w:cols>
          <w:pgMar w:left="1440" w:top="118" w:right="1440" w:bottom="0" w:gutter="0" w:footer="0" w:header="0"/>
          <w:type w:val="continuous"/>
        </w:sectPr>
      </w:pPr>
    </w:p>
    <w:bookmarkStart w:id="90" w:name="page91"/>
    <w:bookmarkEnd w:id="90"/>
    <w:p>
      <w:pPr>
        <w:ind w:left="720" w:right="159"/>
        <w:spacing w:after="0" w:line="253" w:lineRule="auto"/>
        <w:rPr>
          <w:sz w:val="20"/>
          <w:szCs w:val="20"/>
          <w:color w:val="auto"/>
        </w:rPr>
      </w:pPr>
      <w:r>
        <w:rPr>
          <w:rFonts w:ascii="Times New Roman" w:cs="Times New Roman" w:eastAsia="Times New Roman" w:hAnsi="Times New Roman"/>
          <w:sz w:val="20"/>
          <w:szCs w:val="20"/>
          <w:color w:val="auto"/>
        </w:rPr>
        <w:t>Except where a Transaction Document expressly provides otherwise, the Bank may conditionally or unconditionally give or withhold any consent under a Transaction Document and is not obliged to give its reasons for doing so.</w:t>
      </w:r>
    </w:p>
    <w:p>
      <w:pPr>
        <w:spacing w:after="0" w:line="181"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18.14</w:t>
      </w:r>
      <w:r>
        <w:rPr>
          <w:sz w:val="20"/>
          <w:szCs w:val="20"/>
          <w:color w:val="auto"/>
        </w:rPr>
        <w:tab/>
      </w:r>
      <w:r>
        <w:rPr>
          <w:rFonts w:ascii="Times New Roman" w:cs="Times New Roman" w:eastAsia="Times New Roman" w:hAnsi="Times New Roman"/>
          <w:sz w:val="21"/>
          <w:szCs w:val="21"/>
          <w:b w:val="1"/>
          <w:bCs w:val="1"/>
          <w:color w:val="auto"/>
        </w:rPr>
        <w:t>Assignment</w:t>
      </w:r>
    </w:p>
    <w:p>
      <w:pPr>
        <w:spacing w:after="0" w:line="33" w:lineRule="exact"/>
        <w:rPr>
          <w:sz w:val="20"/>
          <w:szCs w:val="20"/>
          <w:color w:val="auto"/>
        </w:rPr>
      </w:pPr>
    </w:p>
    <w:p>
      <w:pPr>
        <w:ind w:left="1380" w:right="359" w:hanging="656"/>
        <w:spacing w:after="0" w:line="239" w:lineRule="auto"/>
        <w:tabs>
          <w:tab w:leader="none" w:pos="1411"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must not dispose of or Encumber any right under the Transaction Documents without the consent of the Bank.</w:t>
      </w:r>
    </w:p>
    <w:p>
      <w:pPr>
        <w:spacing w:after="0" w:line="1" w:lineRule="exact"/>
        <w:rPr>
          <w:rFonts w:ascii="Times New Roman" w:cs="Times New Roman" w:eastAsia="Times New Roman" w:hAnsi="Times New Roman"/>
          <w:sz w:val="20"/>
          <w:szCs w:val="20"/>
          <w:color w:val="auto"/>
        </w:rPr>
      </w:pPr>
    </w:p>
    <w:p>
      <w:pPr>
        <w:ind w:left="1380" w:right="559" w:hanging="656"/>
        <w:spacing w:after="0" w:line="239" w:lineRule="auto"/>
        <w:tabs>
          <w:tab w:leader="none" w:pos="142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may assign any of its rights or novate, sub-participate, sell-down or transfer by whatever form or otherwise deal with any or all of its rights and obligations under any Transaction Document without the consent of, or notice to, the Borrower.</w:t>
      </w:r>
    </w:p>
    <w:p>
      <w:pPr>
        <w:spacing w:after="0" w:line="1" w:lineRule="exact"/>
        <w:rPr>
          <w:rFonts w:ascii="Times New Roman" w:cs="Times New Roman" w:eastAsia="Times New Roman" w:hAnsi="Times New Roman"/>
          <w:sz w:val="20"/>
          <w:szCs w:val="20"/>
          <w:color w:val="auto"/>
        </w:rPr>
      </w:pPr>
    </w:p>
    <w:p>
      <w:pPr>
        <w:ind w:left="1380" w:right="219" w:hanging="656"/>
        <w:spacing w:after="0" w:line="239" w:lineRule="auto"/>
        <w:tabs>
          <w:tab w:leader="none" w:pos="1411"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subsists then, in order to facilitate the Bank to deal with its rights and obligations, the Bank may (but is not obliged to), from time to time, separate and sever any of its rights (or any part of any of its rights) described in a notice given by the Bank to the Borrower from its other rights and obligations under any Transaction Document. Any such notice is effective on the time of delivery to separate and sever the rights described in the notice so that:</w:t>
      </w:r>
    </w:p>
    <w:p>
      <w:pPr>
        <w:spacing w:after="0" w:line="2" w:lineRule="exact"/>
        <w:rPr>
          <w:rFonts w:ascii="Times New Roman" w:cs="Times New Roman" w:eastAsia="Times New Roman" w:hAnsi="Times New Roman"/>
          <w:sz w:val="20"/>
          <w:szCs w:val="20"/>
          <w:color w:val="auto"/>
        </w:rPr>
      </w:pPr>
    </w:p>
    <w:p>
      <w:pPr>
        <w:ind w:left="2020" w:right="279" w:hanging="648"/>
        <w:spacing w:after="0" w:line="239" w:lineRule="auto"/>
        <w:tabs>
          <w:tab w:leader="none" w:pos="2018"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rights and obligations are independent from, and may be assigned (including at law), novated, sub-participated, sold-down, transferred or otherwise dealt with separately from, any other of the rights and obligations of the Bank under that Transaction Document;</w:t>
      </w:r>
    </w:p>
    <w:p>
      <w:pPr>
        <w:spacing w:after="0" w:line="1" w:lineRule="exact"/>
        <w:rPr>
          <w:rFonts w:ascii="Times New Roman" w:cs="Times New Roman" w:eastAsia="Times New Roman" w:hAnsi="Times New Roman"/>
          <w:sz w:val="20"/>
          <w:szCs w:val="20"/>
          <w:color w:val="auto"/>
        </w:rPr>
      </w:pPr>
    </w:p>
    <w:p>
      <w:pPr>
        <w:ind w:left="2020" w:right="459" w:hanging="648"/>
        <w:spacing w:after="0" w:line="239" w:lineRule="auto"/>
        <w:tabs>
          <w:tab w:leader="none" w:pos="2019"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rights and obligations may be exercised differently from any other rights and obligations of the Bank under that Transaction Document; and</w:t>
      </w:r>
    </w:p>
    <w:p>
      <w:pPr>
        <w:ind w:left="2020" w:right="899" w:hanging="648"/>
        <w:spacing w:after="0" w:line="239" w:lineRule="auto"/>
        <w:tabs>
          <w:tab w:leader="none" w:pos="202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Accommodation in respect of those rights may be calculated separately from the other Outstanding Accommodation.</w:t>
      </w:r>
    </w:p>
    <w:p>
      <w:pPr>
        <w:ind w:left="1380" w:right="199" w:hanging="656"/>
        <w:spacing w:after="0" w:line="238" w:lineRule="auto"/>
        <w:tabs>
          <w:tab w:leader="none" w:pos="142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w:t>
      </w:r>
    </w:p>
    <w:p>
      <w:pPr>
        <w:spacing w:after="0" w:line="3"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18.15</w:t>
      </w:r>
      <w:r>
        <w:rPr>
          <w:sz w:val="20"/>
          <w:szCs w:val="20"/>
          <w:color w:val="auto"/>
        </w:rPr>
        <w:tab/>
      </w:r>
      <w:r>
        <w:rPr>
          <w:rFonts w:ascii="Times New Roman" w:cs="Times New Roman" w:eastAsia="Times New Roman" w:hAnsi="Times New Roman"/>
          <w:sz w:val="21"/>
          <w:szCs w:val="21"/>
          <w:b w:val="1"/>
          <w:bCs w:val="1"/>
          <w:color w:val="auto"/>
        </w:rPr>
        <w:t>Counterparts</w:t>
      </w:r>
    </w:p>
    <w:p>
      <w:pPr>
        <w:spacing w:after="0" w:line="5" w:lineRule="exact"/>
        <w:rPr>
          <w:sz w:val="20"/>
          <w:szCs w:val="20"/>
          <w:color w:val="auto"/>
        </w:rPr>
      </w:pPr>
    </w:p>
    <w:p>
      <w:pPr>
        <w:ind w:left="720" w:right="559"/>
        <w:spacing w:after="0" w:line="260" w:lineRule="auto"/>
        <w:rPr>
          <w:sz w:val="20"/>
          <w:szCs w:val="20"/>
          <w:color w:val="auto"/>
        </w:rPr>
      </w:pPr>
      <w:r>
        <w:rPr>
          <w:rFonts w:ascii="Times New Roman" w:cs="Times New Roman" w:eastAsia="Times New Roman" w:hAnsi="Times New Roman"/>
          <w:sz w:val="20"/>
          <w:szCs w:val="20"/>
          <w:color w:val="auto"/>
        </w:rPr>
        <w:t>This document may consist of a number of counterparts and, if so, the counterparts taken together constitute one document.</w:t>
      </w:r>
    </w:p>
    <w:p>
      <w:pPr>
        <w:spacing w:after="0" w:line="174"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18.16</w:t>
      </w:r>
      <w:r>
        <w:rPr>
          <w:sz w:val="20"/>
          <w:szCs w:val="20"/>
          <w:color w:val="auto"/>
        </w:rPr>
        <w:tab/>
      </w:r>
      <w:r>
        <w:rPr>
          <w:rFonts w:ascii="Times New Roman" w:cs="Times New Roman" w:eastAsia="Times New Roman" w:hAnsi="Times New Roman"/>
          <w:sz w:val="21"/>
          <w:szCs w:val="21"/>
          <w:b w:val="1"/>
          <w:bCs w:val="1"/>
          <w:color w:val="auto"/>
        </w:rPr>
        <w:t>Sovereign immunity</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irrevocably waives any immunity that it or its property has from:</w:t>
      </w:r>
    </w:p>
    <w:p>
      <w:pPr>
        <w:ind w:left="1400" w:hanging="676"/>
        <w:spacing w:after="0"/>
        <w:tabs>
          <w:tab w:leader="none" w:pos="14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set-off;</w:t>
      </w:r>
    </w:p>
    <w:p>
      <w:pPr>
        <w:ind w:left="1420" w:hanging="696"/>
        <w:spacing w:after="0"/>
        <w:tabs>
          <w:tab w:leader="none" w:pos="14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arbitral or administrative proceedings;</w:t>
      </w:r>
    </w:p>
    <w:p>
      <w:pPr>
        <w:jc w:val="both"/>
        <w:ind w:left="1380" w:right="379" w:hanging="656"/>
        <w:spacing w:after="0" w:line="239" w:lineRule="auto"/>
        <w:tabs>
          <w:tab w:leader="none" w:pos="141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process or order of any court, administrative tribunal or arbitrator for the satisfaction or enforcement of a judgment, order or arbitral award or for the arrest, detention or sale of any property; or</w:t>
      </w:r>
    </w:p>
    <w:p>
      <w:pPr>
        <w:spacing w:after="0" w:line="1" w:lineRule="exact"/>
        <w:rPr>
          <w:rFonts w:ascii="Times New Roman" w:cs="Times New Roman" w:eastAsia="Times New Roman" w:hAnsi="Times New Roman"/>
          <w:sz w:val="20"/>
          <w:szCs w:val="20"/>
          <w:color w:val="auto"/>
        </w:rPr>
      </w:pPr>
    </w:p>
    <w:p>
      <w:pPr>
        <w:ind w:left="1420" w:hanging="696"/>
        <w:spacing w:after="0"/>
        <w:tabs>
          <w:tab w:leader="none" w:pos="14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on it of any process, judgment, order or arbitral award,</w:t>
      </w:r>
    </w:p>
    <w:p>
      <w:pPr>
        <w:spacing w:after="0" w:line="207" w:lineRule="exact"/>
        <w:rPr>
          <w:sz w:val="20"/>
          <w:szCs w:val="20"/>
          <w:color w:val="auto"/>
        </w:rPr>
      </w:pPr>
    </w:p>
    <w:p>
      <w:pPr>
        <w:ind w:left="720" w:right="359"/>
        <w:spacing w:after="0" w:line="295" w:lineRule="auto"/>
        <w:rPr>
          <w:sz w:val="20"/>
          <w:szCs w:val="20"/>
          <w:color w:val="auto"/>
        </w:rPr>
      </w:pPr>
      <w:r>
        <w:rPr>
          <w:rFonts w:ascii="Times New Roman" w:cs="Times New Roman" w:eastAsia="Times New Roman" w:hAnsi="Times New Roman"/>
          <w:sz w:val="19"/>
          <w:szCs w:val="19"/>
          <w:color w:val="auto"/>
        </w:rPr>
        <w:t>on the grounds of sovereignty or otherwise under any law of any jurisdiction where any proceedings may be brought or enforced in relation to any Event of Default under a Transaction Document.</w:t>
      </w:r>
    </w:p>
    <w:p>
      <w:pPr>
        <w:spacing w:after="0" w:line="143"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18.17</w:t>
      </w:r>
      <w:r>
        <w:rPr>
          <w:sz w:val="20"/>
          <w:szCs w:val="20"/>
          <w:color w:val="auto"/>
        </w:rPr>
        <w:tab/>
      </w:r>
      <w:r>
        <w:rPr>
          <w:rFonts w:ascii="Times New Roman" w:cs="Times New Roman" w:eastAsia="Times New Roman" w:hAnsi="Times New Roman"/>
          <w:sz w:val="21"/>
          <w:szCs w:val="21"/>
          <w:b w:val="1"/>
          <w:bCs w:val="1"/>
          <w:color w:val="auto"/>
        </w:rPr>
        <w:t>Governing law and jurisdiction</w:t>
      </w:r>
    </w:p>
    <w:p>
      <w:pPr>
        <w:spacing w:after="0" w:line="33" w:lineRule="exact"/>
        <w:rPr>
          <w:sz w:val="20"/>
          <w:szCs w:val="20"/>
          <w:color w:val="auto"/>
        </w:rPr>
      </w:pPr>
    </w:p>
    <w:p>
      <w:pPr>
        <w:ind w:left="1380" w:right="139" w:hanging="656"/>
        <w:spacing w:after="0" w:line="239" w:lineRule="auto"/>
        <w:tabs>
          <w:tab w:leader="none" w:pos="1411"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document is governed by and is to be construed in accordance with the laws applicable in the Relevant Jurisdiction.</w:t>
      </w:r>
    </w:p>
    <w:p>
      <w:pPr>
        <w:spacing w:after="0" w:line="1" w:lineRule="exact"/>
        <w:rPr>
          <w:rFonts w:ascii="Times New Roman" w:cs="Times New Roman" w:eastAsia="Times New Roman" w:hAnsi="Times New Roman"/>
          <w:sz w:val="20"/>
          <w:szCs w:val="20"/>
          <w:color w:val="auto"/>
        </w:rPr>
      </w:pPr>
    </w:p>
    <w:p>
      <w:pPr>
        <w:ind w:left="1380" w:right="399" w:hanging="656"/>
        <w:spacing w:after="0" w:line="241" w:lineRule="auto"/>
        <w:tabs>
          <w:tab w:leader="none" w:pos="142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w:t>
      </w:r>
    </w:p>
    <w:p>
      <w:pPr>
        <w:spacing w:after="0" w:line="193"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18.18</w:t>
      </w:r>
      <w:r>
        <w:rPr>
          <w:sz w:val="20"/>
          <w:szCs w:val="20"/>
          <w:color w:val="auto"/>
        </w:rPr>
        <w:tab/>
      </w:r>
      <w:r>
        <w:rPr>
          <w:rFonts w:ascii="Times New Roman" w:cs="Times New Roman" w:eastAsia="Times New Roman" w:hAnsi="Times New Roman"/>
          <w:sz w:val="21"/>
          <w:szCs w:val="21"/>
          <w:b w:val="1"/>
          <w:bCs w:val="1"/>
          <w:color w:val="auto"/>
        </w:rPr>
        <w:t>Telephone recording</w:t>
      </w:r>
    </w:p>
    <w:p>
      <w:pPr>
        <w:spacing w:after="0" w:line="33" w:lineRule="exact"/>
        <w:rPr>
          <w:sz w:val="20"/>
          <w:szCs w:val="20"/>
          <w:color w:val="auto"/>
        </w:rPr>
      </w:pPr>
    </w:p>
    <w:p>
      <w:pPr>
        <w:ind w:left="720" w:right="219"/>
        <w:spacing w:after="0" w:line="244" w:lineRule="auto"/>
        <w:rPr>
          <w:sz w:val="20"/>
          <w:szCs w:val="20"/>
          <w:color w:val="auto"/>
        </w:rPr>
      </w:pPr>
      <w:r>
        <w:rPr>
          <w:rFonts w:ascii="Times New Roman" w:cs="Times New Roman" w:eastAsia="Times New Roman" w:hAnsi="Times New Roman"/>
          <w:sz w:val="20"/>
          <w:szCs w:val="20"/>
          <w:color w:val="auto"/>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p>
    <w:p>
      <w:pPr>
        <w:spacing w:after="0" w:line="191"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18.19</w:t>
      </w:r>
      <w:r>
        <w:rPr>
          <w:sz w:val="20"/>
          <w:szCs w:val="20"/>
          <w:color w:val="auto"/>
        </w:rPr>
        <w:tab/>
      </w:r>
      <w:r>
        <w:rPr>
          <w:rFonts w:ascii="Times New Roman" w:cs="Times New Roman" w:eastAsia="Times New Roman" w:hAnsi="Times New Roman"/>
          <w:sz w:val="21"/>
          <w:szCs w:val="21"/>
          <w:b w:val="1"/>
          <w:bCs w:val="1"/>
          <w:color w:val="auto"/>
        </w:rPr>
        <w:t>Legal advice</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Borrower acknowledges that, except as expressly set out in a Transaction Document:</w:t>
      </w:r>
    </w:p>
    <w:p>
      <w:pPr>
        <w:ind w:left="1380" w:right="399" w:hanging="656"/>
        <w:spacing w:after="0" w:line="239" w:lineRule="auto"/>
        <w:tabs>
          <w:tab w:leader="none" w:pos="141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Bank or any of its advisers have given any representation or warranty or other assurance to it in relation to any Transaction Document or the transactions contemplated by any Transaction Document, including as to Tax or other effects;</w:t>
      </w:r>
    </w:p>
    <w:p>
      <w:pPr>
        <w:spacing w:after="0" w:line="1" w:lineRule="exact"/>
        <w:rPr>
          <w:rFonts w:ascii="Times New Roman" w:cs="Times New Roman" w:eastAsia="Times New Roman" w:hAnsi="Times New Roman"/>
          <w:sz w:val="20"/>
          <w:szCs w:val="20"/>
          <w:color w:val="auto"/>
        </w:rPr>
      </w:pPr>
    </w:p>
    <w:p>
      <w:pPr>
        <w:ind w:left="1380" w:right="999" w:hanging="656"/>
        <w:spacing w:after="0" w:line="239" w:lineRule="auto"/>
        <w:tabs>
          <w:tab w:leader="none" w:pos="1422"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not relied on the Bank or any of its advisers or on any conduct (including any recommendation) by the Bank or any of its advisers; and</w:t>
      </w:r>
    </w:p>
    <w:p>
      <w:pPr>
        <w:ind w:left="1400" w:hanging="676"/>
        <w:spacing w:after="0"/>
        <w:tabs>
          <w:tab w:leader="none" w:pos="14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obtained its own independent financial, Tax and legal advice.</w:t>
      </w:r>
    </w:p>
    <w:p>
      <w:pPr>
        <w:spacing w:after="0" w:line="198"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18.20</w:t>
      </w:r>
      <w:r>
        <w:rPr>
          <w:sz w:val="20"/>
          <w:szCs w:val="20"/>
          <w:color w:val="auto"/>
        </w:rPr>
        <w:tab/>
      </w:r>
      <w:r>
        <w:rPr>
          <w:rFonts w:ascii="Times New Roman" w:cs="Times New Roman" w:eastAsia="Times New Roman" w:hAnsi="Times New Roman"/>
          <w:sz w:val="21"/>
          <w:szCs w:val="21"/>
          <w:b w:val="1"/>
          <w:bCs w:val="1"/>
          <w:color w:val="auto"/>
        </w:rPr>
        <w:t>Further assurances</w:t>
      </w:r>
    </w:p>
    <w:p>
      <w:pPr>
        <w:sectPr>
          <w:pgSz w:w="11900" w:h="16838" w:orient="portrait"/>
          <w:cols w:equalWidth="0" w:num="1">
            <w:col w:w="9019"/>
          </w:cols>
          <w:pgMar w:left="1440" w:top="118" w:right="1440" w:bottom="0" w:gutter="0" w:footer="0" w:header="0"/>
        </w:sectPr>
      </w:pP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Whenever the Bank requests a Transaction Party to do anything:</w:t>
      </w:r>
    </w:p>
    <w:p>
      <w:pPr>
        <w:sectPr>
          <w:pgSz w:w="11900" w:h="16838" w:orient="portrait"/>
          <w:cols w:equalWidth="0" w:num="1">
            <w:col w:w="9019"/>
          </w:cols>
          <w:pgMar w:left="1440" w:top="118" w:right="1440" w:bottom="0" w:gutter="0" w:footer="0" w:header="0"/>
          <w:type w:val="continuous"/>
        </w:sectPr>
      </w:pPr>
    </w:p>
    <w:bookmarkStart w:id="91" w:name="page92"/>
    <w:bookmarkEnd w:id="91"/>
    <w:p>
      <w:pPr>
        <w:ind w:left="1380" w:right="379" w:hanging="656"/>
        <w:spacing w:after="0" w:line="246" w:lineRule="auto"/>
        <w:tabs>
          <w:tab w:leader="none" w:pos="141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ensure any Transaction Document (or any security interest (as defined in the PPS Act) or other Security Interest, right or power under any Transaction Document) is fully effective, enforceable and perfected with the contemplated priority;</w:t>
      </w:r>
    </w:p>
    <w:p>
      <w:pPr>
        <w:spacing w:after="0" w:line="2" w:lineRule="exact"/>
        <w:rPr>
          <w:rFonts w:ascii="Times New Roman" w:cs="Times New Roman" w:eastAsia="Times New Roman" w:hAnsi="Times New Roman"/>
          <w:sz w:val="20"/>
          <w:szCs w:val="20"/>
          <w:color w:val="auto"/>
        </w:rPr>
      </w:pPr>
    </w:p>
    <w:p>
      <w:pPr>
        <w:ind w:left="1380" w:right="299" w:hanging="656"/>
        <w:spacing w:after="0" w:line="252" w:lineRule="auto"/>
        <w:tabs>
          <w:tab w:leader="none" w:pos="1422"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more satisfactorily assuring or securing to the Bank the property the subject of any such security interest or other Security in a manner consistent with the Transaction Documents; or</w:t>
      </w:r>
    </w:p>
    <w:p>
      <w:pPr>
        <w:ind w:left="1400" w:hanging="676"/>
        <w:spacing w:after="0"/>
        <w:tabs>
          <w:tab w:leader="none" w:pos="14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aiding the exercise of any right or power in any Transaction Document,</w:t>
      </w:r>
    </w:p>
    <w:p>
      <w:pPr>
        <w:spacing w:after="0" w:line="207" w:lineRule="exact"/>
        <w:rPr>
          <w:sz w:val="20"/>
          <w:szCs w:val="20"/>
          <w:color w:val="auto"/>
        </w:rPr>
      </w:pPr>
    </w:p>
    <w:p>
      <w:pPr>
        <w:ind w:left="720" w:right="159"/>
        <w:spacing w:after="0" w:line="274" w:lineRule="auto"/>
        <w:rPr>
          <w:sz w:val="20"/>
          <w:szCs w:val="20"/>
          <w:color w:val="auto"/>
        </w:rPr>
      </w:pPr>
      <w:r>
        <w:rPr>
          <w:rFonts w:ascii="Times New Roman" w:cs="Times New Roman" w:eastAsia="Times New Roman" w:hAnsi="Times New Roman"/>
          <w:sz w:val="19"/>
          <w:szCs w:val="19"/>
          <w:color w:val="auto"/>
        </w:rPr>
        <w:t>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w:t>
      </w:r>
    </w:p>
    <w:p>
      <w:pPr>
        <w:spacing w:after="0" w:line="161"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18.21</w:t>
      </w:r>
      <w:r>
        <w:rPr>
          <w:sz w:val="20"/>
          <w:szCs w:val="20"/>
          <w:color w:val="auto"/>
        </w:rPr>
        <w:tab/>
      </w:r>
      <w:r>
        <w:rPr>
          <w:rFonts w:ascii="Times New Roman" w:cs="Times New Roman" w:eastAsia="Times New Roman" w:hAnsi="Times New Roman"/>
          <w:sz w:val="21"/>
          <w:szCs w:val="21"/>
          <w:b w:val="1"/>
          <w:bCs w:val="1"/>
          <w:color w:val="auto"/>
        </w:rPr>
        <w:t>Exclusion of certain provisions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Where there is a Security Interest under any Transaction Document:</w:t>
      </w:r>
    </w:p>
    <w:p>
      <w:pPr>
        <w:ind w:left="1380" w:right="279" w:hanging="656"/>
        <w:spacing w:after="0" w:line="239" w:lineRule="auto"/>
        <w:tabs>
          <w:tab w:leader="none" w:pos="1411"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sections 142 and 143 of the PPS Act are excluded in full and will not apply to that Security Interest and the Bank need not comply with sections 95, 118, 121(4), 125, 130 ,132(3)(d), and 132(4) of the PPS Act; and</w:t>
      </w:r>
    </w:p>
    <w:p>
      <w:pPr>
        <w:spacing w:after="0" w:line="1" w:lineRule="exact"/>
        <w:rPr>
          <w:rFonts w:ascii="Times New Roman" w:cs="Times New Roman" w:eastAsia="Times New Roman" w:hAnsi="Times New Roman"/>
          <w:sz w:val="20"/>
          <w:szCs w:val="20"/>
          <w:color w:val="auto"/>
        </w:rPr>
      </w:pPr>
    </w:p>
    <w:p>
      <w:pPr>
        <w:ind w:left="1380" w:right="119" w:hanging="656"/>
        <w:spacing w:after="0" w:line="242" w:lineRule="auto"/>
        <w:tabs>
          <w:tab w:leader="none" w:pos="1422"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Transaction Party waives its right to receive from the Bank any notice required under s157 of the PPS Act or the provisions of the PPS Act referred to in s144 of the PPS Act, except section 135.</w:t>
      </w:r>
    </w:p>
    <w:p>
      <w:pPr>
        <w:spacing w:after="0" w:line="200" w:lineRule="exact"/>
        <w:rPr>
          <w:sz w:val="20"/>
          <w:szCs w:val="20"/>
          <w:color w:val="auto"/>
        </w:rPr>
      </w:pPr>
    </w:p>
    <w:p>
      <w:pPr>
        <w:ind w:left="720" w:right="479"/>
        <w:spacing w:after="0" w:line="269" w:lineRule="auto"/>
        <w:rPr>
          <w:sz w:val="20"/>
          <w:szCs w:val="20"/>
          <w:color w:val="auto"/>
        </w:rPr>
      </w:pPr>
      <w:r>
        <w:rPr>
          <w:rFonts w:ascii="Times New Roman" w:cs="Times New Roman" w:eastAsia="Times New Roman" w:hAnsi="Times New Roman"/>
          <w:sz w:val="20"/>
          <w:szCs w:val="20"/>
          <w:color w:val="auto"/>
        </w:rPr>
        <w:t>This does not affect any rights a person has or would have other than by reason of the PPS Act and applies despite any other clause in any Transaction Document.</w:t>
      </w:r>
    </w:p>
    <w:p>
      <w:pPr>
        <w:spacing w:after="0" w:line="164"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18.22</w:t>
      </w:r>
      <w:r>
        <w:rPr>
          <w:sz w:val="20"/>
          <w:szCs w:val="20"/>
          <w:color w:val="auto"/>
        </w:rPr>
        <w:tab/>
      </w:r>
      <w:r>
        <w:rPr>
          <w:rFonts w:ascii="Times New Roman" w:cs="Times New Roman" w:eastAsia="Times New Roman" w:hAnsi="Times New Roman"/>
          <w:sz w:val="21"/>
          <w:szCs w:val="21"/>
          <w:b w:val="1"/>
          <w:bCs w:val="1"/>
          <w:color w:val="auto"/>
        </w:rPr>
        <w:t>Notice of changes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Each Transaction Party agrees to notify the Bank at least 14 days before:</w:t>
      </w:r>
    </w:p>
    <w:p>
      <w:pPr>
        <w:spacing w:after="0" w:line="14" w:lineRule="exact"/>
        <w:rPr>
          <w:sz w:val="20"/>
          <w:szCs w:val="20"/>
          <w:color w:val="auto"/>
        </w:rPr>
      </w:pPr>
    </w:p>
    <w:p>
      <w:pPr>
        <w:ind w:left="1380" w:right="1019" w:hanging="656"/>
        <w:spacing w:after="0" w:line="239" w:lineRule="auto"/>
        <w:tabs>
          <w:tab w:leader="none" w:pos="141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Party (or if the Transaction Party is trustee of a Trust or a partner of a partnership, the Trust or the partnership) changes its name;</w:t>
      </w:r>
    </w:p>
    <w:p>
      <w:pPr>
        <w:ind w:left="1380" w:right="319" w:hanging="656"/>
        <w:spacing w:after="0" w:line="239" w:lineRule="auto"/>
        <w:tabs>
          <w:tab w:leader="none" w:pos="1422"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ABN, ARBN or ARSN allocated to a Transaction Party (or if the Transaction Party is trustee of a Trust or a partner of a partnership, the Trust or the partnership) changes, is cancelled or otherwise ceases to apply to it (or if it does not have an ABN, ARBN or ARSN, one is allocated, or otherwise starts to apply, to it); or</w:t>
      </w:r>
    </w:p>
    <w:p>
      <w:pPr>
        <w:spacing w:after="0" w:line="1" w:lineRule="exact"/>
        <w:rPr>
          <w:rFonts w:ascii="Times New Roman" w:cs="Times New Roman" w:eastAsia="Times New Roman" w:hAnsi="Times New Roman"/>
          <w:sz w:val="20"/>
          <w:szCs w:val="20"/>
          <w:color w:val="auto"/>
        </w:rPr>
      </w:pPr>
    </w:p>
    <w:p>
      <w:pPr>
        <w:ind w:left="1380" w:right="339" w:hanging="656"/>
        <w:spacing w:after="0" w:line="246" w:lineRule="auto"/>
        <w:tabs>
          <w:tab w:leader="none" w:pos="141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becomes trustee of a trust, or a partner in a partnership, which is not expressly contemplated in the Transaction Documents.</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352"/>
        </w:trPr>
        <w:tc>
          <w:tcPr>
            <w:tcW w:w="500" w:type="dxa"/>
            <w:vAlign w:val="bottom"/>
          </w:tcPr>
          <w:p>
            <w:pPr>
              <w:spacing w:after="0"/>
              <w:rPr>
                <w:sz w:val="20"/>
                <w:szCs w:val="20"/>
                <w:color w:val="auto"/>
              </w:rPr>
            </w:pPr>
            <w:r>
              <w:rPr>
                <w:rFonts w:ascii="Times New Roman" w:cs="Times New Roman" w:eastAsia="Times New Roman" w:hAnsi="Times New Roman"/>
                <w:sz w:val="29"/>
                <w:szCs w:val="29"/>
                <w:color w:val="auto"/>
              </w:rPr>
              <w:t>19</w:t>
            </w:r>
          </w:p>
        </w:tc>
        <w:tc>
          <w:tcPr>
            <w:tcW w:w="8080" w:type="dxa"/>
            <w:vAlign w:val="bottom"/>
          </w:tcPr>
          <w:p>
            <w:pPr>
              <w:ind w:left="440"/>
              <w:spacing w:after="0"/>
              <w:rPr>
                <w:sz w:val="20"/>
                <w:szCs w:val="20"/>
                <w:color w:val="auto"/>
              </w:rPr>
            </w:pPr>
            <w:r>
              <w:rPr>
                <w:rFonts w:ascii="Times New Roman" w:cs="Times New Roman" w:eastAsia="Times New Roman" w:hAnsi="Times New Roman"/>
                <w:sz w:val="29"/>
                <w:szCs w:val="29"/>
                <w:color w:val="auto"/>
              </w:rPr>
              <w:t>Notices</w:t>
            </w:r>
          </w:p>
        </w:tc>
      </w:tr>
      <w:tr>
        <w:trPr>
          <w:trHeight w:val="265"/>
        </w:trPr>
        <w:tc>
          <w:tcPr>
            <w:tcW w:w="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19.1</w:t>
            </w:r>
          </w:p>
        </w:tc>
        <w:tc>
          <w:tcPr>
            <w:tcW w:w="808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General</w:t>
            </w:r>
          </w:p>
        </w:tc>
      </w:tr>
      <w:tr>
        <w:trPr>
          <w:trHeight w:val="230"/>
        </w:trPr>
        <w:tc>
          <w:tcPr>
            <w:tcW w:w="50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A notice, demand, certification, process or other communication relating to a Transaction Document</w:t>
            </w:r>
          </w:p>
        </w:tc>
      </w:tr>
      <w:tr>
        <w:trPr>
          <w:trHeight w:val="258"/>
        </w:trPr>
        <w:tc>
          <w:tcPr>
            <w:tcW w:w="500" w:type="dxa"/>
            <w:vAlign w:val="bottom"/>
          </w:tcPr>
          <w:p>
            <w:pPr>
              <w:spacing w:after="0"/>
              <w:rPr>
                <w:sz w:val="22"/>
                <w:szCs w:val="22"/>
                <w:color w:val="auto"/>
              </w:rPr>
            </w:pPr>
          </w:p>
        </w:tc>
        <w:tc>
          <w:tcPr>
            <w:tcW w:w="8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must be in writing in English and may be given by an Authorised Representative of the sender.</w:t>
            </w:r>
          </w:p>
        </w:tc>
      </w:tr>
      <w:tr>
        <w:trPr>
          <w:trHeight w:val="478"/>
        </w:trPr>
        <w:tc>
          <w:tcPr>
            <w:tcW w:w="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19.2</w:t>
            </w:r>
          </w:p>
        </w:tc>
        <w:tc>
          <w:tcPr>
            <w:tcW w:w="808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How to give a communication</w:t>
            </w:r>
          </w:p>
        </w:tc>
      </w:tr>
    </w:tbl>
    <w:p>
      <w:pPr>
        <w:ind w:left="720"/>
        <w:spacing w:after="0"/>
        <w:rPr>
          <w:sz w:val="20"/>
          <w:szCs w:val="20"/>
          <w:color w:val="auto"/>
        </w:rPr>
      </w:pPr>
      <w:r>
        <w:rPr>
          <w:rFonts w:ascii="Times New Roman" w:cs="Times New Roman" w:eastAsia="Times New Roman" w:hAnsi="Times New Roman"/>
          <w:sz w:val="20"/>
          <w:szCs w:val="20"/>
          <w:color w:val="auto"/>
        </w:rPr>
        <w:t>In addition to any other lawful means, a communication may be given by being:</w:t>
      </w:r>
    </w:p>
    <w:p>
      <w:pPr>
        <w:spacing w:after="0" w:line="13" w:lineRule="exact"/>
        <w:rPr>
          <w:sz w:val="20"/>
          <w:szCs w:val="20"/>
          <w:color w:val="auto"/>
        </w:rPr>
      </w:pPr>
    </w:p>
    <w:p>
      <w:pPr>
        <w:ind w:left="1400" w:hanging="676"/>
        <w:spacing w:after="0"/>
        <w:tabs>
          <w:tab w:leader="none" w:pos="140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personally delivered;</w:t>
      </w:r>
    </w:p>
    <w:p>
      <w:pPr>
        <w:ind w:left="1420" w:hanging="696"/>
        <w:spacing w:after="0"/>
        <w:tabs>
          <w:tab w:leader="none" w:pos="14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left at the party’s current address for notices;</w:t>
      </w:r>
    </w:p>
    <w:p>
      <w:pPr>
        <w:ind w:left="1380" w:right="459" w:hanging="656"/>
        <w:spacing w:after="0" w:line="239" w:lineRule="auto"/>
        <w:tabs>
          <w:tab w:leader="none" w:pos="1411"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to the party’s current address for notices by pre-paid ordinary mail or, if the address is outside Australia, by pre-paid airmail; or</w:t>
      </w:r>
    </w:p>
    <w:p>
      <w:pPr>
        <w:ind w:left="1420" w:hanging="696"/>
        <w:spacing w:after="0"/>
        <w:tabs>
          <w:tab w:leader="none" w:pos="14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fax to the party’s current fax number for notices.</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19.3</w:t>
      </w:r>
      <w:r>
        <w:rPr>
          <w:sz w:val="20"/>
          <w:szCs w:val="20"/>
          <w:color w:val="auto"/>
        </w:rPr>
        <w:tab/>
      </w:r>
      <w:r>
        <w:rPr>
          <w:rFonts w:ascii="Times New Roman" w:cs="Times New Roman" w:eastAsia="Times New Roman" w:hAnsi="Times New Roman"/>
          <w:sz w:val="21"/>
          <w:szCs w:val="21"/>
          <w:b w:val="1"/>
          <w:bCs w:val="1"/>
          <w:color w:val="auto"/>
        </w:rPr>
        <w:t>Particulars for delivery of notices</w:t>
      </w:r>
    </w:p>
    <w:p>
      <w:pPr>
        <w:spacing w:after="0" w:line="33" w:lineRule="exact"/>
        <w:rPr>
          <w:sz w:val="20"/>
          <w:szCs w:val="20"/>
          <w:color w:val="auto"/>
        </w:rPr>
      </w:pPr>
    </w:p>
    <w:p>
      <w:pPr>
        <w:ind w:left="1400" w:hanging="676"/>
        <w:spacing w:after="0"/>
        <w:tabs>
          <w:tab w:leader="none" w:pos="14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particulars for delivery of notices are initially:</w:t>
      </w:r>
    </w:p>
    <w:p>
      <w:pPr>
        <w:ind w:left="1380" w:right="567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Transaction Parties: </w:t>
      </w:r>
      <w:r>
        <w:rPr>
          <w:rFonts w:ascii="Times New Roman" w:cs="Times New Roman" w:eastAsia="Times New Roman" w:hAnsi="Times New Roman"/>
          <w:sz w:val="20"/>
          <w:szCs w:val="20"/>
          <w:color w:val="auto"/>
        </w:rPr>
        <w:t xml:space="preserve">As set out in </w:t>
      </w: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1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Level 28, 500 Bourke Street, Melbourne, Victoria 300</w:t>
      </w:r>
    </w:p>
    <w:p>
      <w:pPr>
        <w:ind w:left="1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Jonathan Kerr</w:t>
      </w:r>
    </w:p>
    <w:p>
      <w:pPr>
        <w:ind w:left="1420" w:hanging="696"/>
        <w:spacing w:after="0"/>
        <w:tabs>
          <w:tab w:leader="none" w:pos="14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may change its particulars for delivery of notices by notice to each other party.</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19.4</w:t>
      </w:r>
      <w:r>
        <w:rPr>
          <w:sz w:val="20"/>
          <w:szCs w:val="20"/>
          <w:color w:val="auto"/>
        </w:rPr>
        <w:tab/>
      </w:r>
      <w:r>
        <w:rPr>
          <w:rFonts w:ascii="Times New Roman" w:cs="Times New Roman" w:eastAsia="Times New Roman" w:hAnsi="Times New Roman"/>
          <w:sz w:val="21"/>
          <w:szCs w:val="21"/>
          <w:b w:val="1"/>
          <w:bCs w:val="1"/>
          <w:color w:val="auto"/>
        </w:rPr>
        <w:t>Communications by post</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color w:val="auto"/>
        </w:rPr>
        <w:t>clause 19.6</w:t>
      </w:r>
      <w:r>
        <w:rPr>
          <w:rFonts w:ascii="Times New Roman" w:cs="Times New Roman" w:eastAsia="Times New Roman" w:hAnsi="Times New Roman"/>
          <w:sz w:val="20"/>
          <w:szCs w:val="20"/>
          <w:color w:val="auto"/>
        </w:rPr>
        <w:t>, a communication is given if posted:</w:t>
      </w:r>
    </w:p>
    <w:p>
      <w:pPr>
        <w:ind w:left="1400" w:hanging="676"/>
        <w:spacing w:after="0"/>
        <w:tabs>
          <w:tab w:leader="none" w:pos="14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Australia to an Australian address, three Business Days after posting; or</w:t>
      </w:r>
    </w:p>
    <w:p>
      <w:pPr>
        <w:ind w:left="1420" w:hanging="696"/>
        <w:spacing w:after="0"/>
        <w:tabs>
          <w:tab w:leader="none" w:pos="14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case, ten Business Days after posting.</w:t>
      </w:r>
    </w:p>
    <w:p>
      <w:pPr>
        <w:spacing w:after="0" w:line="198"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19.5</w:t>
      </w:r>
      <w:r>
        <w:rPr>
          <w:sz w:val="20"/>
          <w:szCs w:val="20"/>
          <w:color w:val="auto"/>
        </w:rPr>
        <w:tab/>
      </w:r>
      <w:r>
        <w:rPr>
          <w:rFonts w:ascii="Times New Roman" w:cs="Times New Roman" w:eastAsia="Times New Roman" w:hAnsi="Times New Roman"/>
          <w:sz w:val="21"/>
          <w:szCs w:val="21"/>
          <w:b w:val="1"/>
          <w:bCs w:val="1"/>
          <w:color w:val="auto"/>
        </w:rPr>
        <w:t>Communications by fax</w:t>
      </w:r>
    </w:p>
    <w:p>
      <w:pPr>
        <w:spacing w:after="0" w:line="33" w:lineRule="exact"/>
        <w:rPr>
          <w:sz w:val="20"/>
          <w:szCs w:val="20"/>
          <w:color w:val="auto"/>
        </w:rPr>
      </w:pPr>
    </w:p>
    <w:p>
      <w:pPr>
        <w:ind w:left="720" w:right="259"/>
        <w:spacing w:after="0" w:line="250"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color w:val="auto"/>
        </w:rPr>
        <w:t>clause 19.6,</w:t>
      </w:r>
      <w:r>
        <w:rPr>
          <w:rFonts w:ascii="Times New Roman" w:cs="Times New Roman" w:eastAsia="Times New Roman" w:hAnsi="Times New Roman"/>
          <w:sz w:val="20"/>
          <w:szCs w:val="20"/>
          <w:color w:val="auto"/>
        </w:rPr>
        <w:t xml:space="preserve"> a communication is given if sent by fax when the sender’s fax machine produces a report that the fax was sent in full to the addressee. That report is conclusive evidence that the addressee received the fax in full at the time indicated on that report.</w:t>
      </w:r>
    </w:p>
    <w:p>
      <w:pPr>
        <w:spacing w:after="0" w:line="183"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19.6</w:t>
      </w:r>
      <w:r>
        <w:rPr>
          <w:sz w:val="20"/>
          <w:szCs w:val="20"/>
          <w:color w:val="auto"/>
        </w:rPr>
        <w:tab/>
      </w:r>
      <w:r>
        <w:rPr>
          <w:rFonts w:ascii="Times New Roman" w:cs="Times New Roman" w:eastAsia="Times New Roman" w:hAnsi="Times New Roman"/>
          <w:sz w:val="21"/>
          <w:szCs w:val="21"/>
          <w:b w:val="1"/>
          <w:bCs w:val="1"/>
          <w:color w:val="auto"/>
        </w:rPr>
        <w:t>After hours communications</w:t>
      </w:r>
    </w:p>
    <w:p>
      <w:pPr>
        <w:sectPr>
          <w:pgSz w:w="11900" w:h="16838" w:orient="portrait"/>
          <w:cols w:equalWidth="0" w:num="1">
            <w:col w:w="9019"/>
          </w:cols>
          <w:pgMar w:left="1440" w:top="118" w:right="1440" w:bottom="0" w:gutter="0" w:footer="0" w:header="0"/>
        </w:sectPr>
      </w:pP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a communication is given:</w:t>
      </w:r>
    </w:p>
    <w:p>
      <w:pPr>
        <w:ind w:left="1400" w:hanging="676"/>
        <w:spacing w:after="0"/>
        <w:tabs>
          <w:tab w:leader="none" w:pos="14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5.00 pm in the place of receipt; or</w:t>
      </w:r>
    </w:p>
    <w:p>
      <w:pPr>
        <w:ind w:left="1420" w:hanging="696"/>
        <w:spacing w:after="0"/>
        <w:tabs>
          <w:tab w:leader="none" w:pos="14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 day which is a Saturday, Sunday or bank or public holiday in the place of receipt,</w:t>
      </w:r>
    </w:p>
    <w:p>
      <w:pPr>
        <w:sectPr>
          <w:pgSz w:w="11900" w:h="16838" w:orient="portrait"/>
          <w:cols w:equalWidth="0" w:num="1">
            <w:col w:w="9019"/>
          </w:cols>
          <w:pgMar w:left="1440" w:top="118" w:right="1440" w:bottom="0" w:gutter="0" w:footer="0" w:header="0"/>
          <w:type w:val="continuous"/>
        </w:sectPr>
      </w:pPr>
    </w:p>
    <w:bookmarkStart w:id="92" w:name="page93"/>
    <w:bookmarkEnd w:id="92"/>
    <w:p>
      <w:pPr>
        <w:ind w:left="720" w:right="219"/>
        <w:spacing w:after="0" w:line="269" w:lineRule="auto"/>
        <w:rPr>
          <w:sz w:val="20"/>
          <w:szCs w:val="20"/>
          <w:color w:val="auto"/>
        </w:rPr>
      </w:pPr>
      <w:r>
        <w:rPr>
          <w:rFonts w:ascii="Times New Roman" w:cs="Times New Roman" w:eastAsia="Times New Roman" w:hAnsi="Times New Roman"/>
          <w:sz w:val="20"/>
          <w:szCs w:val="20"/>
          <w:color w:val="auto"/>
        </w:rPr>
        <w:t>it is taken as having been given at 9.00 am on the next day which is not a Saturday, Sunday or bank or public holiday in that place.</w:t>
      </w:r>
    </w:p>
    <w:p>
      <w:pPr>
        <w:spacing w:after="0" w:line="16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19.7</w:t>
      </w:r>
      <w:r>
        <w:rPr>
          <w:sz w:val="20"/>
          <w:szCs w:val="20"/>
          <w:color w:val="auto"/>
        </w:rPr>
        <w:tab/>
      </w:r>
      <w:r>
        <w:rPr>
          <w:rFonts w:ascii="Times New Roman" w:cs="Times New Roman" w:eastAsia="Times New Roman" w:hAnsi="Times New Roman"/>
          <w:sz w:val="21"/>
          <w:szCs w:val="21"/>
          <w:b w:val="1"/>
          <w:bCs w:val="1"/>
          <w:color w:val="auto"/>
        </w:rPr>
        <w:t>Process service</w:t>
      </w:r>
    </w:p>
    <w:p>
      <w:pPr>
        <w:spacing w:after="0" w:line="33" w:lineRule="exact"/>
        <w:rPr>
          <w:sz w:val="20"/>
          <w:szCs w:val="20"/>
          <w:color w:val="auto"/>
        </w:rPr>
      </w:pPr>
    </w:p>
    <w:p>
      <w:pPr>
        <w:jc w:val="both"/>
        <w:ind w:left="720" w:right="119"/>
        <w:spacing w:after="0" w:line="243" w:lineRule="auto"/>
        <w:rPr>
          <w:sz w:val="20"/>
          <w:szCs w:val="20"/>
          <w:color w:val="auto"/>
        </w:rPr>
      </w:pPr>
      <w:r>
        <w:rPr>
          <w:rFonts w:ascii="Times New Roman" w:cs="Times New Roman" w:eastAsia="Times New Roman" w:hAnsi="Times New Roman"/>
          <w:sz w:val="20"/>
          <w:szCs w:val="20"/>
          <w:color w:val="auto"/>
        </w:rPr>
        <w:t xml:space="preserve">Any process or other document relating to litigation, administrative or arbitral proceedings relating to a Transaction Document may be served on a party to this document by any method contemplated by this </w:t>
      </w:r>
      <w:r>
        <w:rPr>
          <w:rFonts w:ascii="Times New Roman" w:cs="Times New Roman" w:eastAsia="Times New Roman" w:hAnsi="Times New Roman"/>
          <w:sz w:val="20"/>
          <w:szCs w:val="20"/>
          <w:b w:val="1"/>
          <w:bCs w:val="1"/>
          <w:color w:val="auto"/>
        </w:rPr>
        <w:t xml:space="preserve">clause 19.7 </w:t>
      </w:r>
      <w:r>
        <w:rPr>
          <w:rFonts w:ascii="Times New Roman" w:cs="Times New Roman" w:eastAsia="Times New Roman" w:hAnsi="Times New Roman"/>
          <w:sz w:val="20"/>
          <w:szCs w:val="20"/>
          <w:color w:val="auto"/>
        </w:rPr>
        <w:t>or in accordance with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196215</wp:posOffset>
            </wp:positionV>
            <wp:extent cx="566610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8">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93" w:name="page94"/>
    <w:bookmarkEnd w:id="93"/>
    <w:p>
      <w:pPr>
        <w:ind w:left="80"/>
        <w:spacing w:after="0"/>
        <w:rPr>
          <w:sz w:val="20"/>
          <w:szCs w:val="20"/>
          <w:color w:val="auto"/>
        </w:rPr>
      </w:pPr>
      <w:r>
        <w:rPr>
          <w:rFonts w:ascii="Times New Roman" w:cs="Times New Roman" w:eastAsia="Times New Roman" w:hAnsi="Times New Roman"/>
          <w:sz w:val="29"/>
          <w:szCs w:val="29"/>
          <w:color w:val="auto"/>
        </w:rPr>
        <w:t>Schedule 1</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Original Guarantors</w:t>
      </w:r>
    </w:p>
    <w:p>
      <w:pPr>
        <w:spacing w:after="0" w:line="2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507365</wp:posOffset>
            </wp:positionV>
            <wp:extent cx="566610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9">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ind w:left="80"/>
        <w:spacing w:after="0"/>
        <w:rPr>
          <w:sz w:val="20"/>
          <w:szCs w:val="20"/>
          <w:color w:val="auto"/>
        </w:rPr>
      </w:pPr>
      <w:r>
        <w:rPr>
          <w:rFonts w:ascii="Times New Roman" w:cs="Times New Roman" w:eastAsia="Times New Roman" w:hAnsi="Times New Roman"/>
          <w:sz w:val="28"/>
          <w:szCs w:val="28"/>
          <w:color w:val="auto"/>
        </w:rPr>
        <w:t>Schedule 2</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Facilities</w:t>
      </w: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215900</wp:posOffset>
            </wp:positionV>
            <wp:extent cx="566610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0">
                      <a:extLst>
                        <a:ext uri="{28A0092B-C50C-407E-A947-70E740481C1C}"/>
                      </a:extLst>
                    </a:blip>
                    <a:srcRect/>
                    <a:stretch>
                      <a:fillRect/>
                    </a:stretch>
                  </pic:blipFill>
                  <pic:spPr bwMode="auto">
                    <a:xfrm>
                      <a:off x="0" y="0"/>
                      <a:ext cx="566610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ind w:left="80"/>
        <w:spacing w:after="0"/>
        <w:rPr>
          <w:sz w:val="20"/>
          <w:szCs w:val="20"/>
          <w:color w:val="auto"/>
        </w:rPr>
      </w:pPr>
      <w:r>
        <w:rPr>
          <w:rFonts w:ascii="Times New Roman" w:cs="Times New Roman" w:eastAsia="Times New Roman" w:hAnsi="Times New Roman"/>
          <w:sz w:val="29"/>
          <w:szCs w:val="29"/>
          <w:color w:val="auto"/>
        </w:rPr>
        <w:t>Schedule 3</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Collateral Security</w:t>
      </w:r>
    </w:p>
    <w:p>
      <w:pPr>
        <w:spacing w:after="0" w:line="2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361315</wp:posOffset>
            </wp:positionV>
            <wp:extent cx="566610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1">
                      <a:extLst>
                        <a:ext uri="{28A0092B-C50C-407E-A947-70E740481C1C}"/>
                      </a:extLst>
                    </a:blip>
                    <a:srcRect/>
                    <a:stretch>
                      <a:fillRect/>
                    </a:stretch>
                  </pic:blipFill>
                  <pic:spPr bwMode="auto">
                    <a:xfrm>
                      <a:off x="0" y="0"/>
                      <a:ext cx="566610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ind w:left="80"/>
        <w:spacing w:after="0"/>
        <w:rPr>
          <w:sz w:val="20"/>
          <w:szCs w:val="20"/>
          <w:color w:val="auto"/>
        </w:rPr>
      </w:pPr>
      <w:r>
        <w:rPr>
          <w:rFonts w:ascii="Times New Roman" w:cs="Times New Roman" w:eastAsia="Times New Roman" w:hAnsi="Times New Roman"/>
          <w:sz w:val="28"/>
          <w:szCs w:val="28"/>
          <w:color w:val="auto"/>
        </w:rPr>
        <w:t>Schedule 4</w:t>
      </w:r>
    </w:p>
    <w:p>
      <w:pPr>
        <w:sectPr>
          <w:pgSz w:w="11900" w:h="16838" w:orient="portrait"/>
          <w:cols w:equalWidth="0" w:num="1">
            <w:col w:w="9019"/>
          </w:cols>
          <w:pgMar w:left="1440" w:top="121" w:right="1440" w:bottom="1440" w:gutter="0" w:footer="0" w:header="0"/>
        </w:sect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652780</wp:posOffset>
            </wp:positionV>
            <wp:extent cx="566610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2">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97" w:name="page98"/>
    <w:bookmarkEnd w:id="97"/>
    <w:p>
      <w:pPr>
        <w:ind w:left="80"/>
        <w:spacing w:after="0"/>
        <w:rPr>
          <w:sz w:val="20"/>
          <w:szCs w:val="20"/>
          <w:color w:val="auto"/>
        </w:rPr>
      </w:pPr>
      <w:r>
        <w:rPr>
          <w:rFonts w:ascii="Times New Roman" w:cs="Times New Roman" w:eastAsia="Times New Roman" w:hAnsi="Times New Roman"/>
          <w:sz w:val="28"/>
          <w:szCs w:val="28"/>
          <w:color w:val="auto"/>
        </w:rPr>
        <w:t>Schedule 5</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507365</wp:posOffset>
            </wp:positionV>
            <wp:extent cx="566610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3">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ind w:left="80"/>
        <w:spacing w:after="0"/>
        <w:rPr>
          <w:sz w:val="20"/>
          <w:szCs w:val="20"/>
          <w:color w:val="auto"/>
        </w:rPr>
      </w:pPr>
      <w:r>
        <w:rPr>
          <w:rFonts w:ascii="Times New Roman" w:cs="Times New Roman" w:eastAsia="Times New Roman" w:hAnsi="Times New Roman"/>
          <w:sz w:val="29"/>
          <w:szCs w:val="29"/>
          <w:color w:val="auto"/>
        </w:rPr>
        <w:t>Schedule 6</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Verification Certificate</w:t>
      </w: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215900</wp:posOffset>
            </wp:positionV>
            <wp:extent cx="566610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4">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9" w:name="page100"/>
    <w:bookmarkEnd w:id="99"/>
    <w:p>
      <w:pPr>
        <w:ind w:left="80"/>
        <w:spacing w:after="0"/>
        <w:rPr>
          <w:sz w:val="20"/>
          <w:szCs w:val="20"/>
          <w:color w:val="auto"/>
        </w:rPr>
      </w:pPr>
      <w:r>
        <w:rPr>
          <w:rFonts w:ascii="Times New Roman" w:cs="Times New Roman" w:eastAsia="Times New Roman" w:hAnsi="Times New Roman"/>
          <w:sz w:val="28"/>
          <w:szCs w:val="28"/>
          <w:color w:val="auto"/>
        </w:rPr>
        <w:t>Schedule 7</w:t>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Funding Notice</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361315</wp:posOffset>
            </wp:positionV>
            <wp:extent cx="566610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5">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ind w:left="80"/>
        <w:spacing w:after="0"/>
        <w:rPr>
          <w:sz w:val="20"/>
          <w:szCs w:val="20"/>
          <w:color w:val="auto"/>
        </w:rPr>
      </w:pPr>
      <w:r>
        <w:rPr>
          <w:rFonts w:ascii="Times New Roman" w:cs="Times New Roman" w:eastAsia="Times New Roman" w:hAnsi="Times New Roman"/>
          <w:sz w:val="29"/>
          <w:szCs w:val="29"/>
          <w:color w:val="auto"/>
        </w:rPr>
        <w:t>Schedule 8</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Guarantor Accession Deed</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361315</wp:posOffset>
            </wp:positionV>
            <wp:extent cx="566610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6">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ind w:left="80"/>
        <w:spacing w:after="0"/>
        <w:rPr>
          <w:sz w:val="20"/>
          <w:szCs w:val="20"/>
          <w:color w:val="auto"/>
        </w:rPr>
      </w:pPr>
      <w:r>
        <w:rPr>
          <w:rFonts w:ascii="Times New Roman" w:cs="Times New Roman" w:eastAsia="Times New Roman" w:hAnsi="Times New Roman"/>
          <w:sz w:val="29"/>
          <w:szCs w:val="29"/>
          <w:color w:val="auto"/>
        </w:rPr>
        <w:t>Schedule 9</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Annual Compliance Certificate</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507365</wp:posOffset>
            </wp:positionV>
            <wp:extent cx="566610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7">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ind w:left="80"/>
        <w:spacing w:after="0"/>
        <w:rPr>
          <w:sz w:val="20"/>
          <w:szCs w:val="20"/>
          <w:color w:val="auto"/>
        </w:rPr>
      </w:pPr>
      <w:r>
        <w:rPr>
          <w:rFonts w:ascii="Times New Roman" w:cs="Times New Roman" w:eastAsia="Times New Roman" w:hAnsi="Times New Roman"/>
          <w:sz w:val="29"/>
          <w:szCs w:val="29"/>
          <w:color w:val="auto"/>
        </w:rPr>
        <w:t>Schedule 10</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Interim Compliance Certificate</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361315</wp:posOffset>
            </wp:positionV>
            <wp:extent cx="566610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8">
                      <a:extLst>
                        <a:ext uri="{28A0092B-C50C-407E-A947-70E740481C1C}"/>
                      </a:extLst>
                    </a:blip>
                    <a:srcRect/>
                    <a:stretch>
                      <a:fillRect/>
                    </a:stretch>
                  </pic:blipFill>
                  <pic:spPr bwMode="auto">
                    <a:xfrm>
                      <a:off x="0" y="0"/>
                      <a:ext cx="5666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8"/>
          <w:szCs w:val="18"/>
          <w:b w:val="1"/>
          <w:bCs w:val="1"/>
          <w:color w:val="auto"/>
        </w:rPr>
        <w:t>PORTIONS OF THIS EXHIBIT HAVE BEEN OMITTED BECAUSE THEY ARE BOTH (I) NOT MATERIAL AND</w:t>
      </w:r>
    </w:p>
    <w:p>
      <w:pPr>
        <w:spacing w:after="0" w:line="31" w:lineRule="exact"/>
        <w:rPr>
          <w:sz w:val="20"/>
          <w:szCs w:val="20"/>
          <w:color w:val="auto"/>
        </w:rPr>
      </w:pPr>
    </w:p>
    <w:p>
      <w:pPr>
        <w:jc w:val="both"/>
        <w:ind w:left="20" w:right="200" w:hanging="10"/>
        <w:spacing w:after="0" w:line="255" w:lineRule="auto"/>
        <w:tabs>
          <w:tab w:leader="none" w:pos="342"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BE COMPETITIVELY HARMFUL IF PUBLICLY DISCLOSED. INFORMATION THAT HAS BEEN OMITTED HAS BEEN NOTED IN THIS DOCUMENT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129540</wp:posOffset>
            </wp:positionV>
            <wp:extent cx="977265" cy="428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9">
                      <a:extLst>
                        <a:ext uri="{28A0092B-C50C-407E-A947-70E740481C1C}"/>
                      </a:extLst>
                    </a:blip>
                    <a:srcRect/>
                    <a:stretch>
                      <a:fillRect/>
                    </a:stretch>
                  </pic:blipFill>
                  <pic:spPr bwMode="auto">
                    <a:xfrm>
                      <a:off x="0" y="0"/>
                      <a:ext cx="9772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58"/>
          <w:szCs w:val="58"/>
          <w:color w:val="auto"/>
        </w:rPr>
        <w:t>AMENDMENT DEED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5"/>
          <w:szCs w:val="25"/>
          <w:b w:val="1"/>
          <w:bCs w:val="1"/>
          <w:color w:val="auto"/>
        </w:rPr>
        <w:t>National Australia Bank Limited</w:t>
      </w:r>
    </w:p>
    <w:p>
      <w:pPr>
        <w:spacing w:after="0" w:line="22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2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5"/>
          <w:szCs w:val="25"/>
          <w:b w:val="1"/>
          <w:bCs w:val="1"/>
          <w:color w:val="auto"/>
        </w:rPr>
        <w:t>Reading Entertainment Australia Pty Ltd</w:t>
      </w:r>
    </w:p>
    <w:p>
      <w:pPr>
        <w:spacing w:after="0" w:line="22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2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5"/>
          <w:szCs w:val="25"/>
          <w:b w:val="1"/>
          <w:bCs w:val="1"/>
          <w:color w:val="auto"/>
        </w:rPr>
        <w:t>Each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p>
      <w:pPr>
        <w:spacing w:after="0" w:line="3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Level 17, 395 Bourke Street</w:t>
      </w:r>
    </w:p>
    <w:p>
      <w:pPr>
        <w:spacing w:after="0" w:line="20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Melbourne VIC 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tcPr>
          <w:p>
            <w:pPr>
              <w:jc w:val="right"/>
              <w:ind w:right="3764"/>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0" w:type="dxa"/>
            <w:vAlign w:val="bottom"/>
          </w:tcPr>
          <w:p>
            <w:pPr>
              <w:spacing w:after="0"/>
              <w:rPr>
                <w:sz w:val="1"/>
                <w:szCs w:val="1"/>
                <w:color w:val="auto"/>
              </w:rPr>
            </w:pPr>
          </w:p>
        </w:tc>
      </w:tr>
      <w:tr>
        <w:trPr>
          <w:trHeight w:val="379"/>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0000EE"/>
                <w:w w:val="70"/>
              </w:rPr>
              <w:t>1</w:t>
            </w:r>
          </w:p>
        </w:tc>
        <w:tc>
          <w:tcPr>
            <w:tcW w:w="440" w:type="dxa"/>
            <w:vAlign w:val="bottom"/>
          </w:tcPr>
          <w:p>
            <w:pPr>
              <w:spacing w:after="0"/>
              <w:rPr>
                <w:sz w:val="24"/>
                <w:szCs w:val="24"/>
                <w:color w:val="auto"/>
              </w:rPr>
            </w:pPr>
          </w:p>
        </w:tc>
        <w:tc>
          <w:tcPr>
            <w:tcW w:w="3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EE"/>
              </w:rPr>
              <w:t>Definitions and Interpretation</w:t>
            </w:r>
          </w:p>
        </w:tc>
        <w:tc>
          <w:tcPr>
            <w:tcW w:w="5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7"/>
                <w:szCs w:val="17"/>
                <w:color w:val="0000EE"/>
                <w:w w:val="70"/>
              </w:rPr>
              <w:t>2</w:t>
            </w:r>
          </w:p>
        </w:tc>
        <w:tc>
          <w:tcPr>
            <w:tcW w:w="440" w:type="dxa"/>
            <w:vAlign w:val="bottom"/>
          </w:tcPr>
          <w:p>
            <w:pPr>
              <w:spacing w:after="0"/>
              <w:rPr>
                <w:sz w:val="17"/>
                <w:szCs w:val="17"/>
                <w:color w:val="auto"/>
              </w:rPr>
            </w:pPr>
          </w:p>
        </w:tc>
        <w:tc>
          <w:tcPr>
            <w:tcW w:w="2140" w:type="dxa"/>
            <w:vAlign w:val="bottom"/>
            <w:tcBorders>
              <w:top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Conditions precedent</w:t>
            </w:r>
          </w:p>
        </w:tc>
        <w:tc>
          <w:tcPr>
            <w:tcW w:w="1240" w:type="dxa"/>
            <w:vAlign w:val="bottom"/>
            <w:gridSpan w:val="3"/>
          </w:tcPr>
          <w:p>
            <w:pPr>
              <w:spacing w:after="0"/>
              <w:rPr>
                <w:sz w:val="17"/>
                <w:szCs w:val="17"/>
                <w:color w:val="auto"/>
              </w:rPr>
            </w:pPr>
          </w:p>
        </w:tc>
        <w:tc>
          <w:tcPr>
            <w:tcW w:w="5500" w:type="dxa"/>
            <w:vAlign w:val="bottom"/>
          </w:tcPr>
          <w:p>
            <w:pPr>
              <w:jc w:val="right"/>
              <w:spacing w:after="0" w:line="196" w:lineRule="exact"/>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7"/>
                <w:szCs w:val="17"/>
                <w:color w:val="0000EE"/>
                <w:w w:val="70"/>
              </w:rPr>
              <w:t>3</w:t>
            </w:r>
          </w:p>
        </w:tc>
        <w:tc>
          <w:tcPr>
            <w:tcW w:w="44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AMENDMENT</w:t>
            </w:r>
          </w:p>
        </w:tc>
        <w:tc>
          <w:tcPr>
            <w:tcW w:w="360" w:type="dxa"/>
            <w:vAlign w:val="bottom"/>
            <w:tcBorders>
              <w:top w:val="single" w:sz="8" w:color="0000EE"/>
            </w:tcBorders>
            <w:gridSpan w:val="3"/>
          </w:tcPr>
          <w:p>
            <w:pPr>
              <w:spacing w:after="0"/>
              <w:rPr>
                <w:sz w:val="17"/>
                <w:szCs w:val="17"/>
                <w:color w:val="auto"/>
              </w:rPr>
            </w:pPr>
          </w:p>
        </w:tc>
        <w:tc>
          <w:tcPr>
            <w:tcW w:w="1840" w:type="dxa"/>
            <w:vAlign w:val="bottom"/>
            <w:gridSpan w:val="5"/>
          </w:tcPr>
          <w:p>
            <w:pPr>
              <w:spacing w:after="0"/>
              <w:rPr>
                <w:sz w:val="17"/>
                <w:szCs w:val="17"/>
                <w:color w:val="auto"/>
              </w:rPr>
            </w:pPr>
          </w:p>
        </w:tc>
        <w:tc>
          <w:tcPr>
            <w:tcW w:w="5500" w:type="dxa"/>
            <w:vAlign w:val="bottom"/>
          </w:tcPr>
          <w:p>
            <w:pPr>
              <w:jc w:val="right"/>
              <w:spacing w:after="0" w:line="196" w:lineRule="exact"/>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196"/>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0000EE"/>
                <w:w w:val="70"/>
              </w:rPr>
              <w:t>4</w:t>
            </w:r>
          </w:p>
        </w:tc>
        <w:tc>
          <w:tcPr>
            <w:tcW w:w="440" w:type="dxa"/>
            <w:vAlign w:val="bottom"/>
          </w:tcPr>
          <w:p>
            <w:pPr>
              <w:spacing w:after="0"/>
              <w:rPr>
                <w:sz w:val="17"/>
                <w:szCs w:val="17"/>
                <w:color w:val="auto"/>
              </w:rPr>
            </w:pPr>
          </w:p>
        </w:tc>
        <w:tc>
          <w:tcPr>
            <w:tcW w:w="338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CONFIRMATION</w:t>
            </w:r>
          </w:p>
        </w:tc>
        <w:tc>
          <w:tcPr>
            <w:tcW w:w="5500" w:type="dxa"/>
            <w:vAlign w:val="bottom"/>
          </w:tcPr>
          <w:p>
            <w:pPr>
              <w:jc w:val="right"/>
              <w:spacing w:after="0" w:line="196" w:lineRule="exact"/>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vMerge w:val="restart"/>
          </w:tcPr>
          <w:p>
            <w:pPr>
              <w:jc w:val="right"/>
              <w:spacing w:after="0" w:line="216" w:lineRule="exact"/>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line="20" w:lineRule="exact"/>
              <w:rPr>
                <w:sz w:val="1"/>
                <w:szCs w:val="1"/>
                <w:color w:val="auto"/>
              </w:rPr>
            </w:pPr>
          </w:p>
        </w:tc>
      </w:tr>
      <w:tr>
        <w:trPr>
          <w:trHeight w:val="196"/>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0000EE"/>
                <w:w w:val="70"/>
              </w:rPr>
              <w:t>5</w:t>
            </w:r>
          </w:p>
        </w:tc>
        <w:tc>
          <w:tcPr>
            <w:tcW w:w="440" w:type="dxa"/>
            <w:vAlign w:val="bottom"/>
          </w:tcPr>
          <w:p>
            <w:pPr>
              <w:spacing w:after="0"/>
              <w:rPr>
                <w:sz w:val="17"/>
                <w:szCs w:val="17"/>
                <w:color w:val="auto"/>
              </w:rPr>
            </w:pPr>
          </w:p>
        </w:tc>
        <w:tc>
          <w:tcPr>
            <w:tcW w:w="338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5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vMerge w:val="restart"/>
          </w:tcPr>
          <w:p>
            <w:pPr>
              <w:jc w:val="right"/>
              <w:spacing w:after="0" w:line="216" w:lineRule="exact"/>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line="20" w:lineRule="exact"/>
              <w:rPr>
                <w:sz w:val="1"/>
                <w:szCs w:val="1"/>
                <w:color w:val="auto"/>
              </w:rPr>
            </w:pPr>
          </w:p>
        </w:tc>
      </w:tr>
      <w:tr>
        <w:trPr>
          <w:trHeight w:val="196"/>
        </w:trPr>
        <w:tc>
          <w:tcPr>
            <w:tcW w:w="10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7"/>
                <w:szCs w:val="17"/>
                <w:color w:val="0000EE"/>
                <w:w w:val="70"/>
              </w:rPr>
              <w:t>6</w:t>
            </w:r>
          </w:p>
        </w:tc>
        <w:tc>
          <w:tcPr>
            <w:tcW w:w="440" w:type="dxa"/>
            <w:vAlign w:val="bottom"/>
          </w:tcPr>
          <w:p>
            <w:pPr>
              <w:spacing w:after="0"/>
              <w:rPr>
                <w:sz w:val="17"/>
                <w:szCs w:val="17"/>
                <w:color w:val="auto"/>
              </w:rPr>
            </w:pPr>
          </w:p>
        </w:tc>
        <w:tc>
          <w:tcPr>
            <w:tcW w:w="3360" w:type="dxa"/>
            <w:vAlign w:val="bottom"/>
            <w:tcBorders>
              <w:bottom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REMAINING PROVISIONS UNAFFECTED</w:t>
            </w:r>
          </w:p>
        </w:tc>
        <w:tc>
          <w:tcPr>
            <w:tcW w:w="20" w:type="dxa"/>
            <w:vAlign w:val="bottom"/>
          </w:tcPr>
          <w:p>
            <w:pPr>
              <w:spacing w:after="0"/>
              <w:rPr>
                <w:sz w:val="17"/>
                <w:szCs w:val="17"/>
                <w:color w:val="auto"/>
              </w:rPr>
            </w:pPr>
          </w:p>
        </w:tc>
        <w:tc>
          <w:tcPr>
            <w:tcW w:w="5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7"/>
                <w:szCs w:val="17"/>
                <w:color w:val="0000EE"/>
                <w:w w:val="70"/>
              </w:rPr>
              <w:t>7</w:t>
            </w:r>
          </w:p>
        </w:tc>
        <w:tc>
          <w:tcPr>
            <w:tcW w:w="440" w:type="dxa"/>
            <w:vAlign w:val="bottom"/>
          </w:tcPr>
          <w:p>
            <w:pPr>
              <w:spacing w:after="0"/>
              <w:rPr>
                <w:sz w:val="17"/>
                <w:szCs w:val="17"/>
                <w:color w:val="auto"/>
              </w:rPr>
            </w:pPr>
          </w:p>
        </w:tc>
        <w:tc>
          <w:tcPr>
            <w:tcW w:w="1620" w:type="dxa"/>
            <w:vAlign w:val="bottom"/>
            <w:tcBorders>
              <w:bottom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COSTS AND TAXES</w:t>
            </w:r>
          </w:p>
        </w:tc>
        <w:tc>
          <w:tcPr>
            <w:tcW w:w="1760" w:type="dxa"/>
            <w:vAlign w:val="bottom"/>
            <w:gridSpan w:val="4"/>
          </w:tcPr>
          <w:p>
            <w:pPr>
              <w:spacing w:after="0"/>
              <w:rPr>
                <w:sz w:val="17"/>
                <w:szCs w:val="17"/>
                <w:color w:val="auto"/>
              </w:rPr>
            </w:pPr>
          </w:p>
        </w:tc>
        <w:tc>
          <w:tcPr>
            <w:tcW w:w="5500" w:type="dxa"/>
            <w:vAlign w:val="bottom"/>
          </w:tcPr>
          <w:p>
            <w:pPr>
              <w:jc w:val="right"/>
              <w:spacing w:after="0" w:line="196" w:lineRule="exact"/>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196"/>
        </w:trPr>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0000EE"/>
                <w:w w:val="70"/>
              </w:rPr>
              <w:t>8</w:t>
            </w:r>
          </w:p>
        </w:tc>
        <w:tc>
          <w:tcPr>
            <w:tcW w:w="440" w:type="dxa"/>
            <w:vAlign w:val="bottom"/>
          </w:tcPr>
          <w:p>
            <w:pPr>
              <w:spacing w:after="0"/>
              <w:rPr>
                <w:sz w:val="17"/>
                <w:szCs w:val="17"/>
                <w:color w:val="auto"/>
              </w:rPr>
            </w:pPr>
          </w:p>
        </w:tc>
        <w:tc>
          <w:tcPr>
            <w:tcW w:w="338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GENERAL</w:t>
            </w:r>
          </w:p>
        </w:tc>
        <w:tc>
          <w:tcPr>
            <w:tcW w:w="5500" w:type="dxa"/>
            <w:vAlign w:val="bottom"/>
          </w:tcPr>
          <w:p>
            <w:pPr>
              <w:jc w:val="right"/>
              <w:spacing w:after="0" w:line="196" w:lineRule="exact"/>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500" w:type="dxa"/>
            <w:vAlign w:val="bottom"/>
            <w:vMerge w:val="restart"/>
          </w:tcPr>
          <w:p>
            <w:pPr>
              <w:jc w:val="right"/>
              <w:spacing w:after="0" w:line="216" w:lineRule="exact"/>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line="20" w:lineRule="exact"/>
              <w:rPr>
                <w:sz w:val="1"/>
                <w:szCs w:val="1"/>
                <w:color w:val="auto"/>
              </w:rPr>
            </w:pPr>
          </w:p>
        </w:tc>
      </w:tr>
      <w:tr>
        <w:trPr>
          <w:trHeight w:val="196"/>
        </w:trPr>
        <w:tc>
          <w:tcPr>
            <w:tcW w:w="100" w:type="dxa"/>
            <w:vAlign w:val="bottom"/>
            <w:tcBorders>
              <w:bottom w:val="single" w:sz="8" w:color="0000EE"/>
            </w:tcBorders>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EXECUTED</w:t>
            </w:r>
          </w:p>
        </w:tc>
        <w:tc>
          <w:tcPr>
            <w:tcW w:w="96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AS A DEED</w:t>
            </w:r>
          </w:p>
        </w:tc>
        <w:tc>
          <w:tcPr>
            <w:tcW w:w="1980" w:type="dxa"/>
            <w:vAlign w:val="bottom"/>
            <w:gridSpan w:val="6"/>
          </w:tcPr>
          <w:p>
            <w:pPr>
              <w:spacing w:after="0"/>
              <w:rPr>
                <w:sz w:val="17"/>
                <w:szCs w:val="17"/>
                <w:color w:val="auto"/>
              </w:rPr>
            </w:pPr>
          </w:p>
        </w:tc>
        <w:tc>
          <w:tcPr>
            <w:tcW w:w="5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5500" w:type="dxa"/>
            <w:vAlign w:val="bottom"/>
          </w:tcPr>
          <w:p>
            <w:pPr>
              <w:jc w:val="right"/>
              <w:spacing w:after="0" w:line="196" w:lineRule="exact"/>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237"/>
        </w:trPr>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420"/>
          </w:cols>
          <w:pgMar w:left="1200" w:top="117" w:right="1279" w:bottom="217"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Page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 xml:space="preserve">THIS DEED </w:t>
      </w:r>
      <w:r>
        <w:rPr>
          <w:rFonts w:ascii="Times New Roman" w:cs="Times New Roman" w:eastAsia="Times New Roman" w:hAnsi="Times New Roman"/>
          <w:sz w:val="18"/>
          <w:szCs w:val="18"/>
          <w:color w:val="auto"/>
        </w:rPr>
        <w:t>is dated the 12 day of May 2023 and is made between:</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50" w:right="580" w:hanging="550"/>
        <w:spacing w:after="0" w:line="286" w:lineRule="auto"/>
        <w:tabs>
          <w:tab w:leader="none" w:pos="58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NATIONAL AUSTRALIA BANK LIMITED ABN 12 004 044 937 </w:t>
      </w:r>
      <w:r>
        <w:rPr>
          <w:rFonts w:ascii="Times New Roman" w:cs="Times New Roman" w:eastAsia="Times New Roman" w:hAnsi="Times New Roman"/>
          <w:sz w:val="18"/>
          <w:szCs w:val="18"/>
          <w:color w:val="auto"/>
        </w:rPr>
        <w:t>of Level 17, 395 Bourke Street, Melbourne,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Victoria, 3000 (NAB);</w:t>
      </w:r>
    </w:p>
    <w:p>
      <w:pPr>
        <w:spacing w:after="0" w:line="46" w:lineRule="exact"/>
        <w:rPr>
          <w:rFonts w:ascii="Times New Roman" w:cs="Times New Roman" w:eastAsia="Times New Roman" w:hAnsi="Times New Roman"/>
          <w:sz w:val="18"/>
          <w:szCs w:val="18"/>
          <w:color w:val="auto"/>
        </w:rPr>
      </w:pPr>
    </w:p>
    <w:p>
      <w:pPr>
        <w:ind w:left="550" w:right="440" w:hanging="550"/>
        <w:spacing w:after="0" w:line="286" w:lineRule="auto"/>
        <w:tabs>
          <w:tab w:leader="none" w:pos="58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READING ENTERTAINMENT AUSTRALIA PTY LTD ABN 070 893 908 </w:t>
      </w:r>
      <w:r>
        <w:rPr>
          <w:rFonts w:ascii="Times New Roman" w:cs="Times New Roman" w:eastAsia="Times New Roman" w:hAnsi="Times New Roman"/>
          <w:sz w:val="18"/>
          <w:szCs w:val="18"/>
          <w:color w:val="auto"/>
        </w:rPr>
        <w:t>of 98 York Street, South Melbourne,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Victoria 3205 (Borrower); and</w:t>
      </w:r>
    </w:p>
    <w:p>
      <w:pPr>
        <w:spacing w:after="0" w:line="46" w:lineRule="exact"/>
        <w:rPr>
          <w:rFonts w:ascii="Times New Roman" w:cs="Times New Roman" w:eastAsia="Times New Roman" w:hAnsi="Times New Roman"/>
          <w:sz w:val="18"/>
          <w:szCs w:val="18"/>
          <w:color w:val="auto"/>
        </w:rPr>
      </w:pPr>
    </w:p>
    <w:p>
      <w:pPr>
        <w:ind w:left="590" w:hanging="590"/>
        <w:spacing w:after="0"/>
        <w:tabs>
          <w:tab w:leader="none" w:pos="59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Each person listed in Schedule 1 </w:t>
      </w:r>
      <w:r>
        <w:rPr>
          <w:rFonts w:ascii="Times New Roman" w:cs="Times New Roman" w:eastAsia="Times New Roman" w:hAnsi="Times New Roman"/>
          <w:sz w:val="18"/>
          <w:szCs w:val="18"/>
          <w:color w:val="auto"/>
        </w:rPr>
        <w:t>(each a</w:t>
      </w:r>
      <w:r>
        <w:rPr>
          <w:rFonts w:ascii="Times New Roman" w:cs="Times New Roman" w:eastAsia="Times New Roman" w:hAnsi="Times New Roman"/>
          <w:sz w:val="18"/>
          <w:szCs w:val="18"/>
          <w:b w:val="1"/>
          <w:bCs w:val="1"/>
          <w:color w:val="auto"/>
        </w:rPr>
        <w:t xml:space="preserve"> Guarantor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650" w:hanging="650"/>
        <w:spacing w:after="0"/>
        <w:tabs>
          <w:tab w:leader="none" w:pos="65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parties to the Original Document.</w:t>
      </w:r>
    </w:p>
    <w:p>
      <w:pPr>
        <w:spacing w:after="0" w:line="225" w:lineRule="exact"/>
        <w:rPr>
          <w:sz w:val="20"/>
          <w:szCs w:val="20"/>
          <w:color w:val="auto"/>
        </w:rPr>
      </w:pPr>
    </w:p>
    <w:p>
      <w:pPr>
        <w:ind w:left="630" w:hanging="630"/>
        <w:spacing w:after="0"/>
        <w:tabs>
          <w:tab w:leader="none" w:pos="63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amend the Original Document on the terms and conditions set out in this document.</w:t>
      </w:r>
    </w:p>
    <w:p>
      <w:pPr>
        <w:spacing w:after="0" w:line="225" w:lineRule="exact"/>
        <w:rPr>
          <w:sz w:val="20"/>
          <w:szCs w:val="20"/>
          <w:color w:val="auto"/>
        </w:rPr>
      </w:pPr>
    </w:p>
    <w:p>
      <w:pPr>
        <w:ind w:left="630" w:hanging="630"/>
        <w:spacing w:after="0"/>
        <w:tabs>
          <w:tab w:leader="none" w:pos="63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on and from the Effective Date, the Original Document is amended in accordance with this document.</w:t>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10" w:right="5660" w:hanging="10"/>
        <w:spacing w:after="0" w:line="503" w:lineRule="auto"/>
        <w:tabs>
          <w:tab w:leader="none" w:pos="532"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1.1 Definitions</w:t>
      </w:r>
    </w:p>
    <w:p>
      <w:pPr>
        <w:ind w:left="510" w:right="900"/>
        <w:spacing w:after="0" w:line="282" w:lineRule="auto"/>
        <w:rPr>
          <w:sz w:val="20"/>
          <w:szCs w:val="20"/>
          <w:color w:val="auto"/>
        </w:rPr>
      </w:pPr>
      <w:r>
        <w:rPr>
          <w:rFonts w:ascii="Times New Roman" w:cs="Times New Roman" w:eastAsia="Times New Roman" w:hAnsi="Times New Roman"/>
          <w:sz w:val="18"/>
          <w:szCs w:val="18"/>
          <w:color w:val="auto"/>
        </w:rPr>
        <w:t>Words which have a defined meaning in the Original Document have the same meaning in this document unless otherwise defined.</w:t>
      </w:r>
    </w:p>
    <w:p>
      <w:pPr>
        <w:spacing w:after="0" w:line="162"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1"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Sunday or public holiday in every state and territory of Australia.</w:t>
      </w:r>
    </w:p>
    <w:p>
      <w:pPr>
        <w:spacing w:after="0" w:line="225" w:lineRule="exact"/>
        <w:rPr>
          <w:sz w:val="20"/>
          <w:szCs w:val="20"/>
          <w:color w:val="auto"/>
        </w:rPr>
      </w:pPr>
    </w:p>
    <w:p>
      <w:pPr>
        <w:ind w:left="510"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Costs </w:t>
      </w:r>
      <w:r>
        <w:rPr>
          <w:rFonts w:ascii="Times New Roman" w:cs="Times New Roman" w:eastAsia="Times New Roman" w:hAnsi="Times New Roman"/>
          <w:sz w:val="18"/>
          <w:szCs w:val="18"/>
          <w:color w:val="auto"/>
        </w:rPr>
        <w:t>means costs, charges, fees and expenses, including those incurred in connection with NAB’s internal and external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advisers (on a full indemnity basis) and professional consultants.</w:t>
      </w:r>
    </w:p>
    <w:p>
      <w:pPr>
        <w:spacing w:after="0" w:line="155"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NAB gives the notice contemplated in clause 2.1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10"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Original Document </w:t>
      </w:r>
      <w:r>
        <w:rPr>
          <w:rFonts w:ascii="Times New Roman" w:cs="Times New Roman" w:eastAsia="Times New Roman" w:hAnsi="Times New Roman"/>
          <w:sz w:val="18"/>
          <w:szCs w:val="18"/>
          <w:color w:val="auto"/>
        </w:rPr>
        <w:t>means the facility agreement between NAB, the Borrower and others originally dated 24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2011, as amended from time to time, including as most recently amended on 16 December 2022.</w:t>
      </w:r>
    </w:p>
    <w:p>
      <w:pPr>
        <w:spacing w:after="0" w:line="155"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Interpretation</w:t>
      </w:r>
    </w:p>
    <w:p>
      <w:pPr>
        <w:spacing w:after="0" w:line="229"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color w:val="auto"/>
        </w:rPr>
        <w:t>Clause 1 (Interpretation) in the Original Document applies to this document as if set out in full in this document.</w:t>
      </w:r>
    </w:p>
    <w:p>
      <w:pPr>
        <w:spacing w:after="0" w:line="221"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Inconsistent law</w:t>
      </w:r>
    </w:p>
    <w:p>
      <w:pPr>
        <w:spacing w:after="0" w:line="229"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color w:val="auto"/>
        </w:rPr>
        <w:t>To the extent permitted by law, this document prevails to the extent it is inconsistent with any law.</w:t>
      </w:r>
    </w:p>
    <w:p>
      <w:pPr>
        <w:spacing w:after="0" w:line="221"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Consideration</w:t>
      </w:r>
    </w:p>
    <w:p>
      <w:pPr>
        <w:spacing w:after="0" w:line="229" w:lineRule="exact"/>
        <w:rPr>
          <w:sz w:val="20"/>
          <w:szCs w:val="20"/>
          <w:color w:val="auto"/>
        </w:rPr>
      </w:pPr>
    </w:p>
    <w:p>
      <w:pPr>
        <w:ind w:left="510" w:right="720"/>
        <w:spacing w:after="0" w:line="282" w:lineRule="auto"/>
        <w:rPr>
          <w:sz w:val="20"/>
          <w:szCs w:val="20"/>
          <w:color w:val="auto"/>
        </w:rPr>
      </w:pPr>
      <w:r>
        <w:rPr>
          <w:rFonts w:ascii="Times New Roman" w:cs="Times New Roman" w:eastAsia="Times New Roman" w:hAnsi="Times New Roman"/>
          <w:sz w:val="18"/>
          <w:szCs w:val="18"/>
          <w:color w:val="auto"/>
        </w:rPr>
        <w:t>The parties enter into this document in consideration of, among other things, the mutual promises contained in this document.</w:t>
      </w:r>
    </w:p>
    <w:p>
      <w:pPr>
        <w:spacing w:after="0" w:line="158"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Transaction Document</w:t>
      </w:r>
    </w:p>
    <w:p>
      <w:pPr>
        <w:spacing w:after="0" w:line="229"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color w:val="auto"/>
        </w:rPr>
        <w:t>This document is a Transaction Document for the purposes of the Original Document.</w:t>
      </w:r>
    </w:p>
    <w:p>
      <w:pPr>
        <w:spacing w:after="0" w:line="221"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Trustees and beneficiaries</w:t>
      </w:r>
    </w:p>
    <w:p>
      <w:pPr>
        <w:spacing w:after="0" w:line="229"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color w:val="auto"/>
        </w:rPr>
        <w:t>If a party, other than NAB, is trustee of a trust:</w:t>
      </w:r>
    </w:p>
    <w:p>
      <w:pPr>
        <w:spacing w:after="0" w:line="225" w:lineRule="exact"/>
        <w:rPr>
          <w:sz w:val="20"/>
          <w:szCs w:val="20"/>
          <w:color w:val="auto"/>
        </w:rPr>
      </w:pPr>
    </w:p>
    <w:p>
      <w:pPr>
        <w:ind w:left="1690" w:right="380" w:hanging="562"/>
        <w:spacing w:after="0" w:line="282" w:lineRule="auto"/>
        <w:tabs>
          <w:tab w:leader="none" w:pos="171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enters into this document in both its capacity as trustee of the trust and in its personal capacity and is liable both personally and in its capacity as trustee;</w:t>
      </w:r>
    </w:p>
    <w:p>
      <w:pPr>
        <w:spacing w:after="0" w:line="161" w:lineRule="exact"/>
        <w:rPr>
          <w:rFonts w:ascii="Times New Roman" w:cs="Times New Roman" w:eastAsia="Times New Roman" w:hAnsi="Times New Roman"/>
          <w:sz w:val="18"/>
          <w:szCs w:val="18"/>
          <w:color w:val="auto"/>
        </w:rPr>
      </w:pPr>
    </w:p>
    <w:p>
      <w:pPr>
        <w:ind w:left="1690" w:right="340" w:hanging="562"/>
        <w:spacing w:after="0" w:line="266" w:lineRule="auto"/>
        <w:tabs>
          <w:tab w:leader="none" w:pos="172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trustee holds any part of the assets as trust property, NAB has recourse to that party’s assets when seeking to enforce obligations whether the assets are held by that party as trustee or as beneficial owner; and</w:t>
      </w:r>
    </w:p>
    <w:p>
      <w:pPr>
        <w:sectPr>
          <w:pgSz w:w="11900" w:h="16838" w:orient="portrait"/>
          <w:cols w:equalWidth="0" w:num="1">
            <w:col w:w="9470"/>
          </w:cols>
          <w:pgMar w:left="1210" w:top="121" w:right="1219" w:bottom="20" w:gutter="0" w:footer="0" w:header="0"/>
        </w:sectPr>
      </w:pPr>
    </w:p>
    <w:bookmarkStart w:id="105" w:name="page106"/>
    <w:bookmarkEnd w:id="105"/>
    <w:p>
      <w:pPr>
        <w:ind w:left="1690" w:right="619" w:hanging="562"/>
        <w:spacing w:after="0" w:line="282" w:lineRule="auto"/>
        <w:tabs>
          <w:tab w:leader="none" w:pos="171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which is the beneficiary of that trust authorises the entry into and performance of this document by the trustee.</w:t>
      </w:r>
    </w:p>
    <w:p>
      <w:pPr>
        <w:spacing w:after="0" w:line="158"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No undisclosed agency, partnership, scheme or trust</w:t>
      </w:r>
    </w:p>
    <w:p>
      <w:pPr>
        <w:spacing w:after="0" w:line="229" w:lineRule="exact"/>
        <w:rPr>
          <w:sz w:val="20"/>
          <w:szCs w:val="20"/>
          <w:color w:val="auto"/>
        </w:rPr>
      </w:pPr>
    </w:p>
    <w:p>
      <w:pPr>
        <w:ind w:left="510" w:right="239"/>
        <w:spacing w:after="0" w:line="266" w:lineRule="auto"/>
        <w:rPr>
          <w:sz w:val="20"/>
          <w:szCs w:val="20"/>
          <w:color w:val="auto"/>
        </w:rPr>
      </w:pPr>
      <w:r>
        <w:rPr>
          <w:rFonts w:ascii="Times New Roman" w:cs="Times New Roman" w:eastAsia="Times New Roman" w:hAnsi="Times New Roman"/>
          <w:sz w:val="18"/>
          <w:szCs w:val="18"/>
          <w:color w:val="auto"/>
        </w:rPr>
        <w:t>No party enters into this document as agent for an undisclosed principal, as a partner of any partnership, trustee of any trust, responsible entity of any registered scheme or otherwise for the benefit of any other person except as expressly described in this document.</w:t>
      </w:r>
    </w:p>
    <w:p>
      <w:pPr>
        <w:spacing w:after="0" w:line="172" w:lineRule="exact"/>
        <w:rPr>
          <w:sz w:val="20"/>
          <w:szCs w:val="20"/>
          <w:color w:val="auto"/>
        </w:rPr>
      </w:pPr>
    </w:p>
    <w:p>
      <w:pPr>
        <w:jc w:val="both"/>
        <w:ind w:left="10" w:right="7039" w:hanging="10"/>
        <w:spacing w:after="0" w:line="503" w:lineRule="auto"/>
        <w:tabs>
          <w:tab w:leader="none" w:pos="532"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 2.1 Conditions precedent</w:t>
      </w:r>
    </w:p>
    <w:p>
      <w:pPr>
        <w:ind w:left="510" w:right="399"/>
        <w:spacing w:after="0" w:line="266" w:lineRule="auto"/>
        <w:rPr>
          <w:sz w:val="20"/>
          <w:szCs w:val="20"/>
          <w:color w:val="auto"/>
        </w:rPr>
      </w:pPr>
      <w:r>
        <w:rPr>
          <w:rFonts w:ascii="Times New Roman" w:cs="Times New Roman" w:eastAsia="Times New Roman" w:hAnsi="Times New Roman"/>
          <w:sz w:val="18"/>
          <w:szCs w:val="18"/>
          <w:color w:val="auto"/>
        </w:rPr>
        <w:t>The amendments proposed to the Original Document referred to in clause 3 (Amendment) are of no force and effect until NAB has notified the Borrower in writing that each of the following has been received by NAB in form and substance satisfactory to NAB:</w:t>
      </w:r>
    </w:p>
    <w:p>
      <w:pPr>
        <w:spacing w:after="0" w:line="176" w:lineRule="exact"/>
        <w:rPr>
          <w:sz w:val="20"/>
          <w:szCs w:val="20"/>
          <w:color w:val="auto"/>
        </w:rPr>
      </w:pPr>
    </w:p>
    <w:p>
      <w:pPr>
        <w:ind w:left="1710" w:hanging="582"/>
        <w:spacing w:after="0"/>
        <w:tabs>
          <w:tab w:leader="none" w:pos="171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NAB’s enquiries and searches; and</w:t>
      </w:r>
    </w:p>
    <w:p>
      <w:pPr>
        <w:spacing w:after="0" w:line="225" w:lineRule="exact"/>
        <w:rPr>
          <w:rFonts w:ascii="Times New Roman" w:cs="Times New Roman" w:eastAsia="Times New Roman" w:hAnsi="Times New Roman"/>
          <w:sz w:val="18"/>
          <w:szCs w:val="18"/>
          <w:color w:val="auto"/>
        </w:rPr>
      </w:pPr>
    </w:p>
    <w:p>
      <w:pPr>
        <w:ind w:left="1710" w:hanging="582"/>
        <w:spacing w:after="0"/>
        <w:tabs>
          <w:tab w:leader="none" w:pos="171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of this document duly and fully executed by the Borrower and each Guarantor.</w:t>
      </w:r>
    </w:p>
    <w:p>
      <w:pPr>
        <w:spacing w:after="0" w:line="221"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Certification of copies</w:t>
      </w:r>
    </w:p>
    <w:p>
      <w:pPr>
        <w:spacing w:after="0" w:line="229" w:lineRule="exact"/>
        <w:rPr>
          <w:sz w:val="20"/>
          <w:szCs w:val="20"/>
          <w:color w:val="auto"/>
        </w:rPr>
      </w:pPr>
    </w:p>
    <w:p>
      <w:pPr>
        <w:ind w:left="510" w:right="39"/>
        <w:spacing w:after="0" w:line="261" w:lineRule="auto"/>
        <w:rPr>
          <w:sz w:val="20"/>
          <w:szCs w:val="20"/>
          <w:color w:val="auto"/>
        </w:rPr>
      </w:pPr>
      <w:r>
        <w:rPr>
          <w:rFonts w:ascii="Times New Roman" w:cs="Times New Roman" w:eastAsia="Times New Roman" w:hAnsi="Times New Roman"/>
          <w:sz w:val="18"/>
          <w:szCs w:val="18"/>
          <w:color w:val="auto"/>
        </w:rPr>
        <w:t>Unless otherwise required by NAB, each document specified in respect of a Borrower and a Guarantor in clause 2.1 (Conditions precedent) must be an original. If NAB requires a certified copy of a document, the copy must be certified by a director or secretary of that Borrower or Guarantor as true and complete as at a date no earlier than 5 Business Days before the date of this document.</w:t>
      </w:r>
    </w:p>
    <w:p>
      <w:pPr>
        <w:spacing w:after="0" w:line="176" w:lineRule="exact"/>
        <w:rPr>
          <w:sz w:val="20"/>
          <w:szCs w:val="20"/>
          <w:color w:val="auto"/>
        </w:rPr>
      </w:pPr>
    </w:p>
    <w:p>
      <w:pPr>
        <w:ind w:left="530" w:hanging="530"/>
        <w:spacing w:after="0"/>
        <w:tabs>
          <w:tab w:leader="none" w:pos="53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p>
    <w:p>
      <w:pPr>
        <w:spacing w:after="0" w:line="229" w:lineRule="exact"/>
        <w:rPr>
          <w:rFonts w:ascii="Times New Roman" w:cs="Times New Roman" w:eastAsia="Times New Roman" w:hAnsi="Times New Roman"/>
          <w:sz w:val="18"/>
          <w:szCs w:val="18"/>
          <w:b w:val="1"/>
          <w:bCs w:val="1"/>
          <w:color w:val="auto"/>
        </w:rPr>
      </w:pPr>
    </w:p>
    <w:p>
      <w:pPr>
        <w:ind w:left="51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on and from the Effective Date, the Original Document is amended as follows:</w:t>
      </w:r>
    </w:p>
    <w:p>
      <w:pPr>
        <w:spacing w:after="0" w:line="225" w:lineRule="exact"/>
        <w:rPr>
          <w:rFonts w:ascii="Times New Roman" w:cs="Times New Roman" w:eastAsia="Times New Roman" w:hAnsi="Times New Roman"/>
          <w:sz w:val="18"/>
          <w:szCs w:val="18"/>
          <w:b w:val="1"/>
          <w:bCs w:val="1"/>
          <w:color w:val="auto"/>
        </w:rPr>
      </w:pPr>
    </w:p>
    <w:p>
      <w:pPr>
        <w:ind w:left="1710" w:hanging="582"/>
        <w:spacing w:after="0"/>
        <w:tabs>
          <w:tab w:leader="none" w:pos="171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9.8(a)(i)(F), Clause 9.8(a)(i)(G) and Clause 9.8(a)(i)(H) are amended and restated as follows:</w:t>
      </w:r>
    </w:p>
    <w:p>
      <w:pPr>
        <w:spacing w:after="0" w:line="225" w:lineRule="exact"/>
        <w:rPr>
          <w:rFonts w:ascii="Times New Roman" w:cs="Times New Roman" w:eastAsia="Times New Roman" w:hAnsi="Times New Roman"/>
          <w:sz w:val="18"/>
          <w:szCs w:val="18"/>
          <w:color w:val="auto"/>
        </w:rPr>
      </w:pPr>
    </w:p>
    <w:p>
      <w:pPr>
        <w:ind w:left="1690" w:right="159" w:hanging="5"/>
        <w:spacing w:after="0" w:line="282" w:lineRule="auto"/>
        <w:tabs>
          <w:tab w:leader="none" w:pos="195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31 March 2023, the Fixed Charges Cover Ratio for Calculation Period ending on that date is not less than 2 times;</w:t>
      </w:r>
    </w:p>
    <w:p>
      <w:pPr>
        <w:spacing w:after="0" w:line="161" w:lineRule="exact"/>
        <w:rPr>
          <w:rFonts w:ascii="Times New Roman" w:cs="Times New Roman" w:eastAsia="Times New Roman" w:hAnsi="Times New Roman"/>
          <w:sz w:val="18"/>
          <w:szCs w:val="18"/>
          <w:color w:val="auto"/>
        </w:rPr>
      </w:pPr>
    </w:p>
    <w:p>
      <w:pPr>
        <w:ind w:left="1690" w:right="259" w:hanging="5"/>
        <w:spacing w:after="0" w:line="282" w:lineRule="auto"/>
        <w:tabs>
          <w:tab w:leader="none" w:pos="198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June 2023, the Fixed Charges Cover Ratio for Calculation Period ending on that date is not less than 2 times;</w:t>
      </w:r>
    </w:p>
    <w:p>
      <w:pPr>
        <w:spacing w:after="0" w:line="161" w:lineRule="exact"/>
        <w:rPr>
          <w:rFonts w:ascii="Times New Roman" w:cs="Times New Roman" w:eastAsia="Times New Roman" w:hAnsi="Times New Roman"/>
          <w:sz w:val="18"/>
          <w:szCs w:val="18"/>
          <w:color w:val="auto"/>
        </w:rPr>
      </w:pPr>
    </w:p>
    <w:p>
      <w:pPr>
        <w:ind w:left="1690" w:right="99" w:hanging="5"/>
        <w:spacing w:after="0" w:line="282" w:lineRule="auto"/>
        <w:tabs>
          <w:tab w:leader="none" w:pos="198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September 2023, the Fixed Charges Cover Ratio for Calculation Period ending on that date is not less than 2 times; and</w:t>
      </w:r>
    </w:p>
    <w:p>
      <w:pPr>
        <w:spacing w:after="0" w:line="161" w:lineRule="exact"/>
        <w:rPr>
          <w:rFonts w:ascii="Times New Roman" w:cs="Times New Roman" w:eastAsia="Times New Roman" w:hAnsi="Times New Roman"/>
          <w:sz w:val="18"/>
          <w:szCs w:val="18"/>
          <w:color w:val="auto"/>
        </w:rPr>
      </w:pPr>
    </w:p>
    <w:p>
      <w:pPr>
        <w:ind w:left="1710" w:hanging="582"/>
        <w:spacing w:after="0"/>
        <w:tabs>
          <w:tab w:leader="none" w:pos="171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9.8(a)(ii)(B) and Clause 9.8(a)(ii)(C) are amended by and restated as follows:</w:t>
      </w:r>
    </w:p>
    <w:p>
      <w:pPr>
        <w:spacing w:after="0" w:line="225" w:lineRule="exact"/>
        <w:rPr>
          <w:rFonts w:ascii="Times New Roman" w:cs="Times New Roman" w:eastAsia="Times New Roman" w:hAnsi="Times New Roman"/>
          <w:sz w:val="18"/>
          <w:szCs w:val="18"/>
          <w:color w:val="auto"/>
        </w:rPr>
      </w:pPr>
    </w:p>
    <w:p>
      <w:pPr>
        <w:ind w:left="1690" w:right="239" w:hanging="5"/>
        <w:spacing w:after="0" w:line="282" w:lineRule="auto"/>
        <w:tabs>
          <w:tab w:leader="none" w:pos="1975"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31 March 2023 the Leverage Ratio for the Calculation Period ending on that date is less than or equal to 3.25 times;</w:t>
      </w:r>
    </w:p>
    <w:p>
      <w:pPr>
        <w:spacing w:after="0" w:line="161" w:lineRule="exact"/>
        <w:rPr>
          <w:rFonts w:ascii="Times New Roman" w:cs="Times New Roman" w:eastAsia="Times New Roman" w:hAnsi="Times New Roman"/>
          <w:sz w:val="18"/>
          <w:szCs w:val="18"/>
          <w:color w:val="auto"/>
        </w:rPr>
      </w:pPr>
    </w:p>
    <w:p>
      <w:pPr>
        <w:ind w:left="1690" w:right="379" w:hanging="5"/>
        <w:spacing w:after="0" w:line="282" w:lineRule="auto"/>
        <w:tabs>
          <w:tab w:leader="none" w:pos="1975"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June 2023 the Leverage Ratio for the Calculation Period ending on that date is less than or equal to 3.25 times; and</w:t>
      </w:r>
    </w:p>
    <w:p>
      <w:pPr>
        <w:spacing w:after="0" w:line="158" w:lineRule="exact"/>
        <w:rPr>
          <w:sz w:val="20"/>
          <w:szCs w:val="20"/>
          <w:color w:val="auto"/>
        </w:rPr>
      </w:pPr>
    </w:p>
    <w:p>
      <w:pPr>
        <w:ind w:left="530" w:hanging="530"/>
        <w:spacing w:after="0"/>
        <w:tabs>
          <w:tab w:leader="none" w:pos="53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CONFIRMATION</w:t>
      </w:r>
    </w:p>
    <w:p>
      <w:pPr>
        <w:spacing w:after="0" w:line="229" w:lineRule="exact"/>
        <w:rPr>
          <w:sz w:val="20"/>
          <w:szCs w:val="20"/>
          <w:color w:val="auto"/>
        </w:rPr>
      </w:pPr>
    </w:p>
    <w:p>
      <w:pPr>
        <w:jc w:val="both"/>
        <w:ind w:left="510" w:right="459"/>
        <w:spacing w:after="0" w:line="312" w:lineRule="auto"/>
        <w:rPr>
          <w:sz w:val="20"/>
          <w:szCs w:val="20"/>
          <w:color w:val="auto"/>
        </w:rPr>
      </w:pPr>
      <w:r>
        <w:rPr>
          <w:rFonts w:ascii="Times New Roman" w:cs="Times New Roman" w:eastAsia="Times New Roman" w:hAnsi="Times New Roman"/>
          <w:sz w:val="17"/>
          <w:szCs w:val="17"/>
          <w:color w:val="auto"/>
        </w:rPr>
        <w:t>Each party is bound by the Original Document as amended by this document. Each Security Provider agrees to the Security granted by it continuing to secure obligations under the Original Document as amended by this document.</w:t>
      </w:r>
    </w:p>
    <w:p>
      <w:pPr>
        <w:spacing w:after="0" w:line="136" w:lineRule="exact"/>
        <w:rPr>
          <w:sz w:val="20"/>
          <w:szCs w:val="20"/>
          <w:color w:val="auto"/>
        </w:rPr>
      </w:pPr>
    </w:p>
    <w:p>
      <w:pPr>
        <w:ind w:left="530" w:hanging="530"/>
        <w:spacing w:after="0"/>
        <w:tabs>
          <w:tab w:leader="none" w:pos="53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510" w:right="1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date of this document and on the Effective Date, each representation and warranty contained in the Original Document is deemed to be repeated by the Borrower and each Guarantor for the benefit of NAB with reference to facts and circumstances subsisting as at the date of this document and the Effective Date respectively.</w:t>
      </w:r>
    </w:p>
    <w:p>
      <w:pPr>
        <w:spacing w:after="0" w:line="172" w:lineRule="exact"/>
        <w:rPr>
          <w:sz w:val="20"/>
          <w:szCs w:val="20"/>
          <w:color w:val="auto"/>
        </w:rPr>
      </w:pPr>
    </w:p>
    <w:p>
      <w:pPr>
        <w:ind w:left="530" w:hanging="530"/>
        <w:spacing w:after="0"/>
        <w:tabs>
          <w:tab w:leader="none" w:pos="53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PROVISIONS UNAFFECTED</w:t>
      </w:r>
    </w:p>
    <w:p>
      <w:pPr>
        <w:spacing w:after="0" w:line="229" w:lineRule="exact"/>
        <w:rPr>
          <w:rFonts w:ascii="Times New Roman" w:cs="Times New Roman" w:eastAsia="Times New Roman" w:hAnsi="Times New Roman"/>
          <w:sz w:val="18"/>
          <w:szCs w:val="18"/>
          <w:b w:val="1"/>
          <w:bCs w:val="1"/>
          <w:color w:val="auto"/>
        </w:rPr>
      </w:pPr>
    </w:p>
    <w:p>
      <w:pPr>
        <w:ind w:left="510" w:right="43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specifically amended by this document, the provisions of the Original Document remain in full force and effect.</w:t>
      </w:r>
    </w:p>
    <w:p>
      <w:pPr>
        <w:spacing w:after="0" w:line="158" w:lineRule="exact"/>
        <w:rPr>
          <w:sz w:val="20"/>
          <w:szCs w:val="20"/>
          <w:color w:val="auto"/>
        </w:rPr>
      </w:pPr>
    </w:p>
    <w:p>
      <w:pPr>
        <w:ind w:left="530" w:hanging="530"/>
        <w:spacing w:after="0"/>
        <w:tabs>
          <w:tab w:leader="none" w:pos="53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TAXES</w:t>
      </w:r>
    </w:p>
    <w:p>
      <w:pPr>
        <w:spacing w:after="0" w:line="229" w:lineRule="exact"/>
        <w:rPr>
          <w:rFonts w:ascii="Times New Roman" w:cs="Times New Roman" w:eastAsia="Times New Roman" w:hAnsi="Times New Roman"/>
          <w:sz w:val="18"/>
          <w:szCs w:val="18"/>
          <w:b w:val="1"/>
          <w:bCs w:val="1"/>
          <w:color w:val="auto"/>
        </w:rPr>
      </w:pPr>
    </w:p>
    <w:p>
      <w:pPr>
        <w:ind w:left="510" w:right="53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must pay to NAB immediately upon demand all Costs and Taxes of any nature incurred by NAB in connection with:</w:t>
      </w:r>
    </w:p>
    <w:p>
      <w:pPr>
        <w:spacing w:after="0" w:line="161" w:lineRule="exact"/>
        <w:rPr>
          <w:rFonts w:ascii="Times New Roman" w:cs="Times New Roman" w:eastAsia="Times New Roman" w:hAnsi="Times New Roman"/>
          <w:sz w:val="18"/>
          <w:szCs w:val="18"/>
          <w:b w:val="1"/>
          <w:bCs w:val="1"/>
          <w:color w:val="auto"/>
        </w:rPr>
      </w:pPr>
    </w:p>
    <w:p>
      <w:pPr>
        <w:ind w:left="1690" w:right="559" w:hanging="562"/>
        <w:spacing w:after="0" w:line="282" w:lineRule="auto"/>
        <w:tabs>
          <w:tab w:leader="none" w:pos="171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preparation, execution, delivery, stamping, registration, completion, amendment, release and discharge of this document;</w:t>
      </w:r>
    </w:p>
    <w:p>
      <w:pPr>
        <w:sectPr>
          <w:pgSz w:w="11900" w:h="16838" w:orient="portrait"/>
          <w:cols w:equalWidth="0" w:num="1">
            <w:col w:w="9249"/>
          </w:cols>
          <w:pgMar w:left="1210" w:top="121" w:right="1440" w:bottom="114" w:gutter="0" w:footer="0" w:header="0"/>
        </w:sectPr>
      </w:pPr>
    </w:p>
    <w:bookmarkStart w:id="106" w:name="page107"/>
    <w:bookmarkEnd w:id="106"/>
    <w:p>
      <w:pPr>
        <w:ind w:left="1690" w:right="699" w:hanging="562"/>
        <w:spacing w:after="0" w:line="282" w:lineRule="auto"/>
        <w:tabs>
          <w:tab w:leader="none" w:pos="172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grant of any request for consent, approval or waiver under this document regardless of whether NAB gives the consent, approval or waiver sought; and</w:t>
      </w:r>
    </w:p>
    <w:p>
      <w:pPr>
        <w:spacing w:after="0" w:line="161" w:lineRule="exact"/>
        <w:rPr>
          <w:rFonts w:ascii="Times New Roman" w:cs="Times New Roman" w:eastAsia="Times New Roman" w:hAnsi="Times New Roman"/>
          <w:sz w:val="18"/>
          <w:szCs w:val="18"/>
          <w:color w:val="auto"/>
        </w:rPr>
      </w:pPr>
    </w:p>
    <w:p>
      <w:pPr>
        <w:ind w:left="1690" w:right="319" w:hanging="562"/>
        <w:spacing w:after="0" w:line="282" w:lineRule="auto"/>
        <w:tabs>
          <w:tab w:leader="none" w:pos="171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preservation, exercise, enforcement or waiver of any power, right or remedy under, or taking any action in connection with, this document or considering, preparing or attempting to do so.</w:t>
      </w:r>
    </w:p>
    <w:p>
      <w:pPr>
        <w:spacing w:after="0" w:line="158" w:lineRule="exact"/>
        <w:rPr>
          <w:sz w:val="20"/>
          <w:szCs w:val="20"/>
          <w:color w:val="auto"/>
        </w:rPr>
      </w:pPr>
    </w:p>
    <w:p>
      <w:pPr>
        <w:ind w:left="530" w:hanging="530"/>
        <w:spacing w:after="0"/>
        <w:tabs>
          <w:tab w:leader="none" w:pos="53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Communications and Notices</w:t>
      </w:r>
    </w:p>
    <w:p>
      <w:pPr>
        <w:spacing w:after="0" w:line="229"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color w:val="auto"/>
        </w:rPr>
        <w:t>Clause 19 (Notices) in the Original Document applies to this document as if set out in full in this document.</w:t>
      </w:r>
    </w:p>
    <w:p>
      <w:pPr>
        <w:spacing w:after="0" w:line="221"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left="510" w:right="139"/>
        <w:spacing w:after="0" w:line="282" w:lineRule="auto"/>
        <w:rPr>
          <w:sz w:val="20"/>
          <w:szCs w:val="20"/>
          <w:color w:val="auto"/>
        </w:rPr>
      </w:pPr>
      <w:r>
        <w:rPr>
          <w:rFonts w:ascii="Times New Roman" w:cs="Times New Roman" w:eastAsia="Times New Roman" w:hAnsi="Times New Roman"/>
          <w:sz w:val="18"/>
          <w:szCs w:val="18"/>
          <w:color w:val="auto"/>
        </w:rPr>
        <w:t>This document may be executed in any number of counterparts and, if so, the counterparts taken together constitute one and the same instrument.</w:t>
      </w:r>
    </w:p>
    <w:p>
      <w:pPr>
        <w:spacing w:after="0" w:line="158" w:lineRule="exact"/>
        <w:rPr>
          <w:sz w:val="20"/>
          <w:szCs w:val="20"/>
          <w:color w:val="auto"/>
        </w:rPr>
      </w:pPr>
    </w:p>
    <w:p>
      <w:pPr>
        <w:ind w:left="10"/>
        <w:spacing w:after="0"/>
        <w:tabs>
          <w:tab w:leader="none" w:pos="55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ind w:left="510" w:right="479"/>
        <w:spacing w:after="0" w:line="282" w:lineRule="auto"/>
        <w:rPr>
          <w:sz w:val="20"/>
          <w:szCs w:val="20"/>
          <w:color w:val="auto"/>
        </w:rPr>
      </w:pPr>
      <w:r>
        <w:rPr>
          <w:rFonts w:ascii="Times New Roman" w:cs="Times New Roman" w:eastAsia="Times New Roman" w:hAnsi="Times New Roman"/>
          <w:sz w:val="18"/>
          <w:szCs w:val="18"/>
          <w:color w:val="auto"/>
        </w:rPr>
        <w:t>This document is governed by the laws of Victoria. Each party irrevocably and unconditionally submits to the non-exclusive jurisdiction of the courts exercising jurisdiction there.</w:t>
      </w:r>
    </w:p>
    <w:p>
      <w:pPr>
        <w:spacing w:after="0" w:line="162"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141605</wp:posOffset>
            </wp:positionV>
            <wp:extent cx="589724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0">
                      <a:extLst>
                        <a:ext uri="{28A0092B-C50C-407E-A947-70E740481C1C}"/>
                      </a:extLst>
                    </a:blip>
                    <a:srcRect/>
                    <a:stretch>
                      <a:fillRect/>
                    </a:stretch>
                  </pic:blipFill>
                  <pic:spPr bwMode="auto">
                    <a:xfrm>
                      <a:off x="0" y="0"/>
                      <a:ext cx="5897245" cy="50800"/>
                    </a:xfrm>
                    <a:prstGeom prst="rect">
                      <a:avLst/>
                    </a:prstGeom>
                    <a:noFill/>
                  </pic:spPr>
                </pic:pic>
              </a:graphicData>
            </a:graphic>
          </wp:anchor>
        </w:drawing>
      </w:r>
    </w:p>
    <w:p>
      <w:pPr>
        <w:sectPr>
          <w:pgSz w:w="11900" w:h="16838" w:orient="portrait"/>
          <w:cols w:equalWidth="0" w:num="1">
            <w:col w:w="9249"/>
          </w:cols>
          <w:pgMar w:left="1210" w:top="121"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NAB</w:t>
            </w: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Executed on behalf of </w:t>
            </w:r>
            <w:r>
              <w:rPr>
                <w:rFonts w:ascii="Times New Roman" w:cs="Times New Roman" w:eastAsia="Times New Roman" w:hAnsi="Times New Roman"/>
                <w:sz w:val="18"/>
                <w:szCs w:val="18"/>
                <w:b w:val="1"/>
                <w:bCs w:val="1"/>
                <w:color w:val="auto"/>
              </w:rPr>
              <w:t>the NATIONAL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AUSTRALIA BANK LIMITED </w:t>
            </w:r>
            <w:r>
              <w:rPr>
                <w:rFonts w:ascii="Times New Roman" w:cs="Times New Roman" w:eastAsia="Times New Roman" w:hAnsi="Times New Roman"/>
                <w:sz w:val="18"/>
                <w:szCs w:val="18"/>
                <w:color w:val="auto"/>
              </w:rPr>
              <w:t>by its Attorney who</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holds the position of Level 2 Attorney under Power of</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 dated 1 March 2007 in the presence of:</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Jason Van Eden_____________________</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_/s/ Meagan Zwerwer_____________</w:t>
            </w:r>
          </w:p>
        </w:tc>
        <w:tc>
          <w:tcPr>
            <w:tcW w:w="0" w:type="dxa"/>
            <w:vAlign w:val="bottom"/>
          </w:tcPr>
          <w:p>
            <w:pPr>
              <w:spacing w:after="0"/>
              <w:rPr>
                <w:sz w:val="1"/>
                <w:szCs w:val="1"/>
                <w:color w:val="auto"/>
              </w:rPr>
            </w:pPr>
          </w:p>
        </w:tc>
      </w:tr>
      <w:tr>
        <w:trPr>
          <w:trHeight w:val="81"/>
        </w:trPr>
        <w:tc>
          <w:tcPr>
            <w:tcW w:w="40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Signature of Witness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Signature of Attorney</w:t>
            </w:r>
          </w:p>
        </w:tc>
        <w:tc>
          <w:tcPr>
            <w:tcW w:w="0" w:type="dxa"/>
            <w:vAlign w:val="bottom"/>
          </w:tcPr>
          <w:p>
            <w:pPr>
              <w:spacing w:after="0"/>
              <w:rPr>
                <w:sz w:val="1"/>
                <w:szCs w:val="1"/>
                <w:color w:val="auto"/>
              </w:rPr>
            </w:pPr>
          </w:p>
        </w:tc>
      </w:tr>
      <w:tr>
        <w:trPr>
          <w:trHeight w:val="99"/>
        </w:trPr>
        <w:tc>
          <w:tcPr>
            <w:tcW w:w="4060" w:type="dxa"/>
            <w:vAlign w:val="bottom"/>
          </w:tcPr>
          <w:p>
            <w:pPr>
              <w:spacing w:after="0"/>
              <w:rPr>
                <w:sz w:val="8"/>
                <w:szCs w:val="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Jason Van Eden_____________________</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of Witness (print)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___Meagan Zwerwer____________</w:t>
            </w: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2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Name of Attorney (print)</w:t>
            </w: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240" w:type="dxa"/>
            <w:vAlign w:val="bottom"/>
            <w:vMerge w:val="restart"/>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0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141605</wp:posOffset>
            </wp:positionV>
            <wp:extent cx="589724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1">
                      <a:extLst>
                        <a:ext uri="{28A0092B-C50C-407E-A947-70E740481C1C}"/>
                      </a:extLst>
                    </a:blip>
                    <a:srcRect/>
                    <a:stretch>
                      <a:fillRect/>
                    </a:stretch>
                  </pic:blipFill>
                  <pic:spPr bwMode="auto">
                    <a:xfrm>
                      <a:off x="0" y="0"/>
                      <a:ext cx="5897245" cy="50800"/>
                    </a:xfrm>
                    <a:prstGeom prst="rect">
                      <a:avLst/>
                    </a:prstGeom>
                    <a:noFill/>
                  </pic:spPr>
                </pic:pic>
              </a:graphicData>
            </a:graphic>
          </wp:anchor>
        </w:drawing>
      </w:r>
    </w:p>
    <w:p>
      <w:pPr>
        <w:sectPr>
          <w:pgSz w:w="11900" w:h="16838" w:orient="portrait"/>
          <w:cols w:equalWidth="0" w:num="1">
            <w:col w:w="9239"/>
          </w:cols>
          <w:pgMar w:left="1220" w:top="549"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BORROWER AND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Executed by</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Entertainment Australia Pty Ltd ACN 070 893 908</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Australia Country Cinemas Pty Ltd ACN 076 276 349</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Cinemas Asset Management Pty Ltd ACN 122 571 420</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Burwood Developments Pty Ltd ACN 105 384 905</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Epping Cinemas Pty Ltd ACN 073 997 172</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Hotel Newmarket Pty Ltd ACN 094 367 969</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Newmarket Properties Pty Ltd ACN 105 386 409</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Newmarket Properties No. 2 Pty Ltd ACN 109 038 806</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Newmarket Properties #3 Pty Ltd ACN 126 697 505</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Australia Leasing (E&amp;R) Pty Ltd ACN 107 939 211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Belmont Pty Ltd ACN 126 697 498</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Bundaberg 2012 Pty Ltd ACN 122 406 320</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Charlestown Pty Ltd ACN 123 938 483</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Cinemas Pty Ltd ACN 073 808 643</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Cinemas Management Pty Ltd ACN 122 406 311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State Cinema Hobart Pty Ltd ACN 108 861 061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Dandenong Pty Ltd ACN 129 018 739</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Elizabeth Pty Ltd ACN 114 582 099</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Exhibition Pty Ltd ACN 103 529 782</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Licences Pty Ltd ACN 089 544 605</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Maitland Pty Ltd ACN 126 697 461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Melton Pty Ltd ACN 109 074 517</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Properties Pty Ltd ACN 071 195 429</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Properties lndooroopilly Pty Ltd ACN 121 284 884 as trustee</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 the Landplan Property Partners Discretionary Trust</w:t>
            </w:r>
          </w:p>
        </w:tc>
        <w:tc>
          <w:tcPr>
            <w:tcW w:w="33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Reading Properties Taringa Pty Ltd ACN 128 819 483 as trustee for the ) __/s/ Andrzej Matyczynski_______</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Property Partners No. 1 Discretionary Trust</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Signature of director/company secretary</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Property Holdings Pty Ltd ACN 126 289 772</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_ Andrzej Matyczynski__________</w:t>
            </w: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Rouse Hill Pty Ltd ACN 123 245 885</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Name of director/company secretary (print)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Sunbury Pty Limited ACN 109 074 571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Rhodes Peninsula Cinema Pty Limited ACN 120 827 812</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Westlakes Cinema Pty Ltd ACN 108 531 308</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Busselton Pty Ltd ACN 143 633 096</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Cannon Park Pty Ltd ACN 609 837 569</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Angelika Anywhere Pty Ltd ACN 642 993 593</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Jindalee Pty Ltd ACN 629 483 914</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Devonport Pty Ltd ACN 629 484 126</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Altona Pty Ltd ACN 634 384 311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South City Square Pty Ltd ACN 616 892 936</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Traralgon Pty Ltd ACN 618 457 202</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Burwood Pty Ltd ACN 619 050 396</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Reading Cinemas Auburn Pty Ltd ACN 633 008 401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 accordance with Section 127 of the Corporations Act 2001</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_/s/ Ellen M. Cotter_________________</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director</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_ Ellen M. Cotter____________________</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Name of director (print)</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Schedule 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141605</wp:posOffset>
            </wp:positionV>
            <wp:extent cx="589724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2">
                      <a:extLst>
                        <a:ext uri="{28A0092B-C50C-407E-A947-70E740481C1C}"/>
                      </a:extLst>
                    </a:blip>
                    <a:srcRect/>
                    <a:stretch>
                      <a:fillRect/>
                    </a:stretch>
                  </pic:blipFill>
                  <pic:spPr bwMode="auto">
                    <a:xfrm>
                      <a:off x="0" y="0"/>
                      <a:ext cx="5897245" cy="51435"/>
                    </a:xfrm>
                    <a:prstGeom prst="rect">
                      <a:avLst/>
                    </a:prstGeom>
                    <a:noFill/>
                  </pic:spPr>
                </pic:pic>
              </a:graphicData>
            </a:graphic>
          </wp:anchor>
        </w:drawing>
      </w:r>
    </w:p>
    <w:p>
      <w:pPr>
        <w:sectPr>
          <w:pgSz w:w="11900" w:h="16838" w:orient="portrait"/>
          <w:cols w:equalWidth="0" w:num="1">
            <w:col w:w="9239"/>
          </w:cols>
          <w:pgMar w:left="1220" w:top="549" w:right="1440" w:bottom="1440" w:gutter="0" w:footer="0" w:header="0"/>
        </w:sectPr>
      </w:pPr>
    </w:p>
    <w:bookmarkStart w:id="109" w:name="page110"/>
    <w:bookmarkEnd w:id="109"/>
    <w:p>
      <w:pPr>
        <w:ind w:left="7700"/>
        <w:spacing w:after="0"/>
        <w:rPr>
          <w:sz w:val="20"/>
          <w:szCs w:val="20"/>
          <w:color w:val="auto"/>
        </w:rPr>
      </w:pPr>
      <w:r>
        <w:rPr>
          <w:rFonts w:ascii="Times New Roman" w:cs="Times New Roman" w:eastAsia="Times New Roman" w:hAnsi="Times New Roman"/>
          <w:sz w:val="18"/>
          <w:szCs w:val="18"/>
          <w:b w:val="1"/>
          <w:bCs w:val="1"/>
          <w:color w:val="auto"/>
        </w:rPr>
        <w:t>EXHIBIT 31.5</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14(a) AS ADOPTED PURSUANT TO SECTION 302 OF THE SARBANES-OXLEY ACT OF 2002</w:t>
      </w: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Ellen M. Cotter, certify that:</w:t>
      </w:r>
    </w:p>
    <w:p>
      <w:pPr>
        <w:spacing w:after="0" w:line="104" w:lineRule="exact"/>
        <w:rPr>
          <w:sz w:val="20"/>
          <w:szCs w:val="20"/>
          <w:color w:val="auto"/>
        </w:rPr>
      </w:pPr>
    </w:p>
    <w:p>
      <w:pPr>
        <w:ind w:left="500" w:hanging="316"/>
        <w:spacing w:after="0"/>
        <w:tabs>
          <w:tab w:leader="none" w:pos="5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10-K/A of Reading International, Inc.; and</w:t>
      </w:r>
    </w:p>
    <w:p>
      <w:pPr>
        <w:spacing w:after="0" w:line="225" w:lineRule="exact"/>
        <w:rPr>
          <w:rFonts w:ascii="Times New Roman" w:cs="Times New Roman" w:eastAsia="Times New Roman" w:hAnsi="Times New Roman"/>
          <w:sz w:val="18"/>
          <w:szCs w:val="18"/>
          <w:color w:val="auto"/>
        </w:rPr>
      </w:pPr>
    </w:p>
    <w:p>
      <w:pPr>
        <w:jc w:val="both"/>
        <w:ind w:left="500" w:right="199" w:hanging="316"/>
        <w:spacing w:after="0" w:line="266" w:lineRule="auto"/>
        <w:tabs>
          <w:tab w:leader="none" w:pos="5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Ellen M. Cotter</w:t>
            </w:r>
          </w:p>
        </w:tc>
      </w:tr>
      <w:tr>
        <w:trPr>
          <w:trHeight w:val="178"/>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Ellen M. Cotter</w:t>
            </w:r>
          </w:p>
        </w:tc>
        <w:tc>
          <w:tcPr>
            <w:tcW w:w="6680" w:type="dxa"/>
            <w:vAlign w:val="bottom"/>
          </w:tcPr>
          <w:p>
            <w:pPr>
              <w:spacing w:after="0"/>
              <w:rPr>
                <w:sz w:val="15"/>
                <w:szCs w:val="15"/>
                <w:color w:val="auto"/>
              </w:rPr>
            </w:pPr>
          </w:p>
        </w:tc>
      </w:tr>
      <w:tr>
        <w:trPr>
          <w:trHeight w:val="203"/>
        </w:trPr>
        <w:tc>
          <w:tcPr>
            <w:tcW w:w="460" w:type="dxa"/>
            <w:vAlign w:val="bottom"/>
          </w:tcPr>
          <w:p>
            <w:pPr>
              <w:spacing w:after="0"/>
              <w:rPr>
                <w:sz w:val="17"/>
                <w:szCs w:val="17"/>
                <w:color w:val="auto"/>
              </w:rPr>
            </w:pPr>
          </w:p>
        </w:tc>
        <w:tc>
          <w:tcPr>
            <w:tcW w:w="822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60" w:type="dxa"/>
            <w:vAlign w:val="bottom"/>
          </w:tcPr>
          <w:p>
            <w:pPr>
              <w:spacing w:after="0"/>
              <w:rPr>
                <w:sz w:val="20"/>
                <w:szCs w:val="20"/>
                <w:color w:val="auto"/>
              </w:rPr>
            </w:pPr>
          </w:p>
        </w:tc>
        <w:tc>
          <w:tcPr>
            <w:tcW w:w="8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April 30, 2026</w:t>
            </w:r>
          </w:p>
        </w:tc>
      </w:tr>
      <w:tr>
        <w:trPr>
          <w:trHeight w:val="418"/>
        </w:trPr>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r>
        <w:trPr>
          <w:trHeight w:val="20"/>
        </w:trPr>
        <w:tc>
          <w:tcPr>
            <w:tcW w:w="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6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0" w:name="page111"/>
    <w:bookmarkEnd w:id="110"/>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31.6</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14(a) AS ADOPTED PURSUANT TO SECTION 302 OF THE SARBANES-OXLEY ACT OF 2002</w:t>
      </w: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Gilbert Avanes, certify that:</w:t>
      </w:r>
    </w:p>
    <w:p>
      <w:pPr>
        <w:spacing w:after="0" w:line="104" w:lineRule="exact"/>
        <w:rPr>
          <w:sz w:val="20"/>
          <w:szCs w:val="20"/>
          <w:color w:val="auto"/>
        </w:rPr>
      </w:pPr>
    </w:p>
    <w:p>
      <w:pPr>
        <w:ind w:left="500" w:hanging="316"/>
        <w:spacing w:after="0"/>
        <w:tabs>
          <w:tab w:leader="none" w:pos="5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10-K/A of Reading International, Inc.; and</w:t>
      </w:r>
    </w:p>
    <w:p>
      <w:pPr>
        <w:spacing w:after="0" w:line="225" w:lineRule="exact"/>
        <w:rPr>
          <w:rFonts w:ascii="Times New Roman" w:cs="Times New Roman" w:eastAsia="Times New Roman" w:hAnsi="Times New Roman"/>
          <w:sz w:val="18"/>
          <w:szCs w:val="18"/>
          <w:color w:val="auto"/>
        </w:rPr>
      </w:pPr>
    </w:p>
    <w:p>
      <w:pPr>
        <w:jc w:val="both"/>
        <w:ind w:left="500" w:right="199" w:hanging="316"/>
        <w:spacing w:after="0" w:line="266" w:lineRule="auto"/>
        <w:tabs>
          <w:tab w:leader="none" w:pos="5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/s/ Gilbert Avanes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Gilbert Avanes</w:t>
      </w:r>
    </w:p>
    <w:p>
      <w:pPr>
        <w:spacing w:after="0" w:line="9" w:lineRule="exact"/>
        <w:rPr>
          <w:sz w:val="20"/>
          <w:szCs w:val="20"/>
          <w:color w:val="auto"/>
        </w:rPr>
      </w:pPr>
    </w:p>
    <w:p>
      <w:pPr>
        <w:ind w:left="180" w:right="4239"/>
        <w:spacing w:after="0" w:line="260" w:lineRule="auto"/>
        <w:rPr>
          <w:sz w:val="20"/>
          <w:szCs w:val="20"/>
          <w:color w:val="auto"/>
        </w:rPr>
      </w:pPr>
      <w:r>
        <w:rPr>
          <w:rFonts w:ascii="Times New Roman" w:cs="Times New Roman" w:eastAsia="Times New Roman" w:hAnsi="Times New Roman"/>
          <w:sz w:val="18"/>
          <w:szCs w:val="18"/>
          <w:color w:val="auto"/>
        </w:rPr>
        <w:t xml:space="preserve">Executive Vice President, Chief Financial Officer and Treasurer </w:t>
      </w:r>
      <w:r>
        <w:rPr>
          <w:rFonts w:ascii="Times New Roman" w:cs="Times New Roman" w:eastAsia="Times New Roman" w:hAnsi="Times New Roman"/>
          <w:sz w:val="18"/>
          <w:szCs w:val="18"/>
          <w:i w:val="1"/>
          <w:iCs w:val="1"/>
          <w:color w:val="auto"/>
        </w:rPr>
        <w:t>(Principal Financial Officer)</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313055</wp:posOffset>
            </wp:positionV>
            <wp:extent cx="552894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x"/>
      <w:numFmt w:val="bullet"/>
      <w:start w:val="1"/>
    </w:lvl>
  </w:abstractNum>
  <w:abstractNum w:abstractNumId="1">
    <w:nsid w:val="379E21B5"/>
    <w:multiLevelType w:val="hybridMultilevel"/>
    <w:lvl w:ilvl="0">
      <w:lvlJc w:val="left"/>
      <w:lvlText w:val="o"/>
      <w:numFmt w:val="bullet"/>
      <w:start w:val="1"/>
    </w:lvl>
  </w:abstractNum>
  <w:abstractNum w:abstractNumId="2">
    <w:nsid w:val="69E373"/>
    <w:multiLevelType w:val="hybridMultilevel"/>
    <w:lvl w:ilvl="0">
      <w:lvlJc w:val="left"/>
      <w:lvlText w:val="(%1)"/>
      <w:numFmt w:val="decimal"/>
      <w:start w:val="1"/>
    </w:lvl>
  </w:abstractNum>
  <w:abstractNum w:abstractNumId="3">
    <w:nsid w:val="2C27173B"/>
    <w:multiLevelType w:val="hybridMultilevel"/>
    <w:lvl w:ilvl="0">
      <w:lvlJc w:val="left"/>
      <w:lvlText w:val=" "/>
      <w:numFmt w:val="bullet"/>
      <w:start w:val="1"/>
    </w:lvl>
  </w:abstractNum>
  <w:abstractNum w:abstractNumId="4">
    <w:nsid w:val="4C9B0904"/>
    <w:multiLevelType w:val="hybridMultilevel"/>
    <w:lvl w:ilvl="0">
      <w:lvlJc w:val="left"/>
      <w:lvlText w:val="1"/>
      <w:numFmt w:val="bullet"/>
      <w:start w:val="1"/>
    </w:lvl>
  </w:abstractNum>
  <w:abstractNum w:abstractNumId="5">
    <w:nsid w:val="6AA7B75C"/>
    <w:multiLevelType w:val="hybridMultilevel"/>
    <w:lvl w:ilvl="0">
      <w:lvlJc w:val="left"/>
      <w:lvlText w:val=" "/>
      <w:numFmt w:val="bullet"/>
      <w:start w:val="1"/>
    </w:lvl>
  </w:abstractNum>
  <w:abstractNum w:abstractNumId="6">
    <w:nsid w:val="1DF029D3"/>
    <w:multiLevelType w:val="hybridMultilevel"/>
    <w:lvl w:ilvl="0">
      <w:lvlJc w:val="left"/>
      <w:lvlText w:val="%1."/>
      <w:numFmt w:val="decimal"/>
      <w:start w:val="1"/>
    </w:lvl>
  </w:abstractNum>
  <w:abstractNum w:abstractNumId="7">
    <w:nsid w:val="5675FF36"/>
    <w:multiLevelType w:val="hybridMultilevel"/>
    <w:lvl w:ilvl="0">
      <w:lvlJc w:val="left"/>
      <w:lvlText w:val="(%1)"/>
      <w:numFmt w:val="decimal"/>
      <w:start w:val="1"/>
    </w:lvl>
  </w:abstractNum>
  <w:abstractNum w:abstractNumId="8">
    <w:nsid w:val="3DD15094"/>
    <w:multiLevelType w:val="hybridMultilevel"/>
    <w:lvl w:ilvl="0">
      <w:lvlJc w:val="left"/>
      <w:lvlText w:val="(%1)"/>
      <w:numFmt w:val="decimal"/>
      <w:start w:val="1"/>
    </w:lvl>
  </w:abstractNum>
  <w:abstractNum w:abstractNumId="9">
    <w:nsid w:val="3DB012B3"/>
    <w:multiLevelType w:val="hybridMultilevel"/>
    <w:lvl w:ilvl="0">
      <w:lvlJc w:val="left"/>
      <w:lvlText w:val="(%1)"/>
      <w:numFmt w:val="decimal"/>
      <w:start w:val="1"/>
    </w:lvl>
  </w:abstractNum>
  <w:abstractNum w:abstractNumId="10">
    <w:nsid w:val="2708C9AF"/>
    <w:multiLevelType w:val="hybridMultilevel"/>
    <w:lvl w:ilvl="0">
      <w:lvlJc w:val="left"/>
      <w:lvlText w:val="(%1)"/>
      <w:numFmt w:val="decimal"/>
      <w:start w:val="1"/>
    </w:lvl>
  </w:abstractNum>
  <w:abstractNum w:abstractNumId="11">
    <w:nsid w:val="5B25ACE2"/>
    <w:multiLevelType w:val="hybridMultilevel"/>
    <w:lvl w:ilvl="0">
      <w:lvlJc w:val="left"/>
      <w:lvlText w:val="(%1)"/>
      <w:numFmt w:val="decimal"/>
      <w:start w:val="3"/>
    </w:lvl>
  </w:abstractNum>
  <w:abstractNum w:abstractNumId="12">
    <w:nsid w:val="175DFCF0"/>
    <w:multiLevelType w:val="hybridMultilevel"/>
    <w:lvl w:ilvl="0">
      <w:lvlJc w:val="left"/>
      <w:lvlText w:val="(%1)"/>
      <w:numFmt w:val="decimal"/>
      <w:start w:val="5"/>
    </w:lvl>
  </w:abstractNum>
  <w:abstractNum w:abstractNumId="13">
    <w:nsid w:val="4F97E3E4"/>
    <w:multiLevelType w:val="hybridMultilevel"/>
    <w:lvl w:ilvl="0">
      <w:lvlJc w:val="left"/>
      <w:lvlText w:val=" "/>
      <w:numFmt w:val="bullet"/>
      <w:start w:val="1"/>
    </w:lvl>
  </w:abstractNum>
  <w:abstractNum w:abstractNumId="14">
    <w:nsid w:val="53B0A9E"/>
    <w:multiLevelType w:val="hybridMultilevel"/>
    <w:lvl w:ilvl="0">
      <w:lvlJc w:val="left"/>
      <w:lvlText w:val="(%1)"/>
      <w:numFmt w:val="decimal"/>
      <w:start w:val="1"/>
    </w:lvl>
  </w:abstractNum>
  <w:abstractNum w:abstractNumId="15">
    <w:nsid w:val="34FD6B4F"/>
    <w:multiLevelType w:val="hybridMultilevel"/>
    <w:lvl w:ilvl="0">
      <w:lvlJc w:val="left"/>
      <w:lvlText w:val="(%1)"/>
      <w:numFmt w:val="decimal"/>
      <w:start w:val="2"/>
    </w:lvl>
  </w:abstractNum>
  <w:abstractNum w:abstractNumId="16">
    <w:nsid w:val="5915FF32"/>
    <w:multiLevelType w:val="hybridMultilevel"/>
    <w:lvl w:ilvl="0">
      <w:lvlJc w:val="left"/>
      <w:lvlText w:val=" "/>
      <w:numFmt w:val="bullet"/>
      <w:start w:val="1"/>
    </w:lvl>
  </w:abstractNum>
  <w:abstractNum w:abstractNumId="17">
    <w:nsid w:val="56438D15"/>
    <w:multiLevelType w:val="hybridMultilevel"/>
    <w:lvl w:ilvl="0">
      <w:lvlJc w:val="left"/>
      <w:lvlText w:val="(%1)"/>
      <w:numFmt w:val="decimal"/>
      <w:start w:val="1"/>
    </w:lvl>
  </w:abstractNum>
  <w:abstractNum w:abstractNumId="18">
    <w:nsid w:val="519E3149"/>
    <w:multiLevelType w:val="hybridMultilevel"/>
    <w:lvl w:ilvl="0">
      <w:lvlJc w:val="left"/>
      <w:lvlText w:val="(%1)"/>
      <w:numFmt w:val="decimal"/>
      <w:start w:val="3"/>
    </w:lvl>
  </w:abstractNum>
  <w:abstractNum w:abstractNumId="19">
    <w:nsid w:val="2C6E4AFD"/>
    <w:multiLevelType w:val="hybridMultilevel"/>
    <w:lvl w:ilvl="0">
      <w:lvlJc w:val="left"/>
      <w:lvlText w:val="(%1)"/>
      <w:numFmt w:val="lowerRoman"/>
      <w:start w:val="1"/>
    </w:lvl>
  </w:abstractNum>
  <w:abstractNum w:abstractNumId="20">
    <w:nsid w:val="17A1B582"/>
    <w:multiLevelType w:val="hybridMultilevel"/>
    <w:lvl w:ilvl="0">
      <w:lvlJc w:val="left"/>
      <w:lvlText w:val=" "/>
      <w:numFmt w:val="bullet"/>
      <w:start w:val="1"/>
    </w:lvl>
  </w:abstractNum>
  <w:abstractNum w:abstractNumId="21">
    <w:nsid w:val="4DF72E4E"/>
    <w:multiLevelType w:val="hybridMultilevel"/>
    <w:lvl w:ilvl="0">
      <w:lvlJc w:val="left"/>
      <w:lvlText w:val="†"/>
      <w:numFmt w:val="bullet"/>
      <w:start w:val="1"/>
    </w:lvl>
  </w:abstractNum>
  <w:abstractNum w:abstractNumId="22">
    <w:nsid w:val="5046B5A9"/>
    <w:multiLevelType w:val="hybridMultilevel"/>
    <w:lvl w:ilvl="0">
      <w:lvlJc w:val="left"/>
      <w:lvlText w:val="1"/>
      <w:numFmt w:val="bullet"/>
      <w:start w:val="1"/>
    </w:lvl>
  </w:abstractNum>
  <w:abstractNum w:abstractNumId="23">
    <w:nsid w:val="5D888A08"/>
    <w:multiLevelType w:val="hybridMultilevel"/>
    <w:lvl w:ilvl="0">
      <w:lvlJc w:val="left"/>
      <w:lvlText w:val="2"/>
      <w:numFmt w:val="bullet"/>
      <w:start w:val="1"/>
    </w:lvl>
  </w:abstractNum>
  <w:abstractNum w:abstractNumId="24">
    <w:nsid w:val="2A082C70"/>
    <w:multiLevelType w:val="hybridMultilevel"/>
    <w:lvl w:ilvl="0">
      <w:lvlJc w:val="left"/>
      <w:lvlText w:val="3"/>
      <w:numFmt w:val="bullet"/>
      <w:start w:val="1"/>
    </w:lvl>
  </w:abstractNum>
  <w:abstractNum w:abstractNumId="25">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19E21BB2"/>
    <w:multiLevelType w:val="hybridMultilevel"/>
    <w:lvl w:ilvl="0">
      <w:lvlJc w:val="left"/>
      <w:lvlText w:val="(%1)"/>
      <w:numFmt w:val="lowerLetter"/>
      <w:start w:val="1"/>
    </w:lvl>
  </w:abstractNum>
  <w:abstractNum w:abstractNumId="27">
    <w:nsid w:val="75E0858A"/>
    <w:multiLevelType w:val="hybridMultilevel"/>
    <w:lvl w:ilvl="0">
      <w:lvlJc w:val="left"/>
      <w:lvlText w:val="4"/>
      <w:numFmt w:val="bullet"/>
      <w:start w:val="1"/>
    </w:lvl>
  </w:abstractNum>
  <w:abstractNum w:abstractNumId="28">
    <w:nsid w:val="57A61A29"/>
    <w:multiLevelType w:val="hybridMultilevel"/>
    <w:lvl w:ilvl="0">
      <w:lvlJc w:val="left"/>
      <w:lvlText w:val="5"/>
      <w:numFmt w:val="bullet"/>
      <w:start w:val="1"/>
    </w:lvl>
  </w:abstractNum>
  <w:abstractNum w:abstractNumId="29">
    <w:nsid w:val="5399C654"/>
    <w:multiLevelType w:val="hybridMultilevel"/>
    <w:lvl w:ilvl="0">
      <w:lvlJc w:val="left"/>
      <w:lvlText w:val="(%1)"/>
      <w:numFmt w:val="lowerLetter"/>
      <w:start w:val="1"/>
    </w:lvl>
  </w:abstractNum>
  <w:abstractNum w:abstractNumId="30">
    <w:nsid w:val="20EE1348"/>
    <w:multiLevelType w:val="hybridMultilevel"/>
    <w:lvl w:ilvl="0">
      <w:lvlJc w:val="left"/>
      <w:lvlText w:val="6"/>
      <w:numFmt w:val="bullet"/>
      <w:start w:val="1"/>
    </w:lvl>
    <w:lvl w:ilvl="1">
      <w:lvlJc w:val="left"/>
      <w:lvlText w:val="(%2)"/>
      <w:numFmt w:val="lowerLetter"/>
      <w:start w:val="1"/>
    </w:lvl>
  </w:abstractNum>
  <w:abstractNum w:abstractNumId="31">
    <w:nsid w:val="4427069A"/>
    <w:multiLevelType w:val="hybridMultilevel"/>
    <w:lvl w:ilvl="0">
      <w:lvlJc w:val="left"/>
      <w:lvlText w:val="7"/>
      <w:numFmt w:val="bullet"/>
      <w:start w:val="1"/>
    </w:lvl>
  </w:abstractNum>
  <w:abstractNum w:abstractNumId="32">
    <w:nsid w:val="B37E80A"/>
    <w:multiLevelType w:val="hybridMultilevel"/>
    <w:lvl w:ilvl="0">
      <w:lvlJc w:val="left"/>
      <w:lvlText w:val="(%1)"/>
      <w:numFmt w:val="lowerLetter"/>
      <w:start w:val="1"/>
    </w:lvl>
  </w:abstractNum>
  <w:abstractNum w:abstractNumId="33">
    <w:nsid w:val="2157F6BC"/>
    <w:multiLevelType w:val="hybridMultilevel"/>
    <w:lvl w:ilvl="0">
      <w:lvlJc w:val="left"/>
      <w:lvlText w:val="8"/>
      <w:numFmt w:val="bullet"/>
      <w:start w:val="1"/>
    </w:lvl>
  </w:abstractNum>
  <w:abstractNum w:abstractNumId="34">
    <w:nsid w:val="704E1DD5"/>
    <w:multiLevelType w:val="hybridMultilevel"/>
    <w:lvl w:ilvl="0">
      <w:lvlJc w:val="left"/>
      <w:lvlText w:val="(%1)"/>
      <w:numFmt w:val="lowerLetter"/>
      <w:start w:val="1"/>
    </w:lvl>
  </w:abstractNum>
  <w:abstractNum w:abstractNumId="35">
    <w:nsid w:val="57D2F10E"/>
    <w:multiLevelType w:val="hybridMultilevel"/>
    <w:lvl w:ilvl="0">
      <w:lvlJc w:val="left"/>
      <w:lvlText w:val="9"/>
      <w:numFmt w:val="bullet"/>
      <w:start w:val="1"/>
    </w:lvl>
  </w:abstractNum>
  <w:abstractNum w:abstractNumId="36">
    <w:nsid w:val="BFFAE18"/>
    <w:multiLevelType w:val="hybridMultilevel"/>
    <w:lvl w:ilvl="0">
      <w:lvlJc w:val="left"/>
      <w:lvlText w:val="(%1)"/>
      <w:numFmt w:val="lowerLetter"/>
      <w:start w:val="1"/>
    </w:lvl>
    <w:lvl w:ilvl="1">
      <w:lvlJc w:val="left"/>
      <w:lvlText w:val="(%2)"/>
      <w:numFmt w:val="lowerRoman"/>
      <w:start w:val="1"/>
    </w:lvl>
  </w:abstractNum>
  <w:abstractNum w:abstractNumId="37">
    <w:nsid w:val="E3E47A8"/>
    <w:multiLevelType w:val="hybridMultilevel"/>
    <w:lvl w:ilvl="0">
      <w:lvlJc w:val="left"/>
      <w:lvlText w:val="(%1)"/>
      <w:numFmt w:val="lowerLetter"/>
      <w:start w:val="1"/>
    </w:lvl>
  </w:abstractNum>
  <w:abstractNum w:abstractNumId="38">
    <w:nsid w:val="2E48F044"/>
    <w:multiLevelType w:val="hybridMultilevel"/>
    <w:lvl w:ilvl="0">
      <w:lvlJc w:val="left"/>
      <w:lvlText w:val="(%1)"/>
      <w:numFmt w:val="lowerLetter"/>
      <w:start w:val="1"/>
    </w:lvl>
    <w:lvl w:ilvl="1">
      <w:lvlJc w:val="left"/>
      <w:lvlText w:val="(%2)"/>
      <w:numFmt w:val="lowerLetter"/>
      <w:start w:val="1"/>
    </w:lvl>
  </w:abstractNum>
  <w:abstractNum w:abstractNumId="39">
    <w:nsid w:val="49D0FEAC"/>
    <w:multiLevelType w:val="hybridMultilevel"/>
    <w:lvl w:ilvl="0">
      <w:lvlJc w:val="left"/>
      <w:lvlText w:val="1"/>
      <w:numFmt w:val="bullet"/>
      <w:start w:val="1"/>
    </w:lvl>
  </w:abstractNum>
  <w:abstractNum w:abstractNumId="40">
    <w:nsid w:val="4BEE5A5B"/>
    <w:multiLevelType w:val="hybridMultilevel"/>
    <w:lvl w:ilvl="0">
      <w:lvlJc w:val="left"/>
      <w:lvlText w:val="(%1)"/>
      <w:numFmt w:val="lowerLetter"/>
      <w:start w:val="1"/>
    </w:lvl>
  </w:abstractNum>
  <w:abstractNum w:abstractNumId="41">
    <w:nsid w:val="5551B9F3"/>
    <w:multiLevelType w:val="hybridMultilevel"/>
    <w:lvl w:ilvl="0">
      <w:lvlJc w:val="left"/>
      <w:lvlText w:val="(%1)"/>
      <w:numFmt w:val="lowerLetter"/>
      <w:start w:val="1"/>
    </w:lvl>
  </w:abstractNum>
  <w:abstractNum w:abstractNumId="42">
    <w:nsid w:val="24F6AB8E"/>
    <w:multiLevelType w:val="hybridMultilevel"/>
    <w:lvl w:ilvl="0">
      <w:lvlJc w:val="left"/>
      <w:lvlText w:val="(%1)"/>
      <w:numFmt w:val="lowerLetter"/>
      <w:start w:val="1"/>
    </w:lvl>
    <w:lvl w:ilvl="1">
      <w:lvlJc w:val="left"/>
      <w:lvlText w:val="(%2)"/>
      <w:numFmt w:val="lowerRoman"/>
      <w:start w:val="1"/>
    </w:lvl>
  </w:abstractNum>
  <w:abstractNum w:abstractNumId="43">
    <w:nsid w:val="634C574C"/>
    <w:multiLevelType w:val="hybridMultilevel"/>
    <w:lvl w:ilvl="0">
      <w:lvlJc w:val="left"/>
      <w:lvlText w:val="(%1)"/>
      <w:numFmt w:val="lowerLetter"/>
      <w:start w:val="1"/>
    </w:lvl>
  </w:abstractNum>
  <w:abstractNum w:abstractNumId="44">
    <w:nsid w:val="24E99DD7"/>
    <w:multiLevelType w:val="hybridMultilevel"/>
    <w:lvl w:ilvl="0">
      <w:lvlJc w:val="left"/>
      <w:lvlText w:val="(%1)"/>
      <w:numFmt w:val="lowerLetter"/>
      <w:start w:val="1"/>
    </w:lvl>
  </w:abstractNum>
  <w:abstractNum w:abstractNumId="45">
    <w:nsid w:val="2A31B62D"/>
    <w:multiLevelType w:val="hybridMultilevel"/>
    <w:lvl w:ilvl="0">
      <w:lvlJc w:val="left"/>
      <w:lvlText w:val="(%1)"/>
      <w:numFmt w:val="lowerLetter"/>
      <w:start w:val="1"/>
    </w:lvl>
    <w:lvl w:ilvl="1">
      <w:lvlJc w:val="left"/>
      <w:lvlText w:val="(%2)"/>
      <w:numFmt w:val="lowerRoman"/>
      <w:start w:val="1"/>
    </w:lvl>
  </w:abstractNum>
  <w:abstractNum w:abstractNumId="46">
    <w:nsid w:val="1849C29B"/>
    <w:multiLevelType w:val="hybridMultilevel"/>
    <w:lvl w:ilvl="0">
      <w:lvlJc w:val="left"/>
      <w:lvlText w:val="(%1)"/>
      <w:numFmt w:val="lowerLetter"/>
      <w:start w:val="1"/>
    </w:lvl>
  </w:abstractNum>
  <w:abstractNum w:abstractNumId="47">
    <w:nsid w:val="7DFF9D09"/>
    <w:multiLevelType w:val="hybridMultilevel"/>
    <w:lvl w:ilvl="0">
      <w:lvlJc w:val="left"/>
      <w:lvlText w:val="(%1)"/>
      <w:numFmt w:val="lowerLetter"/>
      <w:start w:val="1"/>
    </w:lvl>
  </w:abstractNum>
  <w:abstractNum w:abstractNumId="48">
    <w:nsid w:val="754342"/>
    <w:multiLevelType w:val="hybridMultilevel"/>
    <w:lvl w:ilvl="0">
      <w:lvlJc w:val="left"/>
      <w:lvlText w:val="(%1)"/>
      <w:numFmt w:val="lowerLetter"/>
      <w:start w:val="1"/>
    </w:lvl>
  </w:abstractNum>
  <w:abstractNum w:abstractNumId="49">
    <w:nsid w:val="69E7F3E5"/>
    <w:multiLevelType w:val="hybridMultilevel"/>
    <w:lvl w:ilvl="0">
      <w:lvlJc w:val="left"/>
      <w:lvlText w:val="(%1)"/>
      <w:numFmt w:val="lowerLetter"/>
      <w:start w:val="1"/>
    </w:lvl>
  </w:abstractNum>
  <w:abstractNum w:abstractNumId="50">
    <w:nsid w:val="2A6DE806"/>
    <w:multiLevelType w:val="hybridMultilevel"/>
    <w:lvl w:ilvl="0">
      <w:lvlJc w:val="left"/>
      <w:lvlText w:val="(%1)"/>
      <w:numFmt w:val="lowerLetter"/>
      <w:start w:val="1"/>
    </w:lvl>
  </w:abstractNum>
  <w:abstractNum w:abstractNumId="51">
    <w:nsid w:val="1816F8C4"/>
    <w:multiLevelType w:val="hybridMultilevel"/>
    <w:lvl w:ilvl="0">
      <w:lvlJc w:val="left"/>
      <w:lvlText w:val="(%1)"/>
      <w:numFmt w:val="lowerLetter"/>
      <w:start w:val="1"/>
    </w:lvl>
  </w:abstractNum>
  <w:abstractNum w:abstractNumId="52">
    <w:nsid w:val="37DF2233"/>
    <w:multiLevelType w:val="hybridMultilevel"/>
    <w:lvl w:ilvl="0">
      <w:lvlJc w:val="left"/>
      <w:lvlText w:val="(%1)"/>
      <w:numFmt w:val="lowerLetter"/>
      <w:start w:val="7"/>
    </w:lvl>
  </w:abstractNum>
  <w:abstractNum w:abstractNumId="53">
    <w:nsid w:val="7AB49D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
    <w:nsid w:val="759F82C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5">
    <w:nsid w:val="61E74EA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6">
    <w:nsid w:val="597B4D8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7">
    <w:nsid w:val="F819E7F"/>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58">
    <w:nsid w:val="57C7D42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9">
    <w:nsid w:val="312167AD"/>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60">
    <w:nsid w:val="631B64D4"/>
    <w:multiLevelType w:val="hybridMultilevel"/>
    <w:lvl w:ilvl="0">
      <w:lvlJc w:val="left"/>
      <w:lvlText w:val="(%1)"/>
      <w:numFmt w:val="lowerRoman"/>
      <w:start w:val="2"/>
    </w:lvl>
    <w:lvl w:ilvl="1">
      <w:lvlJc w:val="left"/>
      <w:lvlText w:val="(%2)"/>
      <w:numFmt w:val="upperLetter"/>
      <w:start w:val="1"/>
    </w:lvl>
  </w:abstractNum>
  <w:abstractNum w:abstractNumId="61">
    <w:nsid w:val="78B5E776"/>
    <w:multiLevelType w:val="hybridMultilevel"/>
    <w:lvl w:ilvl="0">
      <w:lvlJc w:val="left"/>
      <w:lvlText w:val="(%1)"/>
      <w:numFmt w:val="lowerLetter"/>
      <w:start w:val="1"/>
    </w:lvl>
  </w:abstractNum>
  <w:abstractNum w:abstractNumId="62">
    <w:nsid w:val="75486E47"/>
    <w:multiLevelType w:val="hybridMultilevel"/>
    <w:lvl w:ilvl="0">
      <w:lvlJc w:val="left"/>
      <w:lvlText w:val="(%1)"/>
      <w:numFmt w:val="lowerLetter"/>
      <w:start w:val="1"/>
    </w:lvl>
    <w:lvl w:ilvl="1">
      <w:lvlJc w:val="left"/>
      <w:lvlText w:val="(%2)"/>
      <w:numFmt w:val="lowerRoman"/>
      <w:start w:val="1"/>
    </w:lvl>
  </w:abstractNum>
  <w:abstractNum w:abstractNumId="63">
    <w:nsid w:val="6E534CDE"/>
    <w:multiLevelType w:val="hybridMultilevel"/>
    <w:lvl w:ilvl="0">
      <w:lvlJc w:val="left"/>
      <w:lvlText w:val="(%1)"/>
      <w:numFmt w:val="lowerLetter"/>
      <w:start w:val="1"/>
    </w:lvl>
  </w:abstractNum>
  <w:abstractNum w:abstractNumId="64">
    <w:nsid w:val="1A0DDE32"/>
    <w:multiLevelType w:val="hybridMultilevel"/>
    <w:lvl w:ilvl="0">
      <w:lvlJc w:val="left"/>
      <w:lvlText w:val="(%1)"/>
      <w:numFmt w:val="lowerLetter"/>
      <w:start w:val="4"/>
    </w:lvl>
  </w:abstractNum>
  <w:abstractNum w:abstractNumId="65">
    <w:nsid w:val="65968C1C"/>
    <w:multiLevelType w:val="hybridMultilevel"/>
    <w:lvl w:ilvl="0">
      <w:lvlJc w:val="left"/>
      <w:lvlText w:val="(%1)"/>
      <w:numFmt w:val="lowerLetter"/>
      <w:start w:val="1"/>
    </w:lvl>
  </w:abstractNum>
  <w:abstractNum w:abstractNumId="66">
    <w:nsid w:val="46263DEC"/>
    <w:multiLevelType w:val="hybridMultilevel"/>
    <w:lvl w:ilvl="0">
      <w:lvlJc w:val="left"/>
      <w:lvlText w:val="(%1)"/>
      <w:numFmt w:val="lowerLetter"/>
      <w:start w:val="1"/>
    </w:lvl>
  </w:abstractNum>
  <w:abstractNum w:abstractNumId="67">
    <w:nsid w:val="260D8C4A"/>
    <w:multiLevelType w:val="hybridMultilevel"/>
    <w:lvl w:ilvl="0">
      <w:lvlJc w:val="left"/>
      <w:lvlText w:val="(%1)"/>
      <w:numFmt w:val="lowerLetter"/>
      <w:start w:val="1"/>
    </w:lvl>
    <w:lvl w:ilvl="1">
      <w:lvlJc w:val="left"/>
      <w:lvlText w:val="(%2)"/>
      <w:numFmt w:val="lowerRoman"/>
      <w:start w:val="1"/>
    </w:lvl>
  </w:abstractNum>
  <w:abstractNum w:abstractNumId="68">
    <w:nsid w:val="73D4D3C4"/>
    <w:multiLevelType w:val="hybridMultilevel"/>
    <w:lvl w:ilvl="0">
      <w:lvlJc w:val="left"/>
      <w:lvlText w:val="(%1)"/>
      <w:numFmt w:val="lowerLetter"/>
      <w:start w:val="1"/>
    </w:lvl>
  </w:abstractNum>
  <w:abstractNum w:abstractNumId="69">
    <w:nsid w:val="746F2E30"/>
    <w:multiLevelType w:val="hybridMultilevel"/>
    <w:lvl w:ilvl="0">
      <w:lvlJc w:val="left"/>
      <w:lvlText w:val="(%1)"/>
      <w:numFmt w:val="lowerLetter"/>
      <w:start w:val="1"/>
    </w:lvl>
  </w:abstractNum>
  <w:abstractNum w:abstractNumId="70">
    <w:nsid w:val="6FDE8AF6"/>
    <w:multiLevelType w:val="hybridMultilevel"/>
    <w:lvl w:ilvl="0">
      <w:lvlJc w:val="left"/>
      <w:lvlText w:val="(%1)"/>
      <w:numFmt w:val="lowerLetter"/>
      <w:start w:val="1"/>
    </w:lvl>
    <w:lvl w:ilvl="1">
      <w:lvlJc w:val="left"/>
      <w:lvlText w:val="(%2)"/>
      <w:numFmt w:val="lowerRoman"/>
      <w:start w:val="1"/>
    </w:lvl>
  </w:abstractNum>
  <w:abstractNum w:abstractNumId="71">
    <w:nsid w:val="3FC32E20"/>
    <w:multiLevelType w:val="hybridMultilevel"/>
    <w:lvl w:ilvl="0">
      <w:lvlJc w:val="left"/>
      <w:lvlText w:val="(%1)"/>
      <w:numFmt w:val="lowerLetter"/>
      <w:start w:val="1"/>
    </w:lvl>
  </w:abstractNum>
  <w:abstractNum w:abstractNumId="72">
    <w:nsid w:val="49C0E823"/>
    <w:multiLevelType w:val="hybridMultilevel"/>
    <w:lvl w:ilvl="0">
      <w:lvlJc w:val="left"/>
      <w:lvlText w:val="(%1)"/>
      <w:numFmt w:val="lowerLetter"/>
      <w:start w:val="1"/>
    </w:lvl>
    <w:lvl w:ilvl="1">
      <w:lvlJc w:val="left"/>
      <w:lvlText w:val="(%2)"/>
      <w:numFmt w:val="lowerRoman"/>
      <w:start w:val="1"/>
    </w:lvl>
  </w:abstractNum>
  <w:abstractNum w:abstractNumId="73">
    <w:nsid w:val="14D53685"/>
    <w:multiLevelType w:val="hybridMultilevel"/>
    <w:lvl w:ilvl="0">
      <w:lvlJc w:val="left"/>
      <w:lvlText w:val="(%1)"/>
      <w:numFmt w:val="lowerLetter"/>
      <w:start w:val="2"/>
    </w:lvl>
  </w:abstractNum>
  <w:abstractNum w:abstractNumId="74">
    <w:nsid w:val="230F856C"/>
    <w:multiLevelType w:val="hybridMultilevel"/>
    <w:lvl w:ilvl="0">
      <w:lvlJc w:val="left"/>
      <w:lvlText w:val="(%1)"/>
      <w:numFmt w:val="lowerLetter"/>
      <w:start w:val="1"/>
    </w:lvl>
    <w:lvl w:ilvl="1">
      <w:lvlJc w:val="left"/>
      <w:lvlText w:val="(%2)"/>
      <w:numFmt w:val="lowerRoman"/>
      <w:start w:val="1"/>
    </w:lvl>
  </w:abstractNum>
  <w:abstractNum w:abstractNumId="75">
    <w:nsid w:val="6EAA85FB"/>
    <w:multiLevelType w:val="hybridMultilevel"/>
    <w:lvl w:ilvl="0">
      <w:lvlJc w:val="left"/>
      <w:lvlText w:val="(%1)"/>
      <w:numFmt w:val="lowerLetter"/>
      <w:start w:val="1"/>
    </w:lvl>
  </w:abstractNum>
  <w:abstractNum w:abstractNumId="76">
    <w:nsid w:val="3F06ECB2"/>
    <w:multiLevelType w:val="hybridMultilevel"/>
    <w:lvl w:ilvl="0">
      <w:lvlJc w:val="left"/>
      <w:lvlText w:val="(%1)"/>
      <w:numFmt w:val="lowerLetter"/>
      <w:start w:val="1"/>
    </w:lvl>
  </w:abstractNum>
  <w:abstractNum w:abstractNumId="77">
    <w:nsid w:val="3B594807"/>
    <w:multiLevelType w:val="hybridMultilevel"/>
    <w:lvl w:ilvl="0">
      <w:lvlJc w:val="left"/>
      <w:lvlText w:val="(%1)"/>
      <w:numFmt w:val="lowerLetter"/>
      <w:start w:val="8"/>
    </w:lvl>
  </w:abstractNum>
  <w:abstractNum w:abstractNumId="78">
    <w:nsid w:val="6CAA2304"/>
    <w:multiLevelType w:val="hybridMultilevel"/>
    <w:lvl w:ilvl="0">
      <w:lvlJc w:val="left"/>
      <w:lvlText w:val="(%1)"/>
      <w:numFmt w:val="lowerLetter"/>
      <w:start w:val="1"/>
    </w:lvl>
  </w:abstractNum>
  <w:abstractNum w:abstractNumId="79">
    <w:nsid w:val="3F7C2FF4"/>
    <w:multiLevelType w:val="hybridMultilevel"/>
    <w:lvl w:ilvl="0">
      <w:lvlJc w:val="left"/>
      <w:lvlText w:val="(%1)"/>
      <w:numFmt w:val="lowerLetter"/>
      <w:start w:val="1"/>
    </w:lvl>
  </w:abstractNum>
  <w:abstractNum w:abstractNumId="80">
    <w:nsid w:val="25413BEC"/>
    <w:multiLevelType w:val="hybridMultilevel"/>
    <w:lvl w:ilvl="0">
      <w:lvlJc w:val="left"/>
      <w:lvlText w:val="(%1)"/>
      <w:numFmt w:val="lowerLetter"/>
      <w:start w:val="1"/>
    </w:lvl>
  </w:abstractNum>
  <w:abstractNum w:abstractNumId="81">
    <w:nsid w:val="17180B0B"/>
    <w:multiLevelType w:val="hybridMultilevel"/>
    <w:lvl w:ilvl="0">
      <w:lvlJc w:val="left"/>
      <w:lvlText w:val="(%1)"/>
      <w:numFmt w:val="lowerLetter"/>
      <w:start w:val="1"/>
    </w:lvl>
  </w:abstractNum>
  <w:abstractNum w:abstractNumId="82">
    <w:nsid w:val="579328B9"/>
    <w:multiLevelType w:val="hybridMultilevel"/>
    <w:lvl w:ilvl="0">
      <w:lvlJc w:val="left"/>
      <w:lvlText w:val="(%1)"/>
      <w:numFmt w:val="lowerLetter"/>
      <w:start w:val="1"/>
    </w:lvl>
  </w:abstractNum>
  <w:abstractNum w:abstractNumId="83">
    <w:nsid w:val="5D205E20"/>
    <w:multiLevelType w:val="hybridMultilevel"/>
    <w:lvl w:ilvl="0">
      <w:lvlJc w:val="left"/>
      <w:lvlText w:val="(%1)"/>
      <w:numFmt w:val="lowerLetter"/>
      <w:start w:val="1"/>
    </w:lvl>
    <w:lvl w:ilvl="1">
      <w:lvlJc w:val="left"/>
      <w:lvlText w:val="(%2)"/>
      <w:numFmt w:val="lowerRoman"/>
      <w:start w:val="1"/>
    </w:lvl>
  </w:abstractNum>
  <w:abstractNum w:abstractNumId="84">
    <w:nsid w:val="11CCA8BA"/>
    <w:multiLevelType w:val="hybridMultilevel"/>
    <w:lvl w:ilvl="0">
      <w:lvlJc w:val="left"/>
      <w:lvlText w:val="(%1)"/>
      <w:numFmt w:val="lowerLetter"/>
      <w:start w:val="1"/>
    </w:lvl>
  </w:abstractNum>
  <w:abstractNum w:abstractNumId="85">
    <w:nsid w:val="4D32AB86"/>
    <w:multiLevelType w:val="hybridMultilevel"/>
    <w:lvl w:ilvl="0">
      <w:lvlJc w:val="left"/>
      <w:lvlText w:val="(%1)"/>
      <w:numFmt w:val="lowerLetter"/>
      <w:start w:val="1"/>
    </w:lvl>
  </w:abstractNum>
  <w:abstractNum w:abstractNumId="86">
    <w:nsid w:val="3F07ACC3"/>
    <w:multiLevelType w:val="hybridMultilevel"/>
    <w:lvl w:ilvl="0">
      <w:lvlJc w:val="left"/>
      <w:lvlText w:val="2"/>
      <w:numFmt w:val="bullet"/>
      <w:start w:val="1"/>
    </w:lvl>
  </w:abstractNum>
  <w:abstractNum w:abstractNumId="87">
    <w:nsid w:val="6B47F63E"/>
    <w:multiLevelType w:val="hybridMultilevel"/>
    <w:lvl w:ilvl="0">
      <w:lvlJc w:val="left"/>
      <w:lvlText w:val="3"/>
      <w:numFmt w:val="bullet"/>
      <w:start w:val="1"/>
    </w:lvl>
  </w:abstractNum>
  <w:abstractNum w:abstractNumId="88">
    <w:nsid w:val="5CB44A05"/>
    <w:multiLevelType w:val="hybridMultilevel"/>
    <w:lvl w:ilvl="0">
      <w:lvlJc w:val="left"/>
      <w:lvlText w:val="(%1)"/>
      <w:numFmt w:val="lowerLetter"/>
      <w:start w:val="1"/>
    </w:lvl>
    <w:lvl w:ilvl="1">
      <w:lvlJc w:val="left"/>
      <w:lvlText w:val="(%2)"/>
      <w:numFmt w:val="lowerRoman"/>
      <w:start w:val="1"/>
    </w:lvl>
  </w:abstractNum>
  <w:abstractNum w:abstractNumId="89">
    <w:nsid w:val="16CF80F1"/>
    <w:multiLevelType w:val="hybridMultilevel"/>
    <w:lvl w:ilvl="0">
      <w:lvlJc w:val="left"/>
      <w:lvlText w:val="(%1)"/>
      <w:numFmt w:val="lowerLetter"/>
      <w:start w:val="2"/>
    </w:lvl>
  </w:abstractNum>
  <w:abstractNum w:abstractNumId="90">
    <w:nsid w:val="1C695DEC"/>
    <w:multiLevelType w:val="hybridMultilevel"/>
    <w:lvl w:ilvl="0">
      <w:lvlJc w:val="left"/>
      <w:lvlText w:val="(%1)"/>
      <w:numFmt w:val="lowerLetter"/>
      <w:start w:val="1"/>
    </w:lvl>
    <w:lvl w:ilvl="1">
      <w:lvlJc w:val="left"/>
      <w:lvlText w:val="(%2)"/>
      <w:numFmt w:val="lowerRoman"/>
      <w:start w:val="1"/>
    </w:lvl>
  </w:abstractNum>
  <w:abstractNum w:abstractNumId="91">
    <w:nsid w:val="3FCFAE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F856867"/>
    <w:multiLevelType w:val="hybridMultilevel"/>
    <w:lvl w:ilvl="0">
      <w:lvlJc w:val="left"/>
      <w:lvlText w:val="%1"/>
      <w:numFmt w:val="lowerLetter"/>
      <w:start w:val="1"/>
    </w:lvl>
    <w:lvl w:ilvl="1">
      <w:lvlJc w:val="left"/>
      <w:lvlText w:val="(%2)"/>
      <w:numFmt w:val="upperLetter"/>
      <w:start w:val="2"/>
    </w:lvl>
  </w:abstractNum>
  <w:abstractNum w:abstractNumId="93">
    <w:nsid w:val="11B1CC33"/>
    <w:multiLevelType w:val="hybridMultilevel"/>
    <w:lvl w:ilvl="0">
      <w:lvlJc w:val="left"/>
      <w:lvlText w:val="(%1)"/>
      <w:numFmt w:val="lowerLetter"/>
      <w:start w:val="2"/>
    </w:lvl>
    <w:lvl w:ilvl="1">
      <w:lvlJc w:val="left"/>
      <w:lvlText w:val="%2"/>
      <w:numFmt w:val="upperLetter"/>
      <w:start w:val="1"/>
    </w:lvl>
  </w:abstractNum>
  <w:abstractNum w:abstractNumId="94">
    <w:nsid w:val="2E22FB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299346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77485850"/>
    <w:multiLevelType w:val="hybridMultilevel"/>
    <w:lvl w:ilvl="0">
      <w:lvlJc w:val="left"/>
      <w:lvlText w:val="(%1)"/>
      <w:numFmt w:val="lowerLetter"/>
      <w:start w:val="1"/>
    </w:lvl>
  </w:abstractNum>
  <w:abstractNum w:abstractNumId="97">
    <w:nsid w:val="744939A3"/>
    <w:multiLevelType w:val="hybridMultilevel"/>
    <w:lvl w:ilvl="0">
      <w:lvlJc w:val="left"/>
      <w:lvlText w:val="%1"/>
      <w:numFmt w:val="lowerLetter"/>
      <w:start w:val="1"/>
    </w:lvl>
    <w:lvl w:ilvl="1">
      <w:lvlJc w:val="left"/>
      <w:lvlText w:val="(%2)"/>
      <w:numFmt w:val="lowerRoman"/>
      <w:start w:val="1"/>
    </w:lvl>
  </w:abstractNum>
  <w:abstractNum w:abstractNumId="98">
    <w:nsid w:val="4FA0D2E3"/>
    <w:multiLevelType w:val="hybridMultilevel"/>
    <w:lvl w:ilvl="0">
      <w:lvlJc w:val="left"/>
      <w:lvlText w:val="(%1)"/>
      <w:numFmt w:val="lowerLetter"/>
      <w:start w:val="2"/>
    </w:lvl>
    <w:lvl w:ilvl="1">
      <w:lvlJc w:val="left"/>
      <w:lvlText w:val="%2"/>
      <w:numFmt w:val="lowerRoman"/>
      <w:start w:val="1"/>
    </w:lvl>
  </w:abstractNum>
  <w:abstractNum w:abstractNumId="99">
    <w:nsid w:val="6B1D2C14"/>
    <w:multiLevelType w:val="hybridMultilevel"/>
    <w:lvl w:ilvl="0">
      <w:lvlJc w:val="left"/>
      <w:lvlText w:val="5"/>
      <w:numFmt w:val="bullet"/>
      <w:start w:val="1"/>
    </w:lvl>
  </w:abstractNum>
  <w:abstractNum w:abstractNumId="100">
    <w:nsid w:val="68B867D3"/>
    <w:multiLevelType w:val="hybridMultilevel"/>
    <w:lvl w:ilvl="0">
      <w:lvlJc w:val="left"/>
      <w:lvlText w:val="(%1)"/>
      <w:numFmt w:val="lowerLetter"/>
      <w:start w:val="1"/>
    </w:lvl>
    <w:lvl w:ilvl="1">
      <w:lvlJc w:val="left"/>
      <w:lvlText w:val="(%2)"/>
      <w:numFmt w:val="lowerRoman"/>
      <w:start w:val="1"/>
    </w:lvl>
  </w:abstractNum>
  <w:abstractNum w:abstractNumId="101">
    <w:nsid w:val="3F7F5DD9"/>
    <w:multiLevelType w:val="hybridMultilevel"/>
    <w:lvl w:ilvl="0">
      <w:lvlJc w:val="left"/>
      <w:lvlText w:val="(%1)"/>
      <w:numFmt w:val="lowerLetter"/>
      <w:start w:val="1"/>
    </w:lvl>
    <w:lvl w:ilvl="1">
      <w:lvlJc w:val="left"/>
      <w:lvlText w:val="(%2)"/>
      <w:numFmt w:val="lowerRoman"/>
      <w:start w:val="1"/>
    </w:lvl>
  </w:abstractNum>
  <w:abstractNum w:abstractNumId="102">
    <w:nsid w:val="2AE05A34"/>
    <w:multiLevelType w:val="hybridMultilevel"/>
    <w:lvl w:ilvl="0">
      <w:lvlJc w:val="left"/>
      <w:lvlText w:val="(%1)"/>
      <w:numFmt w:val="lowerLetter"/>
      <w:start w:val="6"/>
    </w:lvl>
  </w:abstractNum>
  <w:abstractNum w:abstractNumId="103">
    <w:nsid w:val="32794FF7"/>
    <w:multiLevelType w:val="hybridMultilevel"/>
    <w:lvl w:ilvl="0">
      <w:lvlJc w:val="left"/>
      <w:lvlText w:val="(%1)"/>
      <w:numFmt w:val="lowerLetter"/>
      <w:start w:val="1"/>
    </w:lvl>
  </w:abstractNum>
  <w:abstractNum w:abstractNumId="104">
    <w:nsid w:val="5454945E"/>
    <w:multiLevelType w:val="hybridMultilevel"/>
    <w:lvl w:ilvl="0">
      <w:lvlJc w:val="left"/>
      <w:lvlText w:val="(%1)"/>
      <w:numFmt w:val="lowerLetter"/>
      <w:start w:val="1"/>
    </w:lvl>
    <w:lvl w:ilvl="1">
      <w:lvlJc w:val="left"/>
      <w:lvlText w:val="(%2)"/>
      <w:numFmt w:val="lowerRoman"/>
      <w:start w:val="1"/>
    </w:lvl>
  </w:abstractNum>
  <w:abstractNum w:abstractNumId="105">
    <w:nsid w:val="4DEFDFA0"/>
    <w:multiLevelType w:val="hybridMultilevel"/>
    <w:lvl w:ilvl="0">
      <w:lvlJc w:val="left"/>
      <w:lvlText w:val="6"/>
      <w:numFmt w:val="bullet"/>
      <w:start w:val="1"/>
    </w:lvl>
  </w:abstractNum>
  <w:abstractNum w:abstractNumId="106">
    <w:nsid w:val="2123D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7">
    <w:nsid w:val="135B8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8">
    <w:nsid w:val="94927A8"/>
    <w:multiLevelType w:val="hybridMultilevel"/>
    <w:lvl w:ilvl="0">
      <w:lvlJc w:val="left"/>
      <w:lvlText w:val="%1"/>
      <w:numFmt w:val="lowerLetter"/>
      <w:start w:val="1"/>
    </w:lvl>
    <w:lvl w:ilvl="1">
      <w:lvlJc w:val="left"/>
      <w:lvlText w:val="(%2)"/>
      <w:numFmt w:val="upperLetter"/>
      <w:start w:val="2"/>
    </w:lvl>
  </w:abstractNum>
  <w:abstractNum w:abstractNumId="109">
    <w:nsid w:val="DCDF8F6"/>
    <w:multiLevelType w:val="hybridMultilevel"/>
    <w:lvl w:ilvl="0">
      <w:lvlJc w:val="left"/>
      <w:lvlText w:val="(%1)"/>
      <w:numFmt w:val="lowerLetter"/>
      <w:start w:val="2"/>
    </w:lvl>
    <w:lvl w:ilvl="1">
      <w:lvlJc w:val="left"/>
      <w:lvlText w:val="%2"/>
      <w:numFmt w:val="upperLetter"/>
      <w:start w:val="1"/>
    </w:lvl>
  </w:abstractNum>
  <w:abstractNum w:abstractNumId="110">
    <w:nsid w:val="52D7B105"/>
    <w:multiLevelType w:val="hybridMultilevel"/>
    <w:lvl w:ilvl="0">
      <w:lvlJc w:val="left"/>
      <w:lvlText w:val="(%1)"/>
      <w:numFmt w:val="lowerLetter"/>
      <w:start w:val="1"/>
    </w:lvl>
  </w:abstractNum>
  <w:abstractNum w:abstractNumId="111">
    <w:nsid w:val="2E8A6394"/>
    <w:multiLevelType w:val="hybridMultilevel"/>
    <w:lvl w:ilvl="0">
      <w:lvlJc w:val="left"/>
      <w:lvlText w:val="(%1)"/>
      <w:numFmt w:val="lowerLetter"/>
      <w:start w:val="1"/>
    </w:lvl>
    <w:lvl w:ilvl="1">
      <w:lvlJc w:val="left"/>
      <w:lvlText w:val="(%2)"/>
      <w:numFmt w:val="lowerRoman"/>
      <w:start w:val="1"/>
    </w:lvl>
  </w:abstractNum>
  <w:abstractNum w:abstractNumId="112">
    <w:nsid w:val="24E60401"/>
    <w:multiLevelType w:val="hybridMultilevel"/>
    <w:lvl w:ilvl="0">
      <w:lvlJc w:val="left"/>
      <w:lvlText w:val="(%1)"/>
      <w:numFmt w:val="lowerLetter"/>
      <w:start w:val="1"/>
    </w:lvl>
    <w:lvl w:ilvl="1">
      <w:lvlJc w:val="left"/>
      <w:lvlText w:val="(%2)"/>
      <w:numFmt w:val="lowerRoman"/>
      <w:start w:val="1"/>
    </w:lvl>
  </w:abstractNum>
  <w:abstractNum w:abstractNumId="113">
    <w:nsid w:val="2A6AD9BE"/>
    <w:multiLevelType w:val="hybridMultilevel"/>
    <w:lvl w:ilvl="0">
      <w:lvlJc w:val="left"/>
      <w:lvlText w:val="7"/>
      <w:numFmt w:val="bullet"/>
      <w:start w:val="1"/>
    </w:lvl>
  </w:abstractNum>
  <w:abstractNum w:abstractNumId="114">
    <w:nsid w:val="BAAC1B4"/>
    <w:multiLevelType w:val="hybridMultilevel"/>
    <w:lvl w:ilvl="0">
      <w:lvlJc w:val="left"/>
      <w:lvlText w:val="(%1)"/>
      <w:numFmt w:val="lowerLetter"/>
      <w:start w:val="1"/>
    </w:lvl>
  </w:abstractNum>
  <w:abstractNum w:abstractNumId="115">
    <w:nsid w:val="36B2ACBC"/>
    <w:multiLevelType w:val="hybridMultilevel"/>
    <w:lvl w:ilvl="0">
      <w:lvlJc w:val="left"/>
      <w:lvlText w:val="(%1)"/>
      <w:numFmt w:val="lowerLetter"/>
      <w:start w:val="1"/>
    </w:lvl>
  </w:abstractNum>
  <w:abstractNum w:abstractNumId="116">
    <w:nsid w:val="779D8544"/>
    <w:multiLevelType w:val="hybridMultilevel"/>
    <w:lvl w:ilvl="0">
      <w:lvlJc w:val="left"/>
      <w:lvlText w:val="(%1)"/>
      <w:numFmt w:val="lowerLetter"/>
      <w:start w:val="4"/>
    </w:lvl>
  </w:abstractNum>
  <w:abstractNum w:abstractNumId="117">
    <w:nsid w:val="4AB26E78"/>
    <w:multiLevelType w:val="hybridMultilevel"/>
    <w:lvl w:ilvl="0">
      <w:lvlJc w:val="left"/>
      <w:lvlText w:val="8"/>
      <w:numFmt w:val="bullet"/>
      <w:start w:val="1"/>
    </w:lvl>
  </w:abstractNum>
  <w:abstractNum w:abstractNumId="118">
    <w:nsid w:val="21FAA2FA"/>
    <w:multiLevelType w:val="hybridMultilevel"/>
    <w:lvl w:ilvl="0">
      <w:lvlJc w:val="left"/>
      <w:lvlText w:val="(%1)"/>
      <w:numFmt w:val="lowerLetter"/>
      <w:start w:val="1"/>
    </w:lvl>
    <w:lvl w:ilvl="1">
      <w:lvlJc w:val="left"/>
      <w:lvlText w:val="(%2)"/>
      <w:numFmt w:val="lowerRoman"/>
      <w:start w:val="1"/>
    </w:lvl>
  </w:abstractNum>
  <w:abstractNum w:abstractNumId="119">
    <w:nsid w:val="5451CF49"/>
    <w:multiLevelType w:val="hybridMultilevel"/>
    <w:lvl w:ilvl="0">
      <w:lvlJc w:val="left"/>
      <w:lvlText w:val="%1"/>
      <w:numFmt w:val="lowerLetter"/>
      <w:start w:val="1"/>
    </w:lvl>
    <w:lvl w:ilvl="1">
      <w:lvlJc w:val="left"/>
      <w:lvlText w:val="(%2)"/>
      <w:numFmt w:val="lowerLetter"/>
      <w:start w:val="35"/>
    </w:lvl>
  </w:abstractNum>
  <w:abstractNum w:abstractNumId="120">
    <w:nsid w:val="6181EF69"/>
    <w:multiLevelType w:val="hybridMultilevel"/>
    <w:lvl w:ilvl="0">
      <w:lvlJc w:val="left"/>
      <w:lvlText w:val="(%1)"/>
      <w:numFmt w:val="lowerLetter"/>
      <w:start w:val="16"/>
    </w:lvl>
    <w:lvl w:ilvl="1">
      <w:lvlJc w:val="left"/>
      <w:lvlText w:val="(%2)"/>
      <w:numFmt w:val="lowerLetter"/>
      <w:start w:val="9"/>
    </w:lvl>
  </w:abstractNum>
  <w:abstractNum w:abstractNumId="121">
    <w:nsid w:val="3E6400E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2"/>
    </w:lvl>
  </w:abstractNum>
  <w:abstractNum w:abstractNumId="122">
    <w:nsid w:val="14217E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3">
    <w:nsid w:val="710757D0"/>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124">
    <w:nsid w:val="5015CD1A"/>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25">
    <w:nsid w:val="424479DA"/>
    <w:multiLevelType w:val="hybridMultilevel"/>
    <w:lvl w:ilvl="0">
      <w:lvlJc w:val="left"/>
      <w:lvlText w:val="(%1)"/>
      <w:numFmt w:val="lowerLetter"/>
      <w:start w:val="1"/>
    </w:lvl>
  </w:abstractNum>
  <w:abstractNum w:abstractNumId="126">
    <w:nsid w:val="1A9A9E69"/>
    <w:multiLevelType w:val="hybridMultilevel"/>
    <w:lvl w:ilvl="0">
      <w:lvlJc w:val="left"/>
      <w:lvlText w:val="9"/>
      <w:numFmt w:val="bullet"/>
      <w:start w:val="1"/>
    </w:lvl>
  </w:abstractNum>
  <w:abstractNum w:abstractNumId="127">
    <w:nsid w:val="475E256A"/>
    <w:multiLevelType w:val="hybridMultilevel"/>
    <w:lvl w:ilvl="0">
      <w:lvlJc w:val="left"/>
      <w:lvlText w:val="(%1)"/>
      <w:numFmt w:val="lowerLetter"/>
      <w:start w:val="1"/>
    </w:lvl>
    <w:lvl w:ilvl="1">
      <w:lvlJc w:val="left"/>
      <w:lvlText w:val="(%2)"/>
      <w:numFmt w:val="lowerRoman"/>
      <w:start w:val="1"/>
    </w:lvl>
  </w:abstractNum>
  <w:abstractNum w:abstractNumId="128">
    <w:nsid w:val="368DB37E"/>
    <w:multiLevelType w:val="hybridMultilevel"/>
    <w:lvl w:ilvl="0">
      <w:lvlJc w:val="left"/>
      <w:lvlText w:val="(%1)"/>
      <w:numFmt w:val="lowerLetter"/>
      <w:start w:val="1"/>
    </w:lvl>
  </w:abstractNum>
  <w:abstractNum w:abstractNumId="129">
    <w:nsid w:val="6A3B714C"/>
    <w:multiLevelType w:val="hybridMultilevel"/>
    <w:lvl w:ilvl="0">
      <w:lvlJc w:val="left"/>
      <w:lvlText w:val="(%1)"/>
      <w:numFmt w:val="lowerLetter"/>
      <w:start w:val="1"/>
    </w:lvl>
  </w:abstractNum>
  <w:abstractNum w:abstractNumId="130">
    <w:nsid w:val="327B517E"/>
    <w:multiLevelType w:val="hybridMultilevel"/>
    <w:lvl w:ilvl="0">
      <w:lvlJc w:val="left"/>
      <w:lvlText w:val="%1"/>
      <w:numFmt w:val="lowerLetter"/>
      <w:start w:val="1"/>
    </w:lvl>
    <w:lvl w:ilvl="1">
      <w:lvlJc w:val="left"/>
      <w:lvlText w:val="(%2)"/>
      <w:numFmt w:val="lowerRoman"/>
      <w:start w:val="1"/>
    </w:lvl>
  </w:abstractNum>
  <w:abstractNum w:abstractNumId="131">
    <w:nsid w:val="1F461B51"/>
    <w:multiLevelType w:val="hybridMultilevel"/>
    <w:lvl w:ilvl="0">
      <w:lvlJc w:val="left"/>
      <w:lvlText w:val="(%1)"/>
      <w:numFmt w:val="lowerLetter"/>
      <w:start w:val="2"/>
    </w:lvl>
    <w:lvl w:ilvl="1">
      <w:lvlJc w:val="left"/>
      <w:lvlText w:val="(%2)"/>
      <w:numFmt w:val="lowerRoman"/>
      <w:start w:val="1"/>
    </w:lvl>
  </w:abstractNum>
  <w:abstractNum w:abstractNumId="132">
    <w:nsid w:val="29BACF25"/>
    <w:multiLevelType w:val="hybridMultilevel"/>
    <w:lvl w:ilvl="0">
      <w:lvlJc w:val="left"/>
      <w:lvlText w:val="(%1)"/>
      <w:numFmt w:val="lowerLetter"/>
      <w:start w:val="1"/>
    </w:lvl>
    <w:lvl w:ilvl="1">
      <w:lvlJc w:val="left"/>
      <w:lvlText w:val="(%2)"/>
      <w:numFmt w:val="lowerRoman"/>
      <w:start w:val="1"/>
    </w:lvl>
  </w:abstractNum>
  <w:abstractNum w:abstractNumId="133">
    <w:nsid w:val="5D5BABB3"/>
    <w:multiLevelType w:val="hybridMultilevel"/>
    <w:lvl w:ilvl="0">
      <w:lvlJc w:val="left"/>
      <w:lvlText w:val="(%1)"/>
      <w:numFmt w:val="lowerLetter"/>
      <w:start w:val="1"/>
    </w:lvl>
    <w:lvl w:ilvl="1">
      <w:lvlJc w:val="left"/>
      <w:lvlText w:val="(%2)"/>
      <w:numFmt w:val="lowerRoman"/>
      <w:start w:val="1"/>
    </w:lvl>
  </w:abstractNum>
  <w:abstractNum w:abstractNumId="134">
    <w:nsid w:val="51BF6B4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35">
    <w:nsid w:val="7E0F6384"/>
    <w:multiLevelType w:val="hybridMultilevel"/>
    <w:lvl w:ilvl="0">
      <w:lvlJc w:val="left"/>
      <w:lvlText w:val="(%1)"/>
      <w:numFmt w:val="lowerRoman"/>
      <w:start w:val="2"/>
    </w:lvl>
    <w:lvl w:ilvl="1">
      <w:lvlJc w:val="left"/>
      <w:lvlText w:val="(%2)"/>
      <w:numFmt w:val="upperLetter"/>
      <w:start w:val="1"/>
    </w:lvl>
  </w:abstractNum>
  <w:abstractNum w:abstractNumId="136">
    <w:nsid w:val="2B4B8B53"/>
    <w:multiLevelType w:val="hybridMultilevel"/>
    <w:lvl w:ilvl="0">
      <w:lvlJc w:val="left"/>
      <w:lvlText w:val="(%1)"/>
      <w:numFmt w:val="lowerLetter"/>
      <w:start w:val="9"/>
    </w:lvl>
    <w:lvl w:ilvl="1">
      <w:lvlJc w:val="left"/>
      <w:lvlText w:val="(%2)"/>
      <w:numFmt w:val="lowerRoman"/>
      <w:start w:val="1"/>
    </w:lvl>
  </w:abstractNum>
  <w:abstractNum w:abstractNumId="137">
    <w:nsid w:val="72E3413A"/>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8">
    <w:nsid w:val="116AE494"/>
    <w:multiLevelType w:val="hybridMultilevel"/>
    <w:lvl w:ilvl="0">
      <w:lvlJc w:val="left"/>
      <w:lvlText w:val="(%1)"/>
      <w:numFmt w:val="lowerLetter"/>
      <w:start w:val="1"/>
    </w:lvl>
    <w:lvl w:ilvl="1">
      <w:lvlJc w:val="left"/>
      <w:lvlText w:val="(%2)"/>
      <w:numFmt w:val="lowerRoman"/>
      <w:start w:val="1"/>
    </w:lvl>
  </w:abstractNum>
  <w:abstractNum w:abstractNumId="139">
    <w:nsid w:val="3494B2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0">
    <w:nsid w:val="B13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41">
    <w:nsid w:val="6442959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42">
    <w:nsid w:val="631F16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3">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4">
    <w:nsid w:val="EAD6F5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45">
    <w:nsid w:val="6EC9D84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6">
    <w:nsid w:val="5C49EAEE"/>
    <w:multiLevelType w:val="hybridMultilevel"/>
    <w:lvl w:ilvl="0">
      <w:lvlJc w:val="left"/>
      <w:lvlText w:val="(%1)"/>
      <w:numFmt w:val="lowerLetter"/>
      <w:start w:val="1"/>
    </w:lvl>
    <w:lvl w:ilvl="1">
      <w:lvlJc w:val="left"/>
      <w:lvlText w:val="(%2)"/>
      <w:numFmt w:val="lowerRoman"/>
      <w:start w:val="1"/>
    </w:lvl>
  </w:abstractNum>
  <w:abstractNum w:abstractNumId="147">
    <w:nsid w:val="64AF49B"/>
    <w:multiLevelType w:val="hybridMultilevel"/>
    <w:lvl w:ilvl="0">
      <w:lvlJc w:val="left"/>
      <w:lvlText w:val="(%1)"/>
      <w:numFmt w:val="lowerLetter"/>
      <w:start w:val="1"/>
    </w:lvl>
  </w:abstractNum>
  <w:abstractNum w:abstractNumId="148">
    <w:nsid w:val="397C46BC"/>
    <w:multiLevelType w:val="hybridMultilevel"/>
    <w:lvl w:ilvl="0">
      <w:lvlJc w:val="left"/>
      <w:lvlText w:val="(%1)"/>
      <w:numFmt w:val="lowerLetter"/>
      <w:start w:val="1"/>
    </w:lvl>
  </w:abstractNum>
  <w:abstractNum w:abstractNumId="149">
    <w:nsid w:val="7E448DE9"/>
    <w:multiLevelType w:val="hybridMultilevel"/>
    <w:lvl w:ilvl="0">
      <w:lvlJc w:val="left"/>
      <w:lvlText w:val="%1"/>
      <w:numFmt w:val="lowerLetter"/>
      <w:start w:val="1"/>
    </w:lvl>
    <w:lvl w:ilvl="1">
      <w:lvlJc w:val="left"/>
      <w:lvlText w:val="(%2)"/>
      <w:numFmt w:val="lowerRoman"/>
      <w:start w:val="1"/>
    </w:lvl>
  </w:abstractNum>
  <w:abstractNum w:abstractNumId="150">
    <w:nsid w:val="5A9CC3E5"/>
    <w:multiLevelType w:val="hybridMultilevel"/>
    <w:lvl w:ilvl="0">
      <w:lvlJc w:val="left"/>
      <w:lvlText w:val="(%1)"/>
      <w:numFmt w:val="lowerLetter"/>
      <w:start w:val="3"/>
    </w:lvl>
    <w:lvl w:ilvl="1">
      <w:lvlJc w:val="left"/>
      <w:lvlText w:val="(%2)"/>
      <w:numFmt w:val="lowerRoman"/>
      <w:start w:val="2"/>
    </w:lvl>
  </w:abstractNum>
  <w:abstractNum w:abstractNumId="151">
    <w:nsid w:val="1AFE3625"/>
    <w:multiLevelType w:val="hybridMultilevel"/>
    <w:lvl w:ilvl="0">
      <w:lvlJc w:val="left"/>
      <w:lvlText w:val="(%1)"/>
      <w:numFmt w:val="lowerLetter"/>
      <w:start w:val="9"/>
    </w:lvl>
    <w:lvl w:ilvl="1">
      <w:lvlJc w:val="left"/>
      <w:lvlText w:val="(%2)"/>
      <w:numFmt w:val="lowerRoman"/>
      <w:start w:val="1"/>
    </w:lvl>
  </w:abstractNum>
  <w:abstractNum w:abstractNumId="152">
    <w:nsid w:val="3CA88ECF"/>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153">
    <w:nsid w:val="6EBE4208"/>
    <w:multiLevelType w:val="hybridMultilevel"/>
    <w:lvl w:ilvl="0">
      <w:lvlJc w:val="left"/>
      <w:lvlText w:val="(%1)"/>
      <w:numFmt w:val="lowerRoman"/>
      <w:start w:val="1"/>
    </w:lvl>
    <w:lvl w:ilvl="1">
      <w:lvlJc w:val="left"/>
      <w:lvlText w:val="(%2)"/>
      <w:numFmt w:val="upperLetter"/>
      <w:start w:val="1"/>
    </w:lvl>
  </w:abstractNum>
  <w:abstractNum w:abstractNumId="154">
    <w:nsid w:val="C058DF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CBE5BE9"/>
    <w:multiLevelType w:val="hybridMultilevel"/>
    <w:lvl w:ilvl="0">
      <w:lvlJc w:val="left"/>
      <w:lvlText w:val="(%1)"/>
      <w:numFmt w:val="lowerLetter"/>
      <w:start w:val="1"/>
    </w:lvl>
    <w:lvl w:ilvl="1">
      <w:lvlJc w:val="left"/>
      <w:lvlText w:val="(%2)"/>
      <w:numFmt w:val="lowerRoman"/>
      <w:start w:val="1"/>
    </w:lvl>
  </w:abstractNum>
  <w:abstractNum w:abstractNumId="156">
    <w:nsid w:val="3102BBE2"/>
    <w:multiLevelType w:val="hybridMultilevel"/>
    <w:lvl w:ilvl="0">
      <w:lvlJc w:val="left"/>
      <w:lvlText w:val="%1"/>
      <w:numFmt w:val="lowerLetter"/>
      <w:start w:val="1"/>
    </w:lvl>
    <w:lvl w:ilvl="1">
      <w:lvlJc w:val="left"/>
      <w:lvlText w:val="(%2)"/>
      <w:numFmt w:val="lowerRoman"/>
      <w:start w:val="3"/>
    </w:lvl>
  </w:abstractNum>
  <w:abstractNum w:abstractNumId="157">
    <w:nsid w:val="26A02C5E"/>
    <w:multiLevelType w:val="hybridMultilevel"/>
    <w:lvl w:ilvl="0">
      <w:lvlJc w:val="left"/>
      <w:lvlText w:val="(%1)"/>
      <w:numFmt w:val="lowerLetter"/>
      <w:start w:val="2"/>
    </w:lvl>
    <w:lvl w:ilvl="1">
      <w:lvlJc w:val="left"/>
      <w:lvlText w:val="%2"/>
      <w:numFmt w:val="lowerRoman"/>
      <w:start w:val="1"/>
    </w:lvl>
  </w:abstractNum>
  <w:abstractNum w:abstractNumId="158">
    <w:nsid w:val="541C8153"/>
    <w:multiLevelType w:val="hybridMultilevel"/>
    <w:lvl w:ilvl="0">
      <w:lvlJc w:val="left"/>
      <w:lvlText w:val="(%1)"/>
      <w:numFmt w:val="lowerLetter"/>
      <w:start w:val="1"/>
    </w:lvl>
  </w:abstractNum>
  <w:abstractNum w:abstractNumId="159">
    <w:nsid w:val="67906F60"/>
    <w:multiLevelType w:val="hybridMultilevel"/>
    <w:lvl w:ilvl="0">
      <w:lvlJc w:val="left"/>
      <w:lvlText w:val="(%1)"/>
      <w:numFmt w:val="lowerLetter"/>
      <w:start w:val="1"/>
    </w:lvl>
    <w:lvl w:ilvl="1">
      <w:lvlJc w:val="left"/>
      <w:lvlText w:val="(%2)"/>
      <w:numFmt w:val="lowerRoman"/>
      <w:start w:val="1"/>
    </w:lvl>
  </w:abstractNum>
  <w:abstractNum w:abstractNumId="160">
    <w:nsid w:val="10DB9DAA"/>
    <w:multiLevelType w:val="hybridMultilevel"/>
    <w:lvl w:ilvl="0">
      <w:lvlJc w:val="left"/>
      <w:lvlText w:val="(%1)"/>
      <w:numFmt w:val="lowerLetter"/>
      <w:start w:val="1"/>
    </w:lvl>
    <w:lvl w:ilvl="1">
      <w:lvlJc w:val="left"/>
      <w:lvlText w:val="(%2)"/>
      <w:numFmt w:val="lowerRoman"/>
      <w:start w:val="1"/>
    </w:lvl>
  </w:abstractNum>
  <w:abstractNum w:abstractNumId="161">
    <w:nsid w:val="697D2D2"/>
    <w:multiLevelType w:val="hybridMultilevel"/>
    <w:lvl w:ilvl="0">
      <w:lvlJc w:val="left"/>
      <w:lvlText w:val="(%1)"/>
      <w:numFmt w:val="lowerLetter"/>
      <w:start w:val="1"/>
    </w:lvl>
    <w:lvl w:ilvl="1">
      <w:lvlJc w:val="left"/>
      <w:lvlText w:val="(%2)"/>
      <w:numFmt w:val="lowerRoman"/>
      <w:start w:val="1"/>
    </w:lvl>
  </w:abstractNum>
  <w:abstractNum w:abstractNumId="162">
    <w:nsid w:val="6D68AB2"/>
    <w:multiLevelType w:val="hybridMultilevel"/>
    <w:lvl w:ilvl="0">
      <w:lvlJc w:val="left"/>
      <w:lvlText w:val="(%1)"/>
      <w:numFmt w:val="lowerLetter"/>
      <w:start w:val="2"/>
    </w:lvl>
  </w:abstractNum>
  <w:abstractNum w:abstractNumId="163">
    <w:nsid w:val="3A966CD0"/>
    <w:multiLevelType w:val="hybridMultilevel"/>
    <w:lvl w:ilvl="0">
      <w:lvlJc w:val="left"/>
      <w:lvlText w:val="(%1)"/>
      <w:numFmt w:val="lowerLetter"/>
      <w:start w:val="1"/>
    </w:lvl>
  </w:abstractNum>
  <w:abstractNum w:abstractNumId="164">
    <w:nsid w:val="63F37E85"/>
    <w:multiLevelType w:val="hybridMultilevel"/>
    <w:lvl w:ilvl="0">
      <w:lvlJc w:val="left"/>
      <w:lvlText w:val="(%1)"/>
      <w:numFmt w:val="lowerLetter"/>
      <w:start w:val="1"/>
    </w:lvl>
  </w:abstractNum>
  <w:abstractNum w:abstractNumId="165">
    <w:nsid w:val="5895F5FA"/>
    <w:multiLevelType w:val="hybridMultilevel"/>
    <w:lvl w:ilvl="0">
      <w:lvlJc w:val="left"/>
      <w:lvlText w:val="(%1)"/>
      <w:numFmt w:val="lowerLetter"/>
      <w:start w:val="1"/>
    </w:lvl>
    <w:lvl w:ilvl="1">
      <w:lvlJc w:val="left"/>
      <w:lvlText w:val="(%2)"/>
      <w:numFmt w:val="lowerRoman"/>
      <w:start w:val="1"/>
    </w:lvl>
  </w:abstractNum>
  <w:abstractNum w:abstractNumId="166">
    <w:nsid w:val="38A5D054"/>
    <w:multiLevelType w:val="hybridMultilevel"/>
    <w:lvl w:ilvl="0">
      <w:lvlJc w:val="left"/>
      <w:lvlText w:val="(%1)"/>
      <w:numFmt w:val="lowerLetter"/>
      <w:start w:val="6"/>
    </w:lvl>
  </w:abstractNum>
  <w:abstractNum w:abstractNumId="167">
    <w:nsid w:val="F3F09D8"/>
    <w:multiLevelType w:val="hybridMultilevel"/>
    <w:lvl w:ilvl="0">
      <w:lvlJc w:val="left"/>
      <w:lvlText w:val="(%1)"/>
      <w:numFmt w:val="lowerLetter"/>
      <w:start w:val="1"/>
    </w:lvl>
    <w:lvl w:ilvl="1">
      <w:lvlJc w:val="left"/>
      <w:lvlText w:val="(%2)"/>
      <w:numFmt w:val="lowerRoman"/>
      <w:start w:val="1"/>
    </w:lvl>
  </w:abstractNum>
  <w:abstractNum w:abstractNumId="168">
    <w:nsid w:val="4B793735"/>
    <w:multiLevelType w:val="hybridMultilevel"/>
    <w:lvl w:ilvl="0">
      <w:lvlJc w:val="left"/>
      <w:lvlText w:val="(%1)"/>
      <w:numFmt w:val="lowerLetter"/>
      <w:start w:val="1"/>
    </w:lvl>
  </w:abstractNum>
  <w:abstractNum w:abstractNumId="169">
    <w:nsid w:val="4A10B4E8"/>
    <w:multiLevelType w:val="hybridMultilevel"/>
    <w:lvl w:ilvl="0">
      <w:lvlJc w:val="left"/>
      <w:lvlText w:val="(%1)"/>
      <w:numFmt w:val="lowerLetter"/>
      <w:start w:val="1"/>
    </w:lvl>
  </w:abstractNum>
  <w:abstractNum w:abstractNumId="170">
    <w:nsid w:val="43D3BCD4"/>
    <w:multiLevelType w:val="hybridMultilevel"/>
    <w:lvl w:ilvl="0">
      <w:lvlJc w:val="left"/>
      <w:lvlText w:val="(%1)"/>
      <w:numFmt w:val="lowerLetter"/>
      <w:start w:val="1"/>
    </w:lvl>
  </w:abstractNum>
  <w:abstractNum w:abstractNumId="171">
    <w:nsid w:val="4C2A7166"/>
    <w:multiLevelType w:val="hybridMultilevel"/>
    <w:lvl w:ilvl="0">
      <w:lvlJc w:val="left"/>
      <w:lvlText w:val="(%1)"/>
      <w:numFmt w:val="lowerLetter"/>
      <w:start w:val="5"/>
    </w:lvl>
  </w:abstractNum>
  <w:abstractNum w:abstractNumId="172">
    <w:nsid w:val="2E534A82"/>
    <w:multiLevelType w:val="hybridMultilevel"/>
    <w:lvl w:ilvl="0">
      <w:lvlJc w:val="left"/>
      <w:lvlText w:val="(%1)"/>
      <w:numFmt w:val="lowerLetter"/>
      <w:start w:val="1"/>
    </w:lvl>
  </w:abstractNum>
  <w:abstractNum w:abstractNumId="173">
    <w:nsid w:val="26F2D364"/>
    <w:multiLevelType w:val="hybridMultilevel"/>
    <w:lvl w:ilvl="0">
      <w:lvlJc w:val="left"/>
      <w:lvlText w:val="(%1)"/>
      <w:numFmt w:val="lowerLetter"/>
      <w:start w:val="3"/>
    </w:lvl>
  </w:abstractNum>
  <w:abstractNum w:abstractNumId="174">
    <w:nsid w:val="71C1AF98"/>
    <w:multiLevelType w:val="hybridMultilevel"/>
    <w:lvl w:ilvl="0">
      <w:lvlJc w:val="left"/>
      <w:lvlText w:val="(%1)"/>
      <w:numFmt w:val="lowerLetter"/>
      <w:start w:val="1"/>
    </w:lvl>
  </w:abstractNum>
  <w:abstractNum w:abstractNumId="175">
    <w:nsid w:val="3D00B9D9"/>
    <w:multiLevelType w:val="hybridMultilevel"/>
    <w:lvl w:ilvl="0">
      <w:lvlJc w:val="left"/>
      <w:lvlText w:val="(%1)"/>
      <w:numFmt w:val="lowerLetter"/>
      <w:start w:val="1"/>
    </w:lvl>
    <w:lvl w:ilvl="1">
      <w:lvlJc w:val="left"/>
      <w:lvlText w:val="(%2)"/>
      <w:numFmt w:val="lowerRoman"/>
      <w:start w:val="1"/>
    </w:lvl>
  </w:abstractNum>
  <w:abstractNum w:abstractNumId="176">
    <w:nsid w:val="15BCABA8"/>
    <w:multiLevelType w:val="hybridMultilevel"/>
    <w:lvl w:ilvl="0">
      <w:lvlJc w:val="left"/>
      <w:lvlText w:val="(%1)"/>
      <w:numFmt w:val="lowerLetter"/>
      <w:start w:val="1"/>
    </w:lvl>
    <w:lvl w:ilvl="1">
      <w:lvlJc w:val="left"/>
      <w:lvlText w:val="(%2)"/>
      <w:numFmt w:val="lowerRoman"/>
      <w:start w:val="1"/>
    </w:lvl>
  </w:abstractNum>
  <w:abstractNum w:abstractNumId="177">
    <w:nsid w:val="4E0B9A87"/>
    <w:multiLevelType w:val="hybridMultilevel"/>
    <w:lvl w:ilvl="0">
      <w:lvlJc w:val="left"/>
      <w:lvlText w:val="(%1)"/>
      <w:numFmt w:val="lowerLetter"/>
      <w:start w:val="1"/>
    </w:lvl>
  </w:abstractNum>
  <w:abstractNum w:abstractNumId="178">
    <w:nsid w:val="434BAE75"/>
    <w:multiLevelType w:val="hybridMultilevel"/>
    <w:lvl w:ilvl="0">
      <w:lvlJc w:val="left"/>
      <w:lvlText w:val="(%1)"/>
      <w:numFmt w:val="lowerLetter"/>
      <w:start w:val="1"/>
    </w:lvl>
    <w:lvl w:ilvl="1">
      <w:lvlJc w:val="left"/>
      <w:lvlText w:val="(%2)"/>
      <w:numFmt w:val="lowerRoman"/>
      <w:start w:val="1"/>
    </w:lvl>
  </w:abstractNum>
  <w:abstractNum w:abstractNumId="179">
    <w:nsid w:val="4F38F265"/>
    <w:multiLevelType w:val="hybridMultilevel"/>
    <w:lvl w:ilvl="0">
      <w:lvlJc w:val="left"/>
      <w:lvlText w:val="(%1)"/>
      <w:numFmt w:val="lowerLetter"/>
      <w:start w:val="1"/>
    </w:lvl>
  </w:abstractNum>
  <w:abstractNum w:abstractNumId="180">
    <w:nsid w:val="4C502870"/>
    <w:multiLevelType w:val="hybridMultilevel"/>
    <w:lvl w:ilvl="0">
      <w:lvlJc w:val="left"/>
      <w:lvlText w:val="(%1)"/>
      <w:numFmt w:val="lowerLetter"/>
      <w:start w:val="1"/>
    </w:lvl>
    <w:lvl w:ilvl="1">
      <w:lvlJc w:val="left"/>
      <w:lvlText w:val="(%2)"/>
      <w:numFmt w:val="lowerLetter"/>
      <w:start w:val="9"/>
    </w:lvl>
  </w:abstractNum>
  <w:abstractNum w:abstractNumId="181">
    <w:nsid w:val="1DE8725A"/>
    <w:multiLevelType w:val="hybridMultilevel"/>
    <w:lvl w:ilvl="0">
      <w:lvlJc w:val="left"/>
      <w:lvlText w:val="%1"/>
      <w:numFmt w:val="lowerLetter"/>
      <w:start w:val="1"/>
    </w:lvl>
    <w:lvl w:ilvl="1">
      <w:lvlJc w:val="left"/>
      <w:lvlText w:val="(%2)"/>
      <w:numFmt w:val="lowerRoman"/>
      <w:start w:val="2"/>
    </w:lvl>
  </w:abstractNum>
  <w:abstractNum w:abstractNumId="182">
    <w:nsid w:val="6A37288A"/>
    <w:multiLevelType w:val="hybridMultilevel"/>
    <w:lvl w:ilvl="0">
      <w:lvlJc w:val="left"/>
      <w:lvlText w:val="(%1)"/>
      <w:numFmt w:val="lowerLetter"/>
      <w:start w:val="3"/>
    </w:lvl>
    <w:lvl w:ilvl="1">
      <w:lvlJc w:val="left"/>
      <w:lvlText w:val="%2"/>
      <w:numFmt w:val="lowerRoman"/>
      <w:start w:val="1"/>
    </w:lvl>
  </w:abstractNum>
  <w:abstractNum w:abstractNumId="183">
    <w:nsid w:val="8F8B73F"/>
    <w:multiLevelType w:val="hybridMultilevel"/>
    <w:lvl w:ilvl="0">
      <w:lvlJc w:val="left"/>
      <w:lvlText w:val="(%1)"/>
      <w:numFmt w:val="lowerLetter"/>
      <w:start w:val="1"/>
    </w:lvl>
  </w:abstractNum>
  <w:abstractNum w:abstractNumId="184">
    <w:nsid w:val="CA6B462"/>
    <w:multiLevelType w:val="hybridMultilevel"/>
    <w:lvl w:ilvl="0">
      <w:lvlJc w:val="left"/>
      <w:lvlText w:val="(%1)"/>
      <w:numFmt w:val="lowerLetter"/>
      <w:start w:val="1"/>
    </w:lvl>
  </w:abstractNum>
  <w:abstractNum w:abstractNumId="185">
    <w:nsid w:val="763CB680"/>
    <w:multiLevelType w:val="hybridMultilevel"/>
    <w:lvl w:ilvl="0">
      <w:lvlJc w:val="left"/>
      <w:lvlText w:val="(%1)"/>
      <w:numFmt w:val="lowerLetter"/>
      <w:start w:val="1"/>
    </w:lvl>
    <w:lvl w:ilvl="1">
      <w:lvlJc w:val="left"/>
      <w:lvlText w:val="(%2)"/>
      <w:numFmt w:val="lowerRoman"/>
      <w:start w:val="1"/>
    </w:lvl>
  </w:abstractNum>
  <w:abstractNum w:abstractNumId="186">
    <w:nsid w:val="15B71329"/>
    <w:multiLevelType w:val="hybridMultilevel"/>
    <w:lvl w:ilvl="0">
      <w:lvlJc w:val="left"/>
      <w:lvlText w:val="(%1)"/>
      <w:numFmt w:val="lowerLetter"/>
      <w:start w:val="1"/>
    </w:lvl>
    <w:lvl w:ilvl="1">
      <w:lvlJc w:val="left"/>
      <w:lvlText w:val="(%2)"/>
      <w:numFmt w:val="lowerRoman"/>
      <w:start w:val="1"/>
    </w:lvl>
  </w:abstractNum>
  <w:abstractNum w:abstractNumId="187">
    <w:nsid w:val="3DA97044"/>
    <w:multiLevelType w:val="hybridMultilevel"/>
    <w:lvl w:ilvl="0">
      <w:lvlJc w:val="left"/>
      <w:lvlText w:val="(%1)"/>
      <w:numFmt w:val="lowerLetter"/>
      <w:start w:val="1"/>
    </w:lvl>
  </w:abstractNum>
  <w:abstractNum w:abstractNumId="188">
    <w:nsid w:val="1CDCE2DE"/>
    <w:multiLevelType w:val="hybridMultilevel"/>
    <w:lvl w:ilvl="0">
      <w:lvlJc w:val="left"/>
      <w:lvlText w:val="(%1)"/>
      <w:numFmt w:val="lowerLetter"/>
      <w:start w:val="1"/>
    </w:lvl>
  </w:abstractNum>
  <w:abstractNum w:abstractNumId="189">
    <w:nsid w:val="69D3947C"/>
    <w:multiLevelType w:val="hybridMultilevel"/>
    <w:lvl w:ilvl="0">
      <w:lvlJc w:val="left"/>
      <w:lvlText w:val="(%1)"/>
      <w:numFmt w:val="lowerLetter"/>
      <w:start w:val="1"/>
    </w:lvl>
    <w:lvl w:ilvl="1">
      <w:lvlJc w:val="left"/>
      <w:lvlText w:val="(%2)"/>
      <w:numFmt w:val="lowerRoman"/>
      <w:start w:val="1"/>
    </w:lvl>
  </w:abstractNum>
  <w:abstractNum w:abstractNumId="190">
    <w:nsid w:val="2539DFA5"/>
    <w:multiLevelType w:val="hybridMultilevel"/>
    <w:lvl w:ilvl="0">
      <w:lvlJc w:val="left"/>
      <w:lvlText w:val="(%1)"/>
      <w:numFmt w:val="lowerLetter"/>
      <w:start w:val="1"/>
    </w:lvl>
    <w:lvl w:ilvl="1">
      <w:lvlJc w:val="left"/>
      <w:lvlText w:val="(%2)"/>
      <w:numFmt w:val="lowerRoman"/>
      <w:start w:val="1"/>
    </w:lvl>
  </w:abstractNum>
  <w:abstractNum w:abstractNumId="191">
    <w:nsid w:val="2DB88089"/>
    <w:multiLevelType w:val="hybridMultilevel"/>
    <w:lvl w:ilvl="0">
      <w:lvlJc w:val="left"/>
      <w:lvlText w:val="%1"/>
      <w:numFmt w:val="lowerLetter"/>
      <w:start w:val="1"/>
    </w:lvl>
    <w:lvl w:ilvl="1">
      <w:lvlJc w:val="left"/>
      <w:lvlText w:val="(%2)"/>
      <w:numFmt w:val="lowerLetter"/>
      <w:start w:val="22"/>
    </w:lvl>
  </w:abstractNum>
  <w:abstractNum w:abstractNumId="192">
    <w:nsid w:val="706B674E"/>
    <w:multiLevelType w:val="hybridMultilevel"/>
    <w:lvl w:ilvl="0">
      <w:lvlJc w:val="left"/>
      <w:lvlText w:val="(%1)"/>
      <w:numFmt w:val="lowerLetter"/>
      <w:start w:val="4"/>
    </w:lvl>
    <w:lvl w:ilvl="1">
      <w:lvlJc w:val="left"/>
      <w:lvlText w:val="(%2)"/>
      <w:numFmt w:val="lowerLetter"/>
      <w:start w:val="9"/>
    </w:lvl>
  </w:abstractNum>
  <w:abstractNum w:abstractNumId="193">
    <w:nsid w:val="2C106A57"/>
    <w:multiLevelType w:val="hybridMultilevel"/>
    <w:lvl w:ilvl="0">
      <w:lvlJc w:val="left"/>
      <w:lvlText w:val="%1"/>
      <w:numFmt w:val="lowerLetter"/>
      <w:start w:val="1"/>
    </w:lvl>
    <w:lvl w:ilvl="1">
      <w:lvlJc w:val="left"/>
      <w:lvlText w:val="(%2)"/>
      <w:numFmt w:val="lowerLetter"/>
      <w:start w:val="35"/>
    </w:lvl>
  </w:abstractNum>
  <w:abstractNum w:abstractNumId="194">
    <w:nsid w:val="684EED59"/>
    <w:multiLevelType w:val="hybridMultilevel"/>
    <w:lvl w:ilvl="0">
      <w:lvlJc w:val="left"/>
      <w:lvlText w:val="(%1)"/>
      <w:numFmt w:val="lowerLetter"/>
      <w:start w:val="5"/>
    </w:lvl>
    <w:lvl w:ilvl="1">
      <w:lvlJc w:val="left"/>
      <w:lvlText w:val="(%2)"/>
      <w:numFmt w:val="lowerLetter"/>
      <w:start w:val="9"/>
    </w:lvl>
  </w:abstractNum>
  <w:abstractNum w:abstractNumId="195">
    <w:nsid w:val="545EE5D3"/>
    <w:multiLevelType w:val="hybridMultilevel"/>
    <w:lvl w:ilvl="0">
      <w:lvlJc w:val="left"/>
      <w:lvlText w:val="%1"/>
      <w:numFmt w:val="lowerLetter"/>
      <w:start w:val="1"/>
    </w:lvl>
    <w:lvl w:ilvl="1">
      <w:lvlJc w:val="left"/>
      <w:lvlText w:val="(%2)"/>
      <w:numFmt w:val="lowerLetter"/>
      <w:start w:val="35"/>
    </w:lvl>
  </w:abstractNum>
  <w:abstractNum w:abstractNumId="196">
    <w:nsid w:val="4A66051"/>
    <w:multiLevelType w:val="hybridMultilevel"/>
    <w:lvl w:ilvl="0">
      <w:lvlJc w:val="left"/>
      <w:lvlText w:val="(%1)"/>
      <w:numFmt w:val="lowerLetter"/>
      <w:start w:val="7"/>
    </w:lvl>
    <w:lvl w:ilvl="1">
      <w:lvlJc w:val="left"/>
      <w:lvlText w:val="(%2)"/>
      <w:numFmt w:val="lowerLetter"/>
      <w:start w:val="9"/>
    </w:lvl>
  </w:abstractNum>
  <w:abstractNum w:abstractNumId="197">
    <w:nsid w:val="20F4BDAD"/>
    <w:multiLevelType w:val="hybridMultilevel"/>
    <w:lvl w:ilvl="0">
      <w:lvlJc w:val="left"/>
      <w:lvlText w:val="%1"/>
      <w:numFmt w:val="lowerLetter"/>
      <w:start w:val="1"/>
    </w:lvl>
    <w:lvl w:ilvl="1">
      <w:lvlJc w:val="left"/>
      <w:lvlText w:val="(%2)"/>
      <w:numFmt w:val="lowerLetter"/>
      <w:start w:val="35"/>
    </w:lvl>
  </w:abstractNum>
  <w:abstractNum w:abstractNumId="198">
    <w:nsid w:val="639DEFAC"/>
    <w:multiLevelType w:val="hybridMultilevel"/>
    <w:lvl w:ilvl="0">
      <w:lvlJc w:val="left"/>
      <w:lvlText w:val="(%1)"/>
      <w:numFmt w:val="lowerLetter"/>
      <w:start w:val="8"/>
    </w:lvl>
    <w:lvl w:ilvl="1">
      <w:lvlJc w:val="left"/>
      <w:lvlText w:val="%2"/>
      <w:numFmt w:val="lowerLetter"/>
      <w:start w:val="1"/>
    </w:lvl>
  </w:abstractNum>
  <w:abstractNum w:abstractNumId="199">
    <w:nsid w:val="501F9786"/>
    <w:multiLevelType w:val="hybridMultilevel"/>
    <w:lvl w:ilvl="0">
      <w:lvlJc w:val="left"/>
      <w:lvlText w:val="(%1)"/>
      <w:numFmt w:val="lowerLetter"/>
      <w:start w:val="1"/>
    </w:lvl>
  </w:abstractNum>
  <w:abstractNum w:abstractNumId="200">
    <w:nsid w:val="6B057295"/>
    <w:multiLevelType w:val="hybridMultilevel"/>
    <w:lvl w:ilvl="0">
      <w:lvlJc w:val="left"/>
      <w:lvlText w:val="(%1)"/>
      <w:numFmt w:val="lowerLetter"/>
      <w:start w:val="1"/>
    </w:lvl>
  </w:abstractNum>
  <w:abstractNum w:abstractNumId="201">
    <w:nsid w:val="2771AC80"/>
    <w:multiLevelType w:val="hybridMultilevel"/>
    <w:lvl w:ilvl="0">
      <w:lvlJc w:val="left"/>
      <w:lvlText w:val="(%1)"/>
      <w:numFmt w:val="lowerLetter"/>
      <w:start w:val="1"/>
    </w:lvl>
  </w:abstractNum>
  <w:abstractNum w:abstractNumId="202">
    <w:nsid w:val="1C4A08EC"/>
    <w:multiLevelType w:val="hybridMultilevel"/>
    <w:lvl w:ilvl="0">
      <w:lvlJc w:val="left"/>
      <w:lvlText w:val="(%1)"/>
      <w:numFmt w:val="lowerLetter"/>
      <w:start w:val="1"/>
    </w:lvl>
    <w:lvl w:ilvl="1">
      <w:lvlJc w:val="left"/>
      <w:lvlText w:val="(%2)"/>
      <w:numFmt w:val="lowerRoman"/>
      <w:start w:val="1"/>
    </w:lvl>
  </w:abstractNum>
  <w:abstractNum w:abstractNumId="203">
    <w:nsid w:val="1958BD17"/>
    <w:multiLevelType w:val="hybridMultilevel"/>
    <w:lvl w:ilvl="0">
      <w:lvlJc w:val="left"/>
      <w:lvlText w:val="(%1)"/>
      <w:numFmt w:val="lowerLetter"/>
      <w:start w:val="1"/>
    </w:lvl>
  </w:abstractNum>
  <w:abstractNum w:abstractNumId="204">
    <w:nsid w:val="4E647FE4"/>
    <w:multiLevelType w:val="hybridMultilevel"/>
    <w:lvl w:ilvl="0">
      <w:lvlJc w:val="left"/>
      <w:lvlText w:val="(%1)"/>
      <w:numFmt w:val="lowerLetter"/>
      <w:start w:val="1"/>
    </w:lvl>
  </w:abstractNum>
  <w:abstractNum w:abstractNumId="205">
    <w:nsid w:val="E0BB885"/>
    <w:multiLevelType w:val="hybridMultilevel"/>
    <w:lvl w:ilvl="0">
      <w:lvlJc w:val="left"/>
      <w:lvlText w:val="(%1)"/>
      <w:numFmt w:val="lowerLetter"/>
      <w:start w:val="1"/>
    </w:lvl>
  </w:abstractNum>
  <w:abstractNum w:abstractNumId="206">
    <w:nsid w:val="565976F1"/>
    <w:multiLevelType w:val="hybridMultilevel"/>
    <w:lvl w:ilvl="0">
      <w:lvlJc w:val="left"/>
      <w:lvlText w:val="(%1)"/>
      <w:numFmt w:val="lowerLetter"/>
      <w:start w:val="1"/>
    </w:lvl>
  </w:abstractNum>
  <w:abstractNum w:abstractNumId="207">
    <w:nsid w:val="64212B8C"/>
    <w:multiLevelType w:val="hybridMultilevel"/>
    <w:lvl w:ilvl="0">
      <w:lvlJc w:val="left"/>
      <w:lvlText w:val="(%1)"/>
      <w:numFmt w:val="lowerLetter"/>
      <w:start w:val="1"/>
    </w:lvl>
  </w:abstractNum>
  <w:abstractNum w:abstractNumId="208">
    <w:nsid w:val="5C17530C"/>
    <w:multiLevelType w:val="hybridMultilevel"/>
    <w:lvl w:ilvl="0">
      <w:lvlJc w:val="left"/>
      <w:lvlText w:val="(%1)"/>
      <w:numFmt w:val="lowerLetter"/>
      <w:start w:val="1"/>
    </w:lvl>
  </w:abstractNum>
  <w:abstractNum w:abstractNumId="209">
    <w:nsid w:val="19A52566"/>
    <w:multiLevelType w:val="hybridMultilevel"/>
    <w:lvl w:ilvl="0">
      <w:lvlJc w:val="left"/>
      <w:lvlText w:val="(%1)"/>
      <w:numFmt w:val="lowerLetter"/>
      <w:start w:val="1"/>
    </w:lvl>
  </w:abstractNum>
  <w:abstractNum w:abstractNumId="210">
    <w:nsid w:val="335A1DF1"/>
    <w:multiLevelType w:val="hybridMultilevel"/>
    <w:lvl w:ilvl="0">
      <w:lvlJc w:val="left"/>
      <w:lvlText w:val="(%1)"/>
      <w:numFmt w:val="lowerLetter"/>
      <w:start w:val="1"/>
    </w:lvl>
  </w:abstractNum>
  <w:abstractNum w:abstractNumId="211">
    <w:nsid w:val="28677B7C"/>
    <w:multiLevelType w:val="hybridMultilevel"/>
    <w:lvl w:ilvl="0">
      <w:lvlJc w:val="left"/>
      <w:lvlText w:val="(%1)"/>
      <w:numFmt w:val="lowerLetter"/>
      <w:start w:val="1"/>
    </w:lvl>
  </w:abstractNum>
  <w:abstractNum w:abstractNumId="212">
    <w:nsid w:val="378D97C0"/>
    <w:multiLevelType w:val="hybridMultilevel"/>
    <w:lvl w:ilvl="0">
      <w:lvlJc w:val="left"/>
      <w:lvlText w:val="(%1)"/>
      <w:numFmt w:val="lowerLetter"/>
      <w:start w:val="1"/>
    </w:lvl>
  </w:abstractNum>
  <w:abstractNum w:abstractNumId="213">
    <w:nsid w:val="1D91467C"/>
    <w:multiLevelType w:val="hybridMultilevel"/>
    <w:lvl w:ilvl="0">
      <w:lvlJc w:val="left"/>
      <w:lvlText w:val="(%1)"/>
      <w:numFmt w:val="upperLetter"/>
      <w:start w:val="35"/>
    </w:lvl>
  </w:abstractNum>
  <w:abstractNum w:abstractNumId="214">
    <w:nsid w:val="316032BB"/>
    <w:multiLevelType w:val="hybridMultilevel"/>
    <w:lvl w:ilvl="0">
      <w:lvlJc w:val="left"/>
      <w:lvlText w:val="(%1)"/>
      <w:numFmt w:val="decimal"/>
      <w:start w:val="1"/>
    </w:lvl>
  </w:abstractNum>
  <w:abstractNum w:abstractNumId="215">
    <w:nsid w:val="44344C22"/>
    <w:multiLevelType w:val="hybridMultilevel"/>
    <w:lvl w:ilvl="0">
      <w:lvlJc w:val="left"/>
      <w:lvlText w:val="A"/>
      <w:numFmt w:val="bullet"/>
      <w:start w:val="1"/>
    </w:lvl>
  </w:abstractNum>
  <w:abstractNum w:abstractNumId="216">
    <w:nsid w:val="13CDFCFC"/>
    <w:multiLevelType w:val="hybridMultilevel"/>
    <w:lvl w:ilvl="0">
      <w:lvlJc w:val="left"/>
      <w:lvlText w:val="B"/>
      <w:numFmt w:val="bullet"/>
      <w:start w:val="1"/>
    </w:lvl>
  </w:abstractNum>
  <w:abstractNum w:abstractNumId="217">
    <w:nsid w:val="471745E4"/>
    <w:multiLevelType w:val="hybridMultilevel"/>
    <w:lvl w:ilvl="0">
      <w:lvlJc w:val="left"/>
      <w:lvlText w:val="C"/>
      <w:numFmt w:val="bullet"/>
      <w:start w:val="1"/>
    </w:lvl>
  </w:abstractNum>
  <w:abstractNum w:abstractNumId="218">
    <w:nsid w:val="1DDBC66"/>
    <w:multiLevelType w:val="hybridMultilevel"/>
    <w:lvl w:ilvl="0">
      <w:lvlJc w:val="left"/>
      <w:lvlText w:val="1"/>
      <w:numFmt w:val="bullet"/>
      <w:start w:val="1"/>
    </w:lvl>
  </w:abstractNum>
  <w:abstractNum w:abstractNumId="219">
    <w:nsid w:val="30AADFDA"/>
    <w:multiLevelType w:val="hybridMultilevel"/>
    <w:lvl w:ilvl="0">
      <w:lvlJc w:val="left"/>
      <w:lvlText w:val="(%1)"/>
      <w:numFmt w:val="lowerLetter"/>
      <w:start w:val="1"/>
    </w:lvl>
  </w:abstractNum>
  <w:abstractNum w:abstractNumId="220">
    <w:nsid w:val="30EADA61"/>
    <w:multiLevelType w:val="hybridMultilevel"/>
    <w:lvl w:ilvl="0">
      <w:lvlJc w:val="left"/>
      <w:lvlText w:val="(%1)"/>
      <w:numFmt w:val="lowerLetter"/>
      <w:start w:val="3"/>
    </w:lvl>
  </w:abstractNum>
  <w:abstractNum w:abstractNumId="221">
    <w:nsid w:val="27179C0B"/>
    <w:multiLevelType w:val="hybridMultilevel"/>
    <w:lvl w:ilvl="0">
      <w:lvlJc w:val="left"/>
      <w:lvlText w:val="2"/>
      <w:numFmt w:val="bullet"/>
      <w:start w:val="1"/>
    </w:lvl>
  </w:abstractNum>
  <w:abstractNum w:abstractNumId="222">
    <w:nsid w:val="5E636063"/>
    <w:multiLevelType w:val="hybridMultilevel"/>
    <w:lvl w:ilvl="0">
      <w:lvlJc w:val="left"/>
      <w:lvlText w:val="(%1)"/>
      <w:numFmt w:val="lowerLetter"/>
      <w:start w:val="1"/>
    </w:lvl>
  </w:abstractNum>
  <w:abstractNum w:abstractNumId="223">
    <w:nsid w:val="215641AF"/>
    <w:multiLevelType w:val="hybridMultilevel"/>
    <w:lvl w:ilvl="0">
      <w:lvlJc w:val="left"/>
      <w:lvlText w:val="3"/>
      <w:numFmt w:val="bullet"/>
      <w:start w:val="1"/>
    </w:lvl>
    <w:lvl w:ilvl="1">
      <w:lvlJc w:val="left"/>
      <w:lvlText w:val="(%2)"/>
      <w:numFmt w:val="lowerLetter"/>
      <w:start w:val="1"/>
    </w:lvl>
    <w:lvl w:ilvl="2">
      <w:lvlJc w:val="left"/>
      <w:lvlText w:val="(%3)"/>
      <w:numFmt w:val="upperLetter"/>
      <w:start w:val="6"/>
    </w:lvl>
  </w:abstractNum>
  <w:abstractNum w:abstractNumId="224">
    <w:nsid w:val="53280662"/>
    <w:multiLevelType w:val="hybridMultilevel"/>
    <w:lvl w:ilvl="0">
      <w:lvlJc w:val="left"/>
      <w:lvlText w:val="3"/>
      <w:numFmt w:val="bullet"/>
      <w:start w:val="1"/>
    </w:lvl>
    <w:lvl w:ilvl="1">
      <w:lvlJc w:val="left"/>
      <w:lvlText w:val="%2"/>
      <w:numFmt w:val="lowerLetter"/>
      <w:start w:val="1"/>
    </w:lvl>
    <w:lvl w:ilvl="2">
      <w:lvlJc w:val="left"/>
      <w:lvlText w:val="(%3)"/>
      <w:numFmt w:val="upperLetter"/>
      <w:start w:val="2"/>
    </w:lvl>
  </w:abstractNum>
  <w:abstractNum w:abstractNumId="225">
    <w:nsid w:val="46B24DBC"/>
    <w:multiLevelType w:val="hybridMultilevel"/>
    <w:lvl w:ilvl="0">
      <w:lvlJc w:val="left"/>
      <w:lvlText w:val="4"/>
      <w:numFmt w:val="bullet"/>
      <w:start w:val="1"/>
    </w:lvl>
  </w:abstractNum>
  <w:abstractNum w:abstractNumId="226">
    <w:nsid w:val="75B52783"/>
    <w:multiLevelType w:val="hybridMultilevel"/>
    <w:lvl w:ilvl="0">
      <w:lvlJc w:val="left"/>
      <w:lvlText w:val="5"/>
      <w:numFmt w:val="bullet"/>
      <w:start w:val="1"/>
    </w:lvl>
  </w:abstractNum>
  <w:abstractNum w:abstractNumId="227">
    <w:nsid w:val="57CE66B4"/>
    <w:multiLevelType w:val="hybridMultilevel"/>
    <w:lvl w:ilvl="0">
      <w:lvlJc w:val="left"/>
      <w:lvlText w:val="6"/>
      <w:numFmt w:val="bullet"/>
      <w:start w:val="1"/>
    </w:lvl>
  </w:abstractNum>
  <w:abstractNum w:abstractNumId="228">
    <w:nsid w:val="67A70B69"/>
    <w:multiLevelType w:val="hybridMultilevel"/>
    <w:lvl w:ilvl="0">
      <w:lvlJc w:val="left"/>
      <w:lvlText w:val="7"/>
      <w:numFmt w:val="bullet"/>
      <w:start w:val="1"/>
    </w:lvl>
    <w:lvl w:ilvl="1">
      <w:lvlJc w:val="left"/>
      <w:lvlText w:val="(%2)"/>
      <w:numFmt w:val="lowerLetter"/>
      <w:start w:val="1"/>
    </w:lvl>
  </w:abstractNum>
  <w:abstractNum w:abstractNumId="229">
    <w:nsid w:val="5953172F"/>
    <w:multiLevelType w:val="hybridMultilevel"/>
    <w:lvl w:ilvl="0">
      <w:lvlJc w:val="left"/>
      <w:lvlText w:val="(%1)"/>
      <w:numFmt w:val="lowerLetter"/>
      <w:start w:val="2"/>
    </w:lvl>
  </w:abstractNum>
  <w:abstractNum w:abstractNumId="230">
    <w:nsid w:val="27EDFE3A"/>
    <w:multiLevelType w:val="hybridMultilevel"/>
    <w:lvl w:ilvl="0">
      <w:lvlJc w:val="left"/>
      <w:lvlText w:val="8"/>
      <w:numFmt w:val="bullet"/>
      <w:start w:val="1"/>
    </w:lvl>
  </w:abstractNum>
  <w:abstractNum w:abstractNumId="231">
    <w:nsid w:val="52AC7DFF"/>
    <w:multiLevelType w:val="hybridMultilevel"/>
    <w:lvl w:ilvl="0">
      <w:lvlJc w:val="left"/>
      <w:lvlText w:val="%1)"/>
      <w:numFmt w:val="decimal"/>
      <w:start w:val="1"/>
    </w:lvl>
  </w:abstractNum>
  <w:abstractNum w:abstractNumId="232">
    <w:nsid w:val="C4C3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73" Type="http://schemas.openxmlformats.org/officeDocument/2006/relationships/image" Target="media/image29.png"/><Relationship Id="rId74" Type="http://schemas.openxmlformats.org/officeDocument/2006/relationships/image" Target="media/image30.png"/><Relationship Id="rId88" Type="http://schemas.openxmlformats.org/officeDocument/2006/relationships/image" Target="media/image31.png"/><Relationship Id="rId89" Type="http://schemas.openxmlformats.org/officeDocument/2006/relationships/image" Target="media/image32.png"/><Relationship Id="rId90" Type="http://schemas.openxmlformats.org/officeDocument/2006/relationships/image" Target="media/image33.png"/><Relationship Id="rId93" Type="http://schemas.openxmlformats.org/officeDocument/2006/relationships/image" Target="media/image34.png"/><Relationship Id="rId94" Type="http://schemas.openxmlformats.org/officeDocument/2006/relationships/image" Target="media/image35.png"/><Relationship Id="rId96" Type="http://schemas.openxmlformats.org/officeDocument/2006/relationships/image" Target="media/image36.png"/><Relationship Id="rId97" Type="http://schemas.openxmlformats.org/officeDocument/2006/relationships/image" Target="media/image37.png"/><Relationship Id="rId98" Type="http://schemas.openxmlformats.org/officeDocument/2006/relationships/image" Target="media/image38.png"/><Relationship Id="rId99" Type="http://schemas.openxmlformats.org/officeDocument/2006/relationships/image" Target="media/image39.png"/><Relationship Id="rId100" Type="http://schemas.openxmlformats.org/officeDocument/2006/relationships/image" Target="media/image40.png"/><Relationship Id="rId104" Type="http://schemas.openxmlformats.org/officeDocument/2006/relationships/image" Target="media/image41.png"/><Relationship Id="rId105" Type="http://schemas.openxmlformats.org/officeDocument/2006/relationships/image" Target="media/image42.png"/><Relationship Id="rId106" Type="http://schemas.openxmlformats.org/officeDocument/2006/relationships/image" Target="media/image43.png"/><Relationship Id="rId107" Type="http://schemas.openxmlformats.org/officeDocument/2006/relationships/image" Target="media/image44.png"/><Relationship Id="rId110" Type="http://schemas.openxmlformats.org/officeDocument/2006/relationships/image" Target="media/image45.png"/><Relationship Id="rId111" Type="http://schemas.openxmlformats.org/officeDocument/2006/relationships/image" Target="media/image46.png"/><Relationship Id="rId114" Type="http://schemas.openxmlformats.org/officeDocument/2006/relationships/image" Target="media/image47.png"/><Relationship Id="rId115" Type="http://schemas.openxmlformats.org/officeDocument/2006/relationships/image" Target="media/image48.png"/><Relationship Id="rId118" Type="http://schemas.openxmlformats.org/officeDocument/2006/relationships/image" Target="media/image49.png"/><Relationship Id="rId119" Type="http://schemas.openxmlformats.org/officeDocument/2006/relationships/image" Target="media/image50.png"/><Relationship Id="rId122" Type="http://schemas.openxmlformats.org/officeDocument/2006/relationships/image" Target="media/image51.png"/><Relationship Id="rId123" Type="http://schemas.openxmlformats.org/officeDocument/2006/relationships/image" Target="media/image52.png"/><Relationship Id="rId126" Type="http://schemas.openxmlformats.org/officeDocument/2006/relationships/image" Target="media/image53.png"/><Relationship Id="rId127" Type="http://schemas.openxmlformats.org/officeDocument/2006/relationships/image" Target="media/image54.png"/><Relationship Id="rId128" Type="http://schemas.openxmlformats.org/officeDocument/2006/relationships/image" Target="media/image55.png"/><Relationship Id="rId129" Type="http://schemas.openxmlformats.org/officeDocument/2006/relationships/image" Target="media/image56.png"/><Relationship Id="rId130" Type="http://schemas.openxmlformats.org/officeDocument/2006/relationships/image" Target="media/image57.png"/><Relationship Id="rId131" Type="http://schemas.openxmlformats.org/officeDocument/2006/relationships/image" Target="media/image58.png"/><Relationship Id="rId132" Type="http://schemas.openxmlformats.org/officeDocument/2006/relationships/image" Target="media/image59.png"/><Relationship Id="rId133" Type="http://schemas.openxmlformats.org/officeDocument/2006/relationships/image" Target="media/image60.png"/><Relationship Id="rId134" Type="http://schemas.openxmlformats.org/officeDocument/2006/relationships/image" Target="media/image61.png"/><Relationship Id="rId135" Type="http://schemas.openxmlformats.org/officeDocument/2006/relationships/image" Target="media/image62.png"/><Relationship Id="rId136" Type="http://schemas.openxmlformats.org/officeDocument/2006/relationships/image" Target="media/image63.png"/><Relationship Id="rId137" Type="http://schemas.openxmlformats.org/officeDocument/2006/relationships/image" Target="media/image64.png"/><Relationship Id="rId138" Type="http://schemas.openxmlformats.org/officeDocument/2006/relationships/image" Target="media/image65.png"/><Relationship Id="rId139" Type="http://schemas.openxmlformats.org/officeDocument/2006/relationships/image" Target="media/image66.png"/><Relationship Id="rId140" Type="http://schemas.openxmlformats.org/officeDocument/2006/relationships/image" Target="media/image67.png"/><Relationship Id="rId141" Type="http://schemas.openxmlformats.org/officeDocument/2006/relationships/image" Target="media/image68.png"/><Relationship Id="rId142" Type="http://schemas.openxmlformats.org/officeDocument/2006/relationships/image" Target="media/image69.png"/><Relationship Id="rId143" Type="http://schemas.openxmlformats.org/officeDocument/2006/relationships/image" Target="media/image70.png"/><Relationship Id="rId144" Type="http://schemas.openxmlformats.org/officeDocument/2006/relationships/image" Target="media/image71.png"/><Relationship Id="rId145" Type="http://schemas.openxmlformats.org/officeDocument/2006/relationships/image" Target="media/image72.png"/><Relationship Id="rId146" Type="http://schemas.openxmlformats.org/officeDocument/2006/relationships/image" Target="media/image73.png"/><Relationship Id="rId147" Type="http://schemas.openxmlformats.org/officeDocument/2006/relationships/image" Target="media/image74.png"/><Relationship Id="rId148" Type="http://schemas.openxmlformats.org/officeDocument/2006/relationships/image" Target="media/image75.png"/><Relationship Id="rId149" Type="http://schemas.openxmlformats.org/officeDocument/2006/relationships/image" Target="media/image76.png"/><Relationship Id="rId150" Type="http://schemas.openxmlformats.org/officeDocument/2006/relationships/image" Target="media/image77.png"/><Relationship Id="rId151" Type="http://schemas.openxmlformats.org/officeDocument/2006/relationships/image" Target="media/image78.png"/><Relationship Id="rId152" Type="http://schemas.openxmlformats.org/officeDocument/2006/relationships/image" Target="media/image79.png"/><Relationship Id="rId153" Type="http://schemas.openxmlformats.org/officeDocument/2006/relationships/image" Target="media/image80.png"/><Relationship Id="rId154" Type="http://schemas.openxmlformats.org/officeDocument/2006/relationships/image" Target="media/image81.png"/><Relationship Id="rId155" Type="http://schemas.openxmlformats.org/officeDocument/2006/relationships/image" Target="media/image82.png"/><Relationship Id="rId156" Type="http://schemas.openxmlformats.org/officeDocument/2006/relationships/image" Target="media/image83.png"/><Relationship Id="rId157" Type="http://schemas.openxmlformats.org/officeDocument/2006/relationships/image" Target="media/image84.png"/><Relationship Id="rId158" Type="http://schemas.openxmlformats.org/officeDocument/2006/relationships/image" Target="media/image85.png"/><Relationship Id="rId159" Type="http://schemas.openxmlformats.org/officeDocument/2006/relationships/image" Target="media/image86.png"/><Relationship Id="rId160" Type="http://schemas.openxmlformats.org/officeDocument/2006/relationships/image" Target="media/image87.png"/><Relationship Id="rId161" Type="http://schemas.openxmlformats.org/officeDocument/2006/relationships/image" Target="media/image88.png"/><Relationship Id="rId162" Type="http://schemas.openxmlformats.org/officeDocument/2006/relationships/image" Target="media/image89.png"/><Relationship Id="rId163" Type="http://schemas.openxmlformats.org/officeDocument/2006/relationships/image" Target="media/image90.png"/><Relationship Id="rId164" Type="http://schemas.openxmlformats.org/officeDocument/2006/relationships/image" Target="media/image91.png"/><Relationship Id="rId165" Type="http://schemas.openxmlformats.org/officeDocument/2006/relationships/image" Target="media/image92.png"/><Relationship Id="rId166" Type="http://schemas.openxmlformats.org/officeDocument/2006/relationships/image" Target="media/image93.png"/><Relationship Id="rId167" Type="http://schemas.openxmlformats.org/officeDocument/2006/relationships/image" Target="media/image94.png"/><Relationship Id="rId168" Type="http://schemas.openxmlformats.org/officeDocument/2006/relationships/image" Target="media/image95.png"/><Relationship Id="rId169" Type="http://schemas.openxmlformats.org/officeDocument/2006/relationships/image" Target="media/image96.png"/><Relationship Id="rId170" Type="http://schemas.openxmlformats.org/officeDocument/2006/relationships/image" Target="media/image97.png"/><Relationship Id="rId171" Type="http://schemas.openxmlformats.org/officeDocument/2006/relationships/image" Target="media/image98.png"/><Relationship Id="rId172" Type="http://schemas.openxmlformats.org/officeDocument/2006/relationships/image" Target="media/image99.png"/><Relationship Id="rId173" Type="http://schemas.openxmlformats.org/officeDocument/2006/relationships/image" Target="media/image100.png"/><Relationship Id="rId174" Type="http://schemas.openxmlformats.org/officeDocument/2006/relationships/image" Target="media/image101.png"/><Relationship Id="rId175" Type="http://schemas.openxmlformats.org/officeDocument/2006/relationships/image" Target="media/image102.png"/><Relationship Id="rId176" Type="http://schemas.openxmlformats.org/officeDocument/2006/relationships/image" Target="media/image103.png"/><Relationship Id="rId177" Type="http://schemas.openxmlformats.org/officeDocument/2006/relationships/image" Target="media/image104.png"/><Relationship Id="rId178" Type="http://schemas.openxmlformats.org/officeDocument/2006/relationships/image" Target="media/image105.png"/><Relationship Id="rId179" Type="http://schemas.openxmlformats.org/officeDocument/2006/relationships/image" Target="media/image106.png"/><Relationship Id="rId180" Type="http://schemas.openxmlformats.org/officeDocument/2006/relationships/image" Target="media/image107.png"/><Relationship Id="rId181" Type="http://schemas.openxmlformats.org/officeDocument/2006/relationships/image" Target="media/image108.png"/><Relationship Id="rId182" Type="http://schemas.openxmlformats.org/officeDocument/2006/relationships/image" Target="media/image109.png"/><Relationship Id="rId183" Type="http://schemas.openxmlformats.org/officeDocument/2006/relationships/image" Target="media/image110.png"/><Relationship Id="rId184" Type="http://schemas.openxmlformats.org/officeDocument/2006/relationships/image" Target="media/image111.png"/><Relationship Id="rId185" Type="http://schemas.openxmlformats.org/officeDocument/2006/relationships/image" Target="media/image112.png"/><Relationship Id="rId186" Type="http://schemas.openxmlformats.org/officeDocument/2006/relationships/image" Target="media/image113.png"/><Relationship Id="rId187" Type="http://schemas.openxmlformats.org/officeDocument/2006/relationships/image" Target="media/image114.png"/><Relationship Id="rId188" Type="http://schemas.openxmlformats.org/officeDocument/2006/relationships/image" Target="media/image115.png"/><Relationship Id="rId189" Type="http://schemas.openxmlformats.org/officeDocument/2006/relationships/image" Target="media/image116.png"/><Relationship Id="rId190" Type="http://schemas.openxmlformats.org/officeDocument/2006/relationships/image" Target="media/image117.png"/><Relationship Id="rId191" Type="http://schemas.openxmlformats.org/officeDocument/2006/relationships/image" Target="media/image118.png"/><Relationship Id="rId192" Type="http://schemas.openxmlformats.org/officeDocument/2006/relationships/image" Target="media/image119.png"/><Relationship Id="rId193" Type="http://schemas.openxmlformats.org/officeDocument/2006/relationships/image" Target="media/image120.png"/><Relationship Id="rId194" Type="http://schemas.openxmlformats.org/officeDocument/2006/relationships/image" Target="media/image121.png"/><Relationship Id="rId195" Type="http://schemas.openxmlformats.org/officeDocument/2006/relationships/image" Target="media/image122.png"/><Relationship Id="rId196" Type="http://schemas.openxmlformats.org/officeDocument/2006/relationships/image" Target="media/image123.png"/><Relationship Id="rId197" Type="http://schemas.openxmlformats.org/officeDocument/2006/relationships/image" Target="media/image124.png"/><Relationship Id="rId198" Type="http://schemas.openxmlformats.org/officeDocument/2006/relationships/image" Target="media/image125.png"/><Relationship Id="rId199" Type="http://schemas.openxmlformats.org/officeDocument/2006/relationships/image" Target="media/image126.jpeg"/><Relationship Id="rId200" Type="http://schemas.openxmlformats.org/officeDocument/2006/relationships/image" Target="media/image127.png"/><Relationship Id="rId201" Type="http://schemas.openxmlformats.org/officeDocument/2006/relationships/image" Target="media/image128.png"/><Relationship Id="rId202" Type="http://schemas.openxmlformats.org/officeDocument/2006/relationships/image" Target="media/image129.png"/><Relationship Id="rId203" Type="http://schemas.openxmlformats.org/officeDocument/2006/relationships/image" Target="media/image130.png"/><Relationship Id="rId204" Type="http://schemas.openxmlformats.org/officeDocument/2006/relationships/image" Target="media/image131.png"/><Relationship Id="rId205" Type="http://schemas.openxmlformats.org/officeDocument/2006/relationships/image" Target="media/image132.png"/><Relationship Id="rId34" Type="http://schemas.openxmlformats.org/officeDocument/2006/relationships/hyperlink" Target="https://www.sec.gov/Archives/edgar/data/716634/000071663416000067/rdi-20151231xex3_1.htm" TargetMode="External"/><Relationship Id="rId35" Type="http://schemas.openxmlformats.org/officeDocument/2006/relationships/hyperlink" Target="https://www.sec.gov/Archives/edgar/data/716634/000071663418000006/rdi-20171231xex3_2.htm" TargetMode="External"/><Relationship Id="rId36" Type="http://schemas.openxmlformats.org/officeDocument/2006/relationships/hyperlink" Target="https://www.sec.gov/Archives/edgar/data/716634/000071663407000004/ex4_1.htm" TargetMode="External"/><Relationship Id="rId37" Type="http://schemas.openxmlformats.org/officeDocument/2006/relationships/hyperlink" Target="https://www.sec.gov/Archives/edgar/data/716634/000071663407000004/ex4_2.htm" TargetMode="External"/><Relationship Id="rId38" Type="http://schemas.openxmlformats.org/officeDocument/2006/relationships/hyperlink" Target="https://www.sec.gov/Archives/edgar/data/716634/000071663407000004/ex4_3.htm" TargetMode="External"/><Relationship Id="rId39" Type="http://schemas.openxmlformats.org/officeDocument/2006/relationships/hyperlink" Target="https://www.sec.gov/Archives/edgar/data/716634/000071663407000004/ex10_4.htm" TargetMode="External"/><Relationship Id="rId40" Type="http://schemas.openxmlformats.org/officeDocument/2006/relationships/hyperlink" Target="https://www.sec.gov/Archives/edgar/data/716634/000071663409000036/exhibit4_4.htm" TargetMode="External"/><Relationship Id="rId41" Type="http://schemas.openxmlformats.org/officeDocument/2006/relationships/hyperlink" Target="https://www.sec.gov/Archives/edgar/data/716634/000071663421000005/rdi-20201231xex4_6.htm" TargetMode="External"/><Relationship Id="rId42" Type="http://schemas.openxmlformats.org/officeDocument/2006/relationships/hyperlink" Target="https://www.sec.gov/Archives/edgar/data/716634/000071663420000042/rdi-20201106xdef14a.htm#Exhibits" TargetMode="External"/><Relationship Id="rId43" Type="http://schemas.openxmlformats.org/officeDocument/2006/relationships/hyperlink" Target="https://www.sec.gov/Archives/edgar/data/716634/000071663423000021/rdi-20221231xdef14a.htm" TargetMode="External"/><Relationship Id="rId44" Type="http://schemas.openxmlformats.org/officeDocument/2006/relationships/hyperlink" Target="https://www.sec.gov/Archives/edgar/data/716634/000071663424000031/rdi-20231231xdef14a.htm" TargetMode="External"/><Relationship Id="rId45" Type="http://schemas.openxmlformats.org/officeDocument/2006/relationships/hyperlink" Target="https://www.sec.gov/Archives/edgar/data/716634/000071663421000005/rdi-20201231xex10_7.htm" TargetMode="External"/><Relationship Id="rId46" Type="http://schemas.openxmlformats.org/officeDocument/2006/relationships/hyperlink" Target="https://www.sec.gov/Archives/edgar/data/716634/000071663421000005/rdi-20201231xex10_8.htm" TargetMode="External"/><Relationship Id="rId47" Type="http://schemas.openxmlformats.org/officeDocument/2006/relationships/hyperlink" Target="https://www.sec.gov/Archives/edgar/data/716634/000071663425000048/rdi-20250930xex10_2.htm" TargetMode="External"/><Relationship Id="rId48" Type="http://schemas.openxmlformats.org/officeDocument/2006/relationships/hyperlink" Target="https://www.sec.gov/Archives/edgar/data/716634/000071663421000005/rdi-20201231xex10_9.htm" TargetMode="External"/><Relationship Id="rId49" Type="http://schemas.openxmlformats.org/officeDocument/2006/relationships/hyperlink" Target="https://www.sec.gov/ix?doc=/Archives/edgar/data/0000716634/000071663423000010/rdi-20221231x10ka.htm" TargetMode="External"/><Relationship Id="rId50" Type="http://schemas.openxmlformats.org/officeDocument/2006/relationships/hyperlink" Target="https://protect.checkpoint.com/v2/r01/___http:/www.sec.gov/Archives/edgar/data/716634/000095015003000386/a88762exv10w40.txt___.YzJ1OnJlYWRpbmc6YzpvOmMyYmViMDEyNjhhMmQxY2JkNmMyNjhmNjA1ZmNlMWUyOjc6MTc2NjoxMWI5MWMyMjZlOTM1YTg2NjRhOTkyNDFhODY4ZTllYjk3MDMyYzE1MzM4ODk2MWIyYWY4YzYxNjNkYTYwOGQwOnA6RjpG" TargetMode="External"/><Relationship Id="rId51" Type="http://schemas.openxmlformats.org/officeDocument/2006/relationships/hyperlink" Target="https://www.sec.gov/Archives/edgar/data/716634/000095012905009355/a12618exv10w58.htm" TargetMode="External"/><Relationship Id="rId52" Type="http://schemas.openxmlformats.org/officeDocument/2006/relationships/hyperlink" Target="https://www.sec.gov/Archives/edgar/data/716634/000095012905009355/a12618exv10w56.htm" TargetMode="External"/><Relationship Id="rId53" Type="http://schemas.openxmlformats.org/officeDocument/2006/relationships/hyperlink" Target="https://www.sec.gov/Archives/edgar/data/716634/000071663411000002/exhibit10_21.htm" TargetMode="External"/><Relationship Id="rId54" Type="http://schemas.openxmlformats.org/officeDocument/2006/relationships/hyperlink" Target="https://protect.checkpoint.com/v2/r01/___http:/www.sec.gov/Archives/edgar/data/716634/000095015003001354/a94399exv10w49.txt___.YzJ1OnJlYWRpbmc6YzpvOmMyYmViMDEyNjhhMmQxY2JkNmMyNjhmNjA1ZmNlMWUyOjc6ZDg1Njo2MzRhMmZiOWM5MjFjZmM3ZjBlYzE4OGQ4OTVkMWViODk0ZGM2NTUwNzEzMzc3YzFkZWM5MjcyYzRkZmU0NDA2OnA6RjpG" TargetMode="External"/><Relationship Id="rId57" Type="http://schemas.openxmlformats.org/officeDocument/2006/relationships/hyperlink" Target="https://www.sec.gov/Archives/edgar/data/716634/000071663407000004/ex10_2.htm" TargetMode="External"/><Relationship Id="rId58" Type="http://schemas.openxmlformats.org/officeDocument/2006/relationships/hyperlink" Target="https://www.sec.gov/Archives/edgar/data/716634/000071663416000067/rdi-20151231xex10_9.htm" TargetMode="External"/><Relationship Id="rId59" Type="http://schemas.openxmlformats.org/officeDocument/2006/relationships/hyperlink" Target="https://www.sec.gov/Archives/edgar/data/716634/000071663420000015/rdi-20200602x8k.htm" TargetMode="External"/><Relationship Id="rId60" Type="http://schemas.openxmlformats.org/officeDocument/2006/relationships/hyperlink" Target="https://www.sec.gov/ix?doc=/Archives/edgar/data/0000716634/000071663420000034/rdi-20200630x10q.htm" TargetMode="External"/><Relationship Id="rId61" Type="http://schemas.openxmlformats.org/officeDocument/2006/relationships/hyperlink" Target="https://www.sec.gov/Archives/edgar/data/716634/000156276221000331/rdi-20210630xex10_3.htm" TargetMode="External"/><Relationship Id="rId62" Type="http://schemas.openxmlformats.org/officeDocument/2006/relationships/hyperlink" Target="https://www.sec.gov/Archives/edgar/data/716634/000071663421000029/rdi-20210930xex10_1.htm" TargetMode="External"/><Relationship Id="rId63" Type="http://schemas.openxmlformats.org/officeDocument/2006/relationships/hyperlink" Target="https://www.sec.gov/Archives/edgar/data/716634/000071663422000009/rdi-20211231xex10_45.htm" TargetMode="External"/><Relationship Id="rId64" Type="http://schemas.openxmlformats.org/officeDocument/2006/relationships/hyperlink" Target="https://www.sec.gov/ix?doc=/Archives/edgar/data/0000716634/000071663422000038/rdi-20221216x8k.htm" TargetMode="External"/><Relationship Id="rId65" Type="http://schemas.openxmlformats.org/officeDocument/2006/relationships/hyperlink" Target="https://www.sec.gov/Archives/edgar/data/716634/000071663423000031/rdi-20230930xex10_1.htm" TargetMode="External"/><Relationship Id="rId66" Type="http://schemas.openxmlformats.org/officeDocument/2006/relationships/hyperlink" Target="https://www.sec.gov/ix?doc=/Archives/edgar/data/0000716634/000071663424000009/rdi-20231231x10k.htm" TargetMode="External"/><Relationship Id="rId67" Type="http://schemas.openxmlformats.org/officeDocument/2006/relationships/hyperlink" Target="https://www.sec.gov/Archives/edgar/data/716634/000071663424000025/rdi-20240630xex10_1.htm" TargetMode="External"/><Relationship Id="rId68" Type="http://schemas.openxmlformats.org/officeDocument/2006/relationships/hyperlink" Target="https://www.sec.gov/Archives/edgar/data/716634/000071663425000030/rdi-20250331xex10_4.htm" TargetMode="External"/><Relationship Id="rId69" Type="http://schemas.openxmlformats.org/officeDocument/2006/relationships/hyperlink" Target="https://www.sec.gov/Archives/edgar/data/716634/000071663425000037/rdi-20250630xex10_3.htm" TargetMode="External"/><Relationship Id="rId70" Type="http://schemas.openxmlformats.org/officeDocument/2006/relationships/hyperlink" Target="https://www.sec.gov/Archives/edgar/data/716634/000071663425000037/rdi-20250630xex10_4.htm" TargetMode="External"/><Relationship Id="rId71" Type="http://schemas.openxmlformats.org/officeDocument/2006/relationships/hyperlink" Target="https://www.sec.gov/Archives/edgar/data/716634/000071663426000005/rdi-20251231xex10_32.htm" TargetMode="External"/><Relationship Id="rId72" Type="http://schemas.openxmlformats.org/officeDocument/2006/relationships/hyperlink" Target="https://www.sec.gov/Archives/edgar/data/716634/000071663425000008/rdi-20241231xex10_28.htm" TargetMode="External"/><Relationship Id="rId75" Type="http://schemas.openxmlformats.org/officeDocument/2006/relationships/hyperlink" Target="https://www.sec.gov/Archives/edgar/data/716634/000071663421000029/rdi-20210930xex10_2.htm" TargetMode="External"/><Relationship Id="rId76" Type="http://schemas.openxmlformats.org/officeDocument/2006/relationships/hyperlink" Target="https://www.sec.gov/Archives/edgar/data/716634/000071663422000036/rdi-20221129xex10_1.htm" TargetMode="External"/><Relationship Id="rId77" Type="http://schemas.openxmlformats.org/officeDocument/2006/relationships/hyperlink" Target="https://www.sec.gov/Archives/edgar/data/716634/000071663423000012/rdi-20230331xex10_1.htm" TargetMode="External"/><Relationship Id="rId78" Type="http://schemas.openxmlformats.org/officeDocument/2006/relationships/hyperlink" Target="https://www.sec.gov/Archives/edgar/data/716634/000071663424000018/rdi-20240331xex10_1.htm" TargetMode="External"/><Relationship Id="rId79" Type="http://schemas.openxmlformats.org/officeDocument/2006/relationships/hyperlink" Target="https://www.sec.gov/Archives/edgar/data/716634/000071663425000008/rdi-20241231xex10_36.htm" TargetMode="External"/><Relationship Id="rId80" Type="http://schemas.openxmlformats.org/officeDocument/2006/relationships/hyperlink" Target="https://www.sec.gov/Archives/edgar/data/716634/000071663425000008/rdi-20241231xex10_37.htm" TargetMode="External"/><Relationship Id="rId81" Type="http://schemas.openxmlformats.org/officeDocument/2006/relationships/hyperlink" Target="https://www.sec.gov/Archives/edgar/data/716634/000071663425000037/rdi-20250630xex10_1.htm" TargetMode="External"/><Relationship Id="rId82" Type="http://schemas.openxmlformats.org/officeDocument/2006/relationships/hyperlink" Target="https://www.sec.gov/Archives/edgar/data/716634/000071663425000048/rdi-20250930xex10_1.htm" TargetMode="External"/><Relationship Id="rId83" Type="http://schemas.openxmlformats.org/officeDocument/2006/relationships/hyperlink" Target="https://www.sec.gov/Archives/edgar/data/716634/000071663426000005/rdi-20251231xex10_45.htm" TargetMode="External"/><Relationship Id="rId84" Type="http://schemas.openxmlformats.org/officeDocument/2006/relationships/hyperlink" Target="https://www.sec.gov/Archives/edgar/data/716634/000071663425000030/rdi-20250331xex10_1.htm" TargetMode="External"/><Relationship Id="rId85" Type="http://schemas.openxmlformats.org/officeDocument/2006/relationships/hyperlink" Target="https://www.sec.gov/Archives/edgar/data/716634/000071663425000020/rdi-20241231xex10_44.htm" TargetMode="External"/><Relationship Id="rId86" Type="http://schemas.openxmlformats.org/officeDocument/2006/relationships/hyperlink" Target="https://www.sec.gov/Archives/edgar/data/716634/000071663425000030/rdi-20250331xex10_2.htm" TargetMode="External"/><Relationship Id="rId87" Type="http://schemas.openxmlformats.org/officeDocument/2006/relationships/hyperlink" Target="https://www.sec.gov/Archives/edgar/data/716634/000071663425000030/rdi-20250331xex10_3.htm" TargetMode="External"/><Relationship Id="rId91" Type="http://schemas.openxmlformats.org/officeDocument/2006/relationships/hyperlink" Target="https://www.sec.gov/Archives/edgar/data/716634/000071663426000005/rdi-20251231xex10_51.htm" TargetMode="External"/><Relationship Id="rId92" Type="http://schemas.openxmlformats.org/officeDocument/2006/relationships/hyperlink" Target="https://www.sec.gov/Archives/edgar/data/716634/000156276221000331/rdi-20210630xex10_1.htm" TargetMode="External"/><Relationship Id="rId95" Type="http://schemas.openxmlformats.org/officeDocument/2006/relationships/hyperlink" Target="https://www.sec.gov/Archives/edgar/data/716634/000071663424000025/rdi-20240630xex10_2.htm" TargetMode="External"/><Relationship Id="rId101" Type="http://schemas.openxmlformats.org/officeDocument/2006/relationships/hyperlink" Target="https://www.sec.gov/Archives/edgar/data/716634/000071663425000037/rdi-20250630xex10_2.htm" TargetMode="External"/><Relationship Id="rId102" Type="http://schemas.openxmlformats.org/officeDocument/2006/relationships/hyperlink" Target="https://www.sec.gov/Archives/edgar/data/716634/000071663420000024/rdi-20200331x10q.htm" TargetMode="External"/><Relationship Id="rId103" Type="http://schemas.openxmlformats.org/officeDocument/2006/relationships/hyperlink" Target="https://www.sec.gov/Archives/edgar/data/716634/000071663417000007/rdi-20161231xex18.htm" TargetMode="External"/><Relationship Id="rId108" Type="http://schemas.openxmlformats.org/officeDocument/2006/relationships/hyperlink" Target="https://www.sec.gov/Archives/edgar/data/716634/000071663425000015/rdi-20241231xex19_1.htm" TargetMode="External"/><Relationship Id="rId109" Type="http://schemas.openxmlformats.org/officeDocument/2006/relationships/hyperlink" Target="https://www.sec.gov/Archives/edgar/data/716634/000071663425000015/rdi-20241231xex19_2.htm" TargetMode="External"/><Relationship Id="rId112" Type="http://schemas.openxmlformats.org/officeDocument/2006/relationships/hyperlink" Target="https://www.sec.gov/Archives/edgar/data/716634/000071663426000005/rdi-20251231xex21.htm" TargetMode="External"/><Relationship Id="rId113" Type="http://schemas.openxmlformats.org/officeDocument/2006/relationships/hyperlink" Target="https://www.sec.gov/Archives/edgar/data/716634/000071663426000005/rdi-20251231xex23_1.htm" TargetMode="External"/><Relationship Id="rId116" Type="http://schemas.openxmlformats.org/officeDocument/2006/relationships/hyperlink" Target="https://www.sec.gov/Archives/edgar/data/716634/000071663426000005/rdi-20251231xex31_1.htm" TargetMode="External"/><Relationship Id="rId117" Type="http://schemas.openxmlformats.org/officeDocument/2006/relationships/hyperlink" Target="https://www.sec.gov/Archives/edgar/data/716634/000071663426000005/rdi-20251231xex32_2.htm" TargetMode="External"/><Relationship Id="rId120" Type="http://schemas.openxmlformats.org/officeDocument/2006/relationships/hyperlink" Target="https://www.sec.gov/Archives/edgar/data/716634/000071663426000010/rdi-20251231xex31_3.htm" TargetMode="External"/><Relationship Id="rId121" Type="http://schemas.openxmlformats.org/officeDocument/2006/relationships/hyperlink" Target="https://www.sec.gov/Archives/edgar/data/716634/000071663426000010/rdi-20251231xex31_4.htm" TargetMode="External"/><Relationship Id="rId124" Type="http://schemas.openxmlformats.org/officeDocument/2006/relationships/hyperlink" Target="https://www.sec.gov/Archives/edgar/data/716634/000071663426000005/rdi-20251231xex32_1.htm" TargetMode="External"/><Relationship Id="rId125" Type="http://schemas.openxmlformats.org/officeDocument/2006/relationships/hyperlink" Target="https://www.sec.gov/Archives/edgar/data/716634/000071663424000015/rdi-20231231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2026-04-30T15:50:18Z</dcterms:created>
  <dcterms:modified xsi:type="dcterms:W3CDTF">2026-04-30T15:50:18Z</dcterms:modified>
</cp:coreProperties>
</file>