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393" w:lineRule="exact"/>
        <w:rPr>
          <w:sz w:val="24"/>
          <w:szCs w:val="24"/>
          <w:color w:val="auto"/>
        </w:rPr>
      </w:pPr>
    </w:p>
    <w:p>
      <w:pPr>
        <w:ind w:left="8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3" w:lineRule="exact"/>
        <w:rPr>
          <w:sz w:val="24"/>
          <w:szCs w:val="24"/>
          <w:color w:val="auto"/>
        </w:rPr>
      </w:pPr>
    </w:p>
    <w:p>
      <w:pPr>
        <w:ind w:left="84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7"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Check the appropriate box:</w:t>
      </w:r>
    </w:p>
    <w:p>
      <w:pPr>
        <w:ind w:left="1680" w:hanging="200"/>
        <w:spacing w:after="0" w:line="211" w:lineRule="auto"/>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ind w:left="2120" w:right="2019" w:hanging="640"/>
        <w:spacing w:after="0" w:line="207" w:lineRule="auto"/>
        <w:tabs>
          <w:tab w:leader="none" w:pos="167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 w:lineRule="exact"/>
        <w:rPr>
          <w:sz w:val="24"/>
          <w:szCs w:val="24"/>
          <w:color w:val="auto"/>
        </w:rPr>
      </w:pPr>
    </w:p>
    <w:p>
      <w:pPr>
        <w:ind w:left="1480" w:right="5059"/>
        <w:spacing w:after="0" w:line="179" w:lineRule="exact"/>
        <w:tabs>
          <w:tab w:leader="none" w:pos="16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Definitive Proxy Statement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Additional Materials</w:t>
      </w:r>
    </w:p>
    <w:p>
      <w:pPr>
        <w:ind w:left="148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under Sec. 240.14a-12</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6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98"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1040" w:hanging="208"/>
        <w:spacing w:after="0"/>
        <w:tabs>
          <w:tab w:leader="none" w:pos="10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1040" w:hanging="208"/>
        <w:spacing w:after="0"/>
        <w:tabs>
          <w:tab w:leader="none" w:pos="10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 w:lineRule="exact"/>
        <w:rPr>
          <w:rFonts w:ascii="MS PGothic" w:cs="MS PGothic" w:eastAsia="MS PGothic" w:hAnsi="MS PGothic"/>
          <w:sz w:val="18"/>
          <w:szCs w:val="18"/>
          <w:color w:val="auto"/>
        </w:rPr>
      </w:pPr>
    </w:p>
    <w:p>
      <w:pPr>
        <w:ind w:left="1740" w:hanging="260"/>
        <w:spacing w:after="0" w:line="203" w:lineRule="auto"/>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 __________</w:t>
      </w:r>
    </w:p>
    <w:p>
      <w:pPr>
        <w:ind w:left="1740" w:hanging="260"/>
        <w:spacing w:after="0" w:line="203" w:lineRule="auto"/>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 __________</w:t>
      </w:r>
    </w:p>
    <w:p>
      <w:pPr>
        <w:ind w:left="1740" w:hanging="260"/>
        <w:spacing w:after="0" w:line="219" w:lineRule="auto"/>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w:t>
      </w:r>
    </w:p>
    <w:p>
      <w:pPr>
        <w:ind w:left="2120" w:right="1739"/>
        <w:spacing w:after="0" w:line="203" w:lineRule="auto"/>
        <w:rPr>
          <w:sz w:val="20"/>
          <w:szCs w:val="20"/>
          <w:color w:val="auto"/>
        </w:rPr>
      </w:pPr>
      <w:r>
        <w:rPr>
          <w:rFonts w:ascii="Times New Roman" w:cs="Times New Roman" w:eastAsia="Times New Roman" w:hAnsi="Times New Roman"/>
          <w:sz w:val="18"/>
          <w:szCs w:val="18"/>
          <w:color w:val="auto"/>
        </w:rPr>
        <w:t>Exchange Act Rule 0-11 (set forth the amount on which the filing fee is calculated and state how it was determined): __________</w:t>
      </w:r>
    </w:p>
    <w:p>
      <w:pPr>
        <w:ind w:left="1740" w:hanging="260"/>
        <w:spacing w:after="0" w:line="220" w:lineRule="auto"/>
        <w:tabs>
          <w:tab w:leader="none" w:pos="17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 __________</w:t>
      </w:r>
    </w:p>
    <w:p>
      <w:pPr>
        <w:ind w:left="1740" w:hanging="260"/>
        <w:spacing w:after="0"/>
        <w:tabs>
          <w:tab w:leader="none" w:pos="17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 __________</w:t>
      </w:r>
    </w:p>
    <w:p>
      <w:pPr>
        <w:spacing w:after="0" w:line="164"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840" w:right="2319" w:hanging="656"/>
        <w:spacing w:after="0" w:line="213" w:lineRule="auto"/>
        <w:tabs>
          <w:tab w:leader="none" w:pos="399"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740" w:hanging="260"/>
        <w:spacing w:after="0" w:line="219" w:lineRule="auto"/>
        <w:tabs>
          <w:tab w:leader="none" w:pos="17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 __________</w:t>
      </w:r>
    </w:p>
    <w:p>
      <w:pPr>
        <w:ind w:left="1740" w:hanging="260"/>
        <w:spacing w:after="0" w:line="203" w:lineRule="auto"/>
        <w:tabs>
          <w:tab w:leader="none" w:pos="17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 __________</w:t>
      </w:r>
    </w:p>
    <w:p>
      <w:pPr>
        <w:ind w:left="1740" w:hanging="260"/>
        <w:spacing w:after="0" w:line="203" w:lineRule="auto"/>
        <w:tabs>
          <w:tab w:leader="none" w:pos="17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 __________</w:t>
      </w:r>
    </w:p>
    <w:p>
      <w:pPr>
        <w:ind w:left="1740" w:hanging="260"/>
        <w:spacing w:after="0"/>
        <w:tabs>
          <w:tab w:leader="none" w:pos="17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104140</wp:posOffset>
            </wp:positionH>
            <wp:positionV relativeFrom="paragraph">
              <wp:posOffset>120650</wp:posOffset>
            </wp:positionV>
            <wp:extent cx="552894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663575</wp:posOffset>
            </wp:positionV>
            <wp:extent cx="1834515" cy="822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189 Second Avenue, Suite 2S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by live interactive webcast ON thursday, DECEMBER 5, 2024</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OUR CLASS B STOCKHOLDERS:</w:t>
      </w:r>
    </w:p>
    <w:p>
      <w:pPr>
        <w:spacing w:after="0" w:line="158" w:lineRule="exact"/>
        <w:rPr>
          <w:sz w:val="20"/>
          <w:szCs w:val="20"/>
          <w:color w:val="auto"/>
        </w:rPr>
      </w:pPr>
    </w:p>
    <w:p>
      <w:pPr>
        <w:jc w:val="both"/>
        <w:ind w:left="180" w:right="199" w:firstLine="648"/>
        <w:spacing w:after="0" w:line="216" w:lineRule="auto"/>
        <w:rPr>
          <w:sz w:val="20"/>
          <w:szCs w:val="20"/>
          <w:color w:val="auto"/>
        </w:rPr>
      </w:pPr>
      <w:r>
        <w:rPr>
          <w:rFonts w:ascii="Times New Roman" w:cs="Times New Roman" w:eastAsia="Times New Roman" w:hAnsi="Times New Roman"/>
          <w:sz w:val="18"/>
          <w:szCs w:val="18"/>
          <w:color w:val="auto"/>
        </w:rPr>
        <w:t>I would like to invite you to participate in our 2024 Annual Meeting of Stockholders (our “Annual Meeting”) of Reading International, Inc., a Nevada corporation, to be held in a virtual format via live streaming webcast, on Thursday, December 5, 2024, commencing at 2:00 p.m., Eastern Time. We have held our last four annual meetings</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virtually, responding to the various concerns raised by the COVID pandemic. These virtual meetings have been well received and have proven to be both more convenient and less costly than in-person meetings. Accordingly, we will continue to use this virtual format for our upcoming 2024 Annual Meeting. Consequently, there is no physical site for</w:t>
      </w:r>
    </w:p>
    <w:p>
      <w:pPr>
        <w:spacing w:after="0" w:line="2"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our meeting this year and you are invited to participate in the meeting over the Internet from your home, office or other remote location of your choosing.</w:t>
      </w:r>
    </w:p>
    <w:p>
      <w:pPr>
        <w:spacing w:after="0" w:line="130" w:lineRule="exact"/>
        <w:rPr>
          <w:sz w:val="20"/>
          <w:szCs w:val="20"/>
          <w:color w:val="auto"/>
        </w:rPr>
      </w:pPr>
    </w:p>
    <w:p>
      <w:pPr>
        <w:jc w:val="both"/>
        <w:ind w:left="180" w:right="199" w:firstLine="648"/>
        <w:spacing w:after="0" w:line="213" w:lineRule="auto"/>
        <w:rPr>
          <w:sz w:val="20"/>
          <w:szCs w:val="20"/>
          <w:color w:val="auto"/>
        </w:rPr>
      </w:pPr>
      <w:r>
        <w:rPr>
          <w:rFonts w:ascii="Times New Roman" w:cs="Times New Roman" w:eastAsia="Times New Roman" w:hAnsi="Times New Roman"/>
          <w:sz w:val="18"/>
          <w:szCs w:val="18"/>
          <w:color w:val="auto"/>
        </w:rPr>
        <w:t>Just as we have had a check-in process for our physical meetings to preserve the integrity of our meeting and our voting process and, consistent with last years’ meeting, we have established a registration process for this virtual meeting. The Company’s stock transfer agent, Computershare, Inc. (“Computershare”), is hosting our Annual Meeting and will pre-register all stockholders that held shares of Class B Voting Common Stock (“Class B Stock”) with</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Computershare on October 15, 2024. Any Class B stockholder that did not hold shares of Class B Stock at Computershare on October 15, 2024 will need to register with us in advance in order to participate in our Annual Meeting, by the registration deadline of 5:00 p.m., Eastern Time, on Monday, December 2, 2024 (“Registration</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 xml:space="preserve">Deadline”). See instructions under section </w:t>
      </w:r>
      <w:r>
        <w:rPr>
          <w:rFonts w:ascii="Times New Roman" w:cs="Times New Roman" w:eastAsia="Times New Roman" w:hAnsi="Times New Roman"/>
          <w:sz w:val="18"/>
          <w:szCs w:val="18"/>
          <w:i w:val="1"/>
          <w:iCs w:val="1"/>
          <w:color w:val="auto"/>
        </w:rPr>
        <w:t>– How Do I Register to Participate in the Virtual Annual Meeting</w:t>
      </w:r>
      <w:r>
        <w:rPr>
          <w:rFonts w:ascii="Times New Roman" w:cs="Times New Roman" w:eastAsia="Times New Roman" w:hAnsi="Times New Roman"/>
          <w:sz w:val="18"/>
          <w:szCs w:val="18"/>
          <w:color w:val="auto"/>
        </w:rPr>
        <w:t>. Even if you have participated in our virtual annual meetings before, we urge you not to wait until the last moment to register in case you encounter any difficulties with the registration process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process is explained in greater detail in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accompanying Proxy Statement.</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Upon completing your registration, you will receive further instructions via email, including a unique link that</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will allow you to access our meeting live on the Internet and permit you to vote and to communicate with our meeting using your control number and link found in your access email. Please note that, as in prior years, we are still soliciting your proxy and that, whether or not you choose to participate in our Annual Meeting, you may still vote by proxy in the</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same manner that you have in prior years. However, you can now also vote live on the Internet using your control number through the meeting website if you are the record holder of shares of Class B Stock or, if you are the beneficial owner of such shares, have received a valid proxy from the record holder of such shares.</w:t>
      </w:r>
    </w:p>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purpose of our Annual Meeting is for our Class B stockholders to consider and vote upon the following</w:t>
      </w:r>
    </w:p>
    <w:p>
      <w:pPr>
        <w:ind w:left="180"/>
        <w:spacing w:after="0"/>
        <w:rPr>
          <w:sz w:val="20"/>
          <w:szCs w:val="20"/>
          <w:color w:val="auto"/>
        </w:rPr>
      </w:pPr>
      <w:r>
        <w:rPr>
          <w:rFonts w:ascii="Times New Roman" w:cs="Times New Roman" w:eastAsia="Times New Roman" w:hAnsi="Times New Roman"/>
          <w:sz w:val="18"/>
          <w:szCs w:val="18"/>
          <w:color w:val="auto"/>
        </w:rPr>
        <w:t>matters:</w:t>
      </w:r>
    </w:p>
    <w:p>
      <w:pPr>
        <w:spacing w:after="0" w:line="138" w:lineRule="exact"/>
        <w:rPr>
          <w:sz w:val="20"/>
          <w:szCs w:val="20"/>
          <w:color w:val="auto"/>
        </w:rPr>
      </w:pPr>
    </w:p>
    <w:p>
      <w:pPr>
        <w:ind w:left="1480" w:right="199" w:hanging="648"/>
        <w:spacing w:after="0" w:line="237"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(5) Directors to serve until our Company’s 2025 Annual Meeting of Stockholders or until their successors are duly elected and qualified;</w:t>
      </w:r>
    </w:p>
    <w:p>
      <w:pPr>
        <w:spacing w:after="0" w:line="131" w:lineRule="exact"/>
        <w:rPr>
          <w:rFonts w:ascii="Times New Roman" w:cs="Times New Roman" w:eastAsia="Times New Roman" w:hAnsi="Times New Roman"/>
          <w:sz w:val="18"/>
          <w:szCs w:val="18"/>
          <w:color w:val="auto"/>
        </w:rPr>
      </w:pPr>
    </w:p>
    <w:p>
      <w:pPr>
        <w:ind w:left="1480" w:right="199" w:hanging="648"/>
        <w:spacing w:after="0" w:line="237"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Company’s Independent Registered Public Accounting Firm for the fiscal year ended December 31, 2024;</w:t>
      </w:r>
    </w:p>
    <w:p>
      <w:pPr>
        <w:spacing w:after="0" w:line="131" w:lineRule="exact"/>
        <w:rPr>
          <w:rFonts w:ascii="Times New Roman" w:cs="Times New Roman" w:eastAsia="Times New Roman" w:hAnsi="Times New Roman"/>
          <w:sz w:val="18"/>
          <w:szCs w:val="18"/>
          <w:color w:val="auto"/>
        </w:rPr>
      </w:pPr>
    </w:p>
    <w:p>
      <w:pPr>
        <w:ind w:left="1480" w:right="199" w:hanging="648"/>
        <w:spacing w:after="0" w:line="237"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executive compensation of our named executive officers;</w:t>
      </w:r>
    </w:p>
    <w:p>
      <w:pPr>
        <w:spacing w:after="0" w:line="131" w:lineRule="exact"/>
        <w:rPr>
          <w:rFonts w:ascii="Times New Roman" w:cs="Times New Roman" w:eastAsia="Times New Roman" w:hAnsi="Times New Roman"/>
          <w:sz w:val="18"/>
          <w:szCs w:val="18"/>
          <w:color w:val="auto"/>
        </w:rPr>
      </w:pPr>
    </w:p>
    <w:p>
      <w:pPr>
        <w:ind w:left="1480" w:right="199" w:hanging="648"/>
        <w:spacing w:after="0" w:line="237"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Reading International, Inc. 2020 Stock Incentive Plan to increase the number of shares of Class A Stock reserved for issuance thereunder by 3,500,000 Shares; and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150495</wp:posOffset>
            </wp:positionV>
            <wp:extent cx="552894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86" w:lineRule="exact"/>
        <w:rPr>
          <w:sz w:val="20"/>
          <w:szCs w:val="20"/>
          <w:color w:val="auto"/>
        </w:rPr>
      </w:pPr>
    </w:p>
    <w:p>
      <w:pPr>
        <w:ind w:left="1480" w:hanging="648"/>
        <w:spacing w:after="0" w:line="250"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our Annual Meeting and any adjournment or postponement thereof.</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While all of our stockholders are invited to attend, only holders of record of our Class B Stock at the close of</w:t>
      </w:r>
    </w:p>
    <w:p>
      <w:pPr>
        <w:spacing w:after="0" w:line="2" w:lineRule="exact"/>
        <w:rPr>
          <w:sz w:val="20"/>
          <w:szCs w:val="20"/>
          <w:color w:val="auto"/>
        </w:rPr>
      </w:pPr>
    </w:p>
    <w:p>
      <w:pPr>
        <w:jc w:val="both"/>
        <w:ind w:left="180"/>
        <w:spacing w:after="0" w:line="226" w:lineRule="auto"/>
        <w:rPr>
          <w:sz w:val="20"/>
          <w:szCs w:val="20"/>
          <w:color w:val="auto"/>
        </w:rPr>
      </w:pPr>
      <w:r>
        <w:rPr>
          <w:rFonts w:ascii="Times New Roman" w:cs="Times New Roman" w:eastAsia="Times New Roman" w:hAnsi="Times New Roman"/>
          <w:sz w:val="18"/>
          <w:szCs w:val="18"/>
          <w:color w:val="auto"/>
        </w:rPr>
        <w:t>business on Tuesday, October 15, 2024, are entitled to communicate, participate in and vote at our Annual Meeting or any adjournment or postponement thereof.</w:t>
      </w:r>
    </w:p>
    <w:p>
      <w:pPr>
        <w:spacing w:after="0" w:line="130" w:lineRule="exact"/>
        <w:rPr>
          <w:sz w:val="20"/>
          <w:szCs w:val="20"/>
          <w:color w:val="auto"/>
        </w:rPr>
      </w:pPr>
    </w:p>
    <w:p>
      <w:pPr>
        <w:jc w:val="both"/>
        <w:ind w:left="180" w:firstLine="648"/>
        <w:spacing w:after="0" w:line="229" w:lineRule="auto"/>
        <w:rPr>
          <w:sz w:val="20"/>
          <w:szCs w:val="20"/>
          <w:color w:val="auto"/>
        </w:rPr>
      </w:pPr>
      <w:r>
        <w:rPr>
          <w:rFonts w:ascii="Times New Roman" w:cs="Times New Roman" w:eastAsia="Times New Roman" w:hAnsi="Times New Roman"/>
          <w:sz w:val="17"/>
          <w:szCs w:val="17"/>
          <w:color w:val="auto"/>
        </w:rPr>
        <w:t>It is important that any Class B Stock you may own be represented and voted, regardless of the size of your holdings. Accordingly, whether or not you plan to participate in our Annual Meeting, we encourage you to take the time to register to participate in our Annual Meeting and to make use of the proxy voting options discussed in the Proxy</w:t>
      </w:r>
    </w:p>
    <w:p>
      <w:pPr>
        <w:ind w:left="180"/>
        <w:spacing w:after="0"/>
        <w:rPr>
          <w:sz w:val="20"/>
          <w:szCs w:val="20"/>
          <w:color w:val="auto"/>
        </w:rPr>
      </w:pPr>
      <w:r>
        <w:rPr>
          <w:rFonts w:ascii="Times New Roman" w:cs="Times New Roman" w:eastAsia="Times New Roman" w:hAnsi="Times New Roman"/>
          <w:sz w:val="18"/>
          <w:szCs w:val="18"/>
          <w:color w:val="auto"/>
        </w:rPr>
        <w:t>Statement accompanying this Notice with respect to any Class B Stock you may own.</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you are the record holder of Class B Stock, the materials accompanying this Notice will include a proxy</w:t>
      </w:r>
    </w:p>
    <w:p>
      <w:pPr>
        <w:spacing w:after="0" w:line="2" w:lineRule="exact"/>
        <w:rPr>
          <w:sz w:val="20"/>
          <w:szCs w:val="20"/>
          <w:color w:val="auto"/>
        </w:rPr>
      </w:pPr>
    </w:p>
    <w:p>
      <w:pPr>
        <w:jc w:val="both"/>
        <w:ind w:left="180"/>
        <w:spacing w:after="0" w:line="208" w:lineRule="auto"/>
        <w:rPr>
          <w:sz w:val="20"/>
          <w:szCs w:val="20"/>
          <w:color w:val="auto"/>
        </w:rPr>
      </w:pPr>
      <w:r>
        <w:rPr>
          <w:rFonts w:ascii="Times New Roman" w:cs="Times New Roman" w:eastAsia="Times New Roman" w:hAnsi="Times New Roman"/>
          <w:sz w:val="18"/>
          <w:szCs w:val="18"/>
          <w:color w:val="auto"/>
        </w:rPr>
        <w:t>card. You are encouraged to vote such shares by following the Internet or telephone voting instructions provided on the enclosed proxy card or by completing and mailing the proxy card as promptly as possible, whether or not you intend to participate in our Annual Meeting. Your proxy is revocable at any time before it is voted at the Annual Meeting and</w:t>
      </w:r>
    </w:p>
    <w:p>
      <w:pPr>
        <w:spacing w:after="0" w:line="2" w:lineRule="exact"/>
        <w:rPr>
          <w:sz w:val="20"/>
          <w:szCs w:val="20"/>
          <w:color w:val="auto"/>
        </w:rPr>
      </w:pPr>
    </w:p>
    <w:p>
      <w:pPr>
        <w:jc w:val="both"/>
        <w:ind w:left="180"/>
        <w:spacing w:after="0" w:line="226" w:lineRule="auto"/>
        <w:rPr>
          <w:sz w:val="20"/>
          <w:szCs w:val="20"/>
          <w:color w:val="auto"/>
        </w:rPr>
      </w:pPr>
      <w:r>
        <w:rPr>
          <w:rFonts w:ascii="Times New Roman" w:cs="Times New Roman" w:eastAsia="Times New Roman" w:hAnsi="Times New Roman"/>
          <w:sz w:val="18"/>
          <w:szCs w:val="18"/>
          <w:color w:val="auto"/>
        </w:rPr>
        <w:t>will not affect your right to vote electronically at our Annual Meeting during the time the polls are open, if you register and log-in to participate in our Annual Meeting.</w:t>
      </w:r>
    </w:p>
    <w:p>
      <w:pPr>
        <w:spacing w:after="0" w:line="130" w:lineRule="exact"/>
        <w:rPr>
          <w:sz w:val="20"/>
          <w:szCs w:val="20"/>
          <w:color w:val="auto"/>
        </w:rPr>
      </w:pPr>
    </w:p>
    <w:p>
      <w:pPr>
        <w:jc w:val="both"/>
        <w:ind w:left="180" w:firstLine="648"/>
        <w:spacing w:after="0" w:line="216" w:lineRule="auto"/>
        <w:rPr>
          <w:sz w:val="20"/>
          <w:szCs w:val="20"/>
          <w:color w:val="auto"/>
        </w:rPr>
      </w:pPr>
      <w:r>
        <w:rPr>
          <w:rFonts w:ascii="Times New Roman" w:cs="Times New Roman" w:eastAsia="Times New Roman" w:hAnsi="Times New Roman"/>
          <w:sz w:val="18"/>
          <w:szCs w:val="18"/>
          <w:color w:val="auto"/>
        </w:rPr>
        <w:t>If you are the beneficial owner of Class B Stock, but not the record holder of such Class B Stock, you should receive from the record holder of such Class B Stock a voting instruction form (a “VIF”). You may vote by following the instructions on that VIF without participating in our Annual Meeting. However, if you want to participate in and</w:t>
      </w:r>
    </w:p>
    <w:p>
      <w:pPr>
        <w:spacing w:after="0" w:line="1" w:lineRule="exact"/>
        <w:rPr>
          <w:sz w:val="20"/>
          <w:szCs w:val="20"/>
          <w:color w:val="auto"/>
        </w:rPr>
      </w:pPr>
    </w:p>
    <w:p>
      <w:pPr>
        <w:jc w:val="both"/>
        <w:ind w:left="180"/>
        <w:spacing w:after="0" w:line="208" w:lineRule="auto"/>
        <w:rPr>
          <w:sz w:val="20"/>
          <w:szCs w:val="20"/>
          <w:color w:val="auto"/>
        </w:rPr>
      </w:pPr>
      <w:r>
        <w:rPr>
          <w:rFonts w:ascii="Times New Roman" w:cs="Times New Roman" w:eastAsia="Times New Roman" w:hAnsi="Times New Roman"/>
          <w:sz w:val="18"/>
          <w:szCs w:val="18"/>
          <w:color w:val="auto"/>
        </w:rPr>
        <w:t>vote at our Annual Meeting, you will need to obtain a valid proxy from the record holder of such shares. The procedures involved are described in the accompanying Proxy Statement. If you obtain a valid proxy and register and log-in to participate in our Annual Meeting, then your vote through your VIF will not affect your right to vote</w:t>
      </w:r>
    </w:p>
    <w:p>
      <w:pPr>
        <w:spacing w:after="0" w:line="2"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8"/>
          <w:szCs w:val="18"/>
          <w:color w:val="auto"/>
        </w:rPr>
        <w:t xml:space="preserve">electronically at our Annual Meeting during the time the polls are open. If you are a record holder or a beneficial owner or holder of record of Class A Stock only, see instructions under section </w:t>
      </w:r>
      <w:r>
        <w:rPr>
          <w:rFonts w:ascii="Times New Roman" w:cs="Times New Roman" w:eastAsia="Times New Roman" w:hAnsi="Times New Roman"/>
          <w:sz w:val="18"/>
          <w:szCs w:val="18"/>
          <w:i w:val="1"/>
          <w:iCs w:val="1"/>
          <w:color w:val="auto"/>
        </w:rPr>
        <w:t>– How Do I Attend the Virtual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if I Only Hold Class A Non-Voting Stock</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180" w:firstLine="648"/>
        <w:spacing w:after="0" w:line="237" w:lineRule="auto"/>
        <w:rPr>
          <w:sz w:val="20"/>
          <w:szCs w:val="20"/>
          <w:color w:val="auto"/>
        </w:rPr>
      </w:pPr>
      <w:r>
        <w:rPr>
          <w:rFonts w:ascii="Times New Roman" w:cs="Times New Roman" w:eastAsia="Times New Roman" w:hAnsi="Times New Roman"/>
          <w:sz w:val="18"/>
          <w:szCs w:val="18"/>
          <w:color w:val="auto"/>
        </w:rPr>
        <w:t>Thank you for your continued and on-going support of our Company. Please register to participate in our Annual Meeting.</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111760</wp:posOffset>
            </wp:positionV>
            <wp:extent cx="172275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Margaret Cotter</w:t>
      </w:r>
    </w:p>
    <w:p>
      <w:pPr>
        <w:ind w:left="840"/>
        <w:spacing w:after="0"/>
        <w:rPr>
          <w:sz w:val="20"/>
          <w:szCs w:val="20"/>
          <w:color w:val="auto"/>
        </w:rPr>
      </w:pPr>
      <w:r>
        <w:rPr>
          <w:rFonts w:ascii="Times New Roman" w:cs="Times New Roman" w:eastAsia="Times New Roman" w:hAnsi="Times New Roman"/>
          <w:sz w:val="18"/>
          <w:szCs w:val="18"/>
          <w:i w:val="1"/>
          <w:iCs w:val="1"/>
          <w:color w:val="auto"/>
        </w:rPr>
        <w:t>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80" w:firstLine="648"/>
        <w:spacing w:after="0" w:line="237" w:lineRule="auto"/>
        <w:rPr>
          <w:sz w:val="20"/>
          <w:szCs w:val="20"/>
          <w:color w:val="auto"/>
        </w:rPr>
      </w:pPr>
      <w:r>
        <w:rPr>
          <w:rFonts w:ascii="Times New Roman" w:cs="Times New Roman" w:eastAsia="Times New Roman" w:hAnsi="Times New Roman"/>
          <w:sz w:val="18"/>
          <w:szCs w:val="18"/>
          <w:color w:val="auto"/>
        </w:rPr>
        <w:t>This Proxy Statement, a form of proxy and the Annual Report are first being distributed or otherwise furnished to stockholders on or about October 25, 2024.</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ABOUT THE ANNUAL MEETING AND VOTING</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CORPORATE GOVERNANCE</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Director Leadership Structure</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Director Independence and Board Oversight Structure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Board’s Role in Risk Oversight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“Controlled Company” Status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Board Committees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Consideration and Selection of the Board’s Director Nominees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Code of Business Conduct and Ethics</w:t>
      </w:r>
    </w:p>
    <w:p>
      <w:pPr>
        <w:spacing w:after="0" w:line="9" w:lineRule="exact"/>
        <w:rPr>
          <w:sz w:val="20"/>
          <w:szCs w:val="20"/>
          <w:color w:val="auto"/>
        </w:rPr>
      </w:pPr>
    </w:p>
    <w:p>
      <w:pPr>
        <w:ind w:left="180" w:right="3520"/>
        <w:spacing w:after="0" w:line="260" w:lineRule="auto"/>
        <w:rPr>
          <w:sz w:val="20"/>
          <w:szCs w:val="20"/>
          <w:color w:val="auto"/>
        </w:rPr>
      </w:pPr>
      <w:r>
        <w:rPr>
          <w:rFonts w:ascii="Times New Roman" w:cs="Times New Roman" w:eastAsia="Times New Roman" w:hAnsi="Times New Roman"/>
          <w:sz w:val="18"/>
          <w:szCs w:val="18"/>
          <w:u w:val="single" w:color="auto"/>
          <w:color w:val="0563C1"/>
        </w:rPr>
        <w:t>Review, Approval or Ratification of Transactions with Related Persons Director Diversity</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PROPOSAL 1: ELECTION OF DIRECTORS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Nominees for Election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563C1"/>
        </w:rPr>
        <w:t>Meeting Attendance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924" w:orient="portrait"/>
          <w:cols w:equalWidth="0" w:num="2">
            <w:col w:w="8820" w:space="420"/>
            <w:col w:w="180"/>
          </w:cols>
          <w:pgMar w:left="1440" w:top="1039" w:right="1039" w:bottom="0" w:gutter="0" w:footer="0" w:header="0"/>
        </w:sectPr>
      </w:pPr>
    </w:p>
    <w:bookmarkStart w:id="3" w:name="page4"/>
    <w:bookmarkEnd w:id="3"/>
    <w:tbl>
      <w:tblPr>
        <w:tblLayout w:type="fixed"/>
        <w:tblInd w:w="18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Compensation of Directors</w:t>
            </w:r>
          </w:p>
        </w:tc>
        <w:tc>
          <w:tcPr>
            <w:tcW w:w="694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2140" w:type="dxa"/>
            <w:vAlign w:val="bottom"/>
            <w:tcBorders>
              <w:bottom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9"/>
              </w:rPr>
              <w:t>Director Compensation Table</w:t>
            </w:r>
          </w:p>
        </w:tc>
        <w:tc>
          <w:tcPr>
            <w:tcW w:w="6760" w:type="dxa"/>
            <w:vAlign w:val="bottom"/>
            <w:gridSpan w:val="11"/>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w w:val="99"/>
              </w:rPr>
              <w:t>2023 and Future Outside Director Compensation</w:t>
            </w:r>
          </w:p>
        </w:tc>
        <w:tc>
          <w:tcPr>
            <w:tcW w:w="538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6"/>
              </w:rPr>
              <w:t>Vote Required</w:t>
            </w:r>
          </w:p>
        </w:tc>
        <w:tc>
          <w:tcPr>
            <w:tcW w:w="786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Recommendation of the Board</w:t>
            </w:r>
          </w:p>
        </w:tc>
        <w:tc>
          <w:tcPr>
            <w:tcW w:w="66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5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PROPOSAL 2: RATIFICATION OF APPOINTMENT OF INDEPENDENT REGISTERED PUBLIC ACCOUNTING</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69"/>
        </w:trPr>
        <w:tc>
          <w:tcPr>
            <w:tcW w:w="8640" w:type="dxa"/>
            <w:vAlign w:val="bottom"/>
            <w:tcBorders>
              <w:top w:val="single" w:sz="8" w:color="0563C1"/>
            </w:tcBorders>
            <w:gridSpan w:val="15"/>
          </w:tcPr>
          <w:p>
            <w:pPr>
              <w:spacing w:after="0" w:line="169" w:lineRule="exact"/>
              <w:rPr>
                <w:sz w:val="20"/>
                <w:szCs w:val="20"/>
                <w:color w:val="auto"/>
              </w:rPr>
            </w:pPr>
            <w:r>
              <w:rPr>
                <w:rFonts w:ascii="Times New Roman" w:cs="Times New Roman" w:eastAsia="Times New Roman" w:hAnsi="Times New Roman"/>
                <w:sz w:val="18"/>
                <w:szCs w:val="18"/>
                <w:color w:val="0563C1"/>
              </w:rPr>
              <w:t>FIRM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6"/>
              </w:rPr>
              <w:t>Vote Required</w:t>
            </w:r>
          </w:p>
        </w:tc>
        <w:tc>
          <w:tcPr>
            <w:tcW w:w="7860" w:type="dxa"/>
            <w:vAlign w:val="bottom"/>
            <w:gridSpan w:val="15"/>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Recommendation of the Board</w:t>
            </w:r>
          </w:p>
        </w:tc>
        <w:tc>
          <w:tcPr>
            <w:tcW w:w="66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85"/>
        </w:trPr>
        <w:tc>
          <w:tcPr>
            <w:tcW w:w="622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PROPOSAL 3: ADVISORY VOTE ON EXECUTIVE OFFICER COMPENSATION</w:t>
            </w:r>
          </w:p>
        </w:tc>
        <w:tc>
          <w:tcPr>
            <w:tcW w:w="268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6"/>
              </w:rPr>
              <w:t>Vote Required</w:t>
            </w:r>
          </w:p>
        </w:tc>
        <w:tc>
          <w:tcPr>
            <w:tcW w:w="786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Recommendation of the Board</w:t>
            </w:r>
          </w:p>
        </w:tc>
        <w:tc>
          <w:tcPr>
            <w:tcW w:w="66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58"/>
        </w:trPr>
        <w:tc>
          <w:tcPr>
            <w:tcW w:w="838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PROPOSAL 4: APPROVAL OF AN AMENDMENT TO THE READING INTERNATIONAL, INC. 2020 STOCK</w:t>
            </w:r>
          </w:p>
        </w:tc>
        <w:tc>
          <w:tcPr>
            <w:tcW w:w="52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90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563C1"/>
              </w:rPr>
              <w:t>INCENTIVE PLAN TO INCREASE THE NUMBER OF CLASS A COMMON STOCK RESERVED FOR ISSUANCE</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69"/>
        </w:trPr>
        <w:tc>
          <w:tcPr>
            <w:tcW w:w="8740" w:type="dxa"/>
            <w:vAlign w:val="bottom"/>
            <w:tcBorders>
              <w:top w:val="single" w:sz="8" w:color="0563C1"/>
            </w:tcBorders>
            <w:gridSpan w:val="16"/>
          </w:tcPr>
          <w:p>
            <w:pPr>
              <w:spacing w:after="0" w:line="169" w:lineRule="exact"/>
              <w:rPr>
                <w:sz w:val="20"/>
                <w:szCs w:val="20"/>
                <w:color w:val="auto"/>
              </w:rPr>
            </w:pPr>
            <w:r>
              <w:rPr>
                <w:rFonts w:ascii="Times New Roman" w:cs="Times New Roman" w:eastAsia="Times New Roman" w:hAnsi="Times New Roman"/>
                <w:sz w:val="18"/>
                <w:szCs w:val="18"/>
                <w:color w:val="0563C1"/>
              </w:rPr>
              <w:t>THEREUNDER</w:t>
            </w: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563C1"/>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6"/>
              </w:rPr>
              <w:t>Vote Required</w:t>
            </w:r>
          </w:p>
        </w:tc>
        <w:tc>
          <w:tcPr>
            <w:tcW w:w="160" w:type="dxa"/>
            <w:vAlign w:val="bottom"/>
            <w:tcBorders>
              <w:top w:val="single" w:sz="8" w:color="0563C1"/>
            </w:tcBorders>
          </w:tcPr>
          <w:p>
            <w:pPr>
              <w:spacing w:after="0"/>
              <w:rPr>
                <w:sz w:val="17"/>
                <w:szCs w:val="17"/>
                <w:color w:val="auto"/>
              </w:rPr>
            </w:pPr>
          </w:p>
        </w:tc>
        <w:tc>
          <w:tcPr>
            <w:tcW w:w="770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Recommendation of the Board</w:t>
            </w:r>
          </w:p>
        </w:tc>
        <w:tc>
          <w:tcPr>
            <w:tcW w:w="66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85"/>
        </w:trPr>
        <w:tc>
          <w:tcPr>
            <w:tcW w:w="308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REPORT OF THE AUDIT COMMITTEE</w:t>
            </w:r>
          </w:p>
        </w:tc>
        <w:tc>
          <w:tcPr>
            <w:tcW w:w="58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85"/>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BENEFICIAL OWNERSHIP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85"/>
        </w:trPr>
        <w:tc>
          <w:tcPr>
            <w:tcW w:w="3260" w:type="dxa"/>
            <w:vAlign w:val="bottom"/>
            <w:tcBorders>
              <w:top w:val="single" w:sz="8" w:color="0563C1"/>
              <w:bottom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w w:val="99"/>
              </w:rPr>
              <w:t>DELINQUENT SECTION 16(A) REPORTS</w:t>
            </w:r>
          </w:p>
        </w:tc>
        <w:tc>
          <w:tcPr>
            <w:tcW w:w="220" w:type="dxa"/>
            <w:vAlign w:val="bottom"/>
            <w:tcBorders>
              <w:top w:val="single" w:sz="8" w:color="0563C1"/>
            </w:tcBorders>
          </w:tcPr>
          <w:p>
            <w:pPr>
              <w:spacing w:after="0"/>
              <w:rPr>
                <w:sz w:val="24"/>
                <w:szCs w:val="24"/>
                <w:color w:val="auto"/>
              </w:rPr>
            </w:pPr>
          </w:p>
        </w:tc>
        <w:tc>
          <w:tcPr>
            <w:tcW w:w="542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85"/>
        </w:trPr>
        <w:tc>
          <w:tcPr>
            <w:tcW w:w="190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9"/>
              </w:rPr>
              <w:t>EXECUTIVE OFFICERS</w:t>
            </w:r>
          </w:p>
        </w:tc>
        <w:tc>
          <w:tcPr>
            <w:tcW w:w="700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85"/>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EXECUTIVE COMPENSATION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85"/>
        </w:trPr>
        <w:tc>
          <w:tcPr>
            <w:tcW w:w="44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7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5"/>
          </w:tcPr>
          <w:p>
            <w:pPr>
              <w:ind w:left="1100"/>
              <w:spacing w:after="0"/>
              <w:rPr>
                <w:sz w:val="20"/>
                <w:szCs w:val="20"/>
                <w:color w:val="auto"/>
              </w:rPr>
            </w:pPr>
            <w:r>
              <w:rPr>
                <w:rFonts w:ascii="Times New Roman" w:cs="Times New Roman" w:eastAsia="Times New Roman" w:hAnsi="Times New Roman"/>
                <w:sz w:val="18"/>
                <w:szCs w:val="18"/>
                <w:color w:val="auto"/>
              </w:rPr>
              <w:t>i</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-37465</wp:posOffset>
            </wp:positionV>
            <wp:extent cx="3365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500"/>
          </w:cols>
          <w:pgMar w:left="1440" w:top="121" w:right="95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07"/>
        </w:trPr>
        <w:tc>
          <w:tcPr>
            <w:tcW w:w="7280" w:type="dxa"/>
            <w:vAlign w:val="bottom"/>
            <w:gridSpan w:val="27"/>
          </w:tcPr>
          <w:p>
            <w:pPr>
              <w:spacing w:after="0"/>
              <w:rPr>
                <w:sz w:val="20"/>
                <w:szCs w:val="20"/>
                <w:color w:val="auto"/>
              </w:rPr>
            </w:pPr>
            <w:r>
              <w:rPr>
                <w:rFonts w:ascii="Times New Roman" w:cs="Times New Roman" w:eastAsia="Times New Roman" w:hAnsi="Times New Roman"/>
                <w:sz w:val="18"/>
                <w:szCs w:val="18"/>
                <w:color w:val="0563C1"/>
              </w:rPr>
              <w:t>Our Executive Compensation Philosophy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2980" w:type="dxa"/>
            <w:vAlign w:val="bottom"/>
            <w:tcBorders>
              <w:top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Pay Versus Performance</w:t>
            </w:r>
          </w:p>
        </w:tc>
        <w:tc>
          <w:tcPr>
            <w:tcW w:w="4300" w:type="dxa"/>
            <w:vAlign w:val="bottom"/>
            <w:gridSpan w:val="1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0563C1"/>
            </w:tcBorders>
            <w:gridSpan w:val="23"/>
          </w:tcPr>
          <w:p>
            <w:pPr>
              <w:spacing w:after="0" w:line="196" w:lineRule="exact"/>
              <w:rPr>
                <w:sz w:val="20"/>
                <w:szCs w:val="20"/>
                <w:color w:val="auto"/>
              </w:rPr>
            </w:pPr>
            <w:r>
              <w:rPr>
                <w:rFonts w:ascii="Times New Roman" w:cs="Times New Roman" w:eastAsia="Times New Roman" w:hAnsi="Times New Roman"/>
                <w:sz w:val="18"/>
                <w:szCs w:val="18"/>
                <w:color w:val="0563C1"/>
                <w:w w:val="99"/>
              </w:rPr>
              <w:t>Compensation Actually Paid and Cumulative Total Shareholder Return</w:t>
            </w:r>
          </w:p>
        </w:tc>
        <w:tc>
          <w:tcPr>
            <w:tcW w:w="2140" w:type="dxa"/>
            <w:vAlign w:val="bottom"/>
            <w:gridSpan w:val="4"/>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Compensation Actually Paid and Net Income</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240" w:type="dxa"/>
            <w:vAlign w:val="bottom"/>
            <w:tcBorders>
              <w:top w:val="single" w:sz="8" w:color="0563C1"/>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Summary Compensation Table</w:t>
            </w:r>
          </w:p>
        </w:tc>
        <w:tc>
          <w:tcPr>
            <w:tcW w:w="1020" w:type="dxa"/>
            <w:vAlign w:val="bottom"/>
            <w:tcBorders>
              <w:top w:val="single" w:sz="8" w:color="0563C1"/>
            </w:tcBorders>
            <w:gridSpan w:val="6"/>
          </w:tcPr>
          <w:p>
            <w:pPr>
              <w:spacing w:after="0"/>
              <w:rPr>
                <w:sz w:val="17"/>
                <w:szCs w:val="17"/>
                <w:color w:val="auto"/>
              </w:rPr>
            </w:pPr>
          </w:p>
        </w:tc>
        <w:tc>
          <w:tcPr>
            <w:tcW w:w="402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9"/>
              </w:rPr>
              <w:t>2020 Stock Incentive Plan</w:t>
            </w:r>
          </w:p>
        </w:tc>
        <w:tc>
          <w:tcPr>
            <w:tcW w:w="5380" w:type="dxa"/>
            <w:vAlign w:val="bottom"/>
            <w:gridSpan w:val="1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8"/>
              </w:rPr>
              <w:t>Outstanding Equity Awards</w:t>
            </w:r>
          </w:p>
        </w:tc>
        <w:tc>
          <w:tcPr>
            <w:tcW w:w="5280" w:type="dxa"/>
            <w:vAlign w:val="bottom"/>
            <w:gridSpan w:val="1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Equity Compensation Plan Information</w:t>
            </w:r>
          </w:p>
        </w:tc>
        <w:tc>
          <w:tcPr>
            <w:tcW w:w="4440" w:type="dxa"/>
            <w:vAlign w:val="bottom"/>
            <w:gridSpan w:val="1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0563C1"/>
            </w:tcBorders>
            <w:gridSpan w:val="26"/>
          </w:tcPr>
          <w:p>
            <w:pPr>
              <w:spacing w:after="0" w:line="196" w:lineRule="exact"/>
              <w:rPr>
                <w:sz w:val="20"/>
                <w:szCs w:val="20"/>
                <w:color w:val="auto"/>
              </w:rPr>
            </w:pPr>
            <w:r>
              <w:rPr>
                <w:rFonts w:ascii="Times New Roman" w:cs="Times New Roman" w:eastAsia="Times New Roman" w:hAnsi="Times New Roman"/>
                <w:sz w:val="18"/>
                <w:szCs w:val="18"/>
                <w:color w:val="0563C1"/>
                <w:w w:val="99"/>
              </w:rPr>
              <w:t>Potential Payments Upon Termination of Employment or Change in Control</w:t>
            </w:r>
          </w:p>
        </w:tc>
        <w:tc>
          <w:tcPr>
            <w:tcW w:w="178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Employment Agreements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80" w:type="dxa"/>
            <w:vAlign w:val="bottom"/>
            <w:gridSpan w:val="2"/>
            <w:shd w:val="clear" w:color="auto" w:fill="0563C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line="20" w:lineRule="exact"/>
              <w:rPr>
                <w:sz w:val="1"/>
                <w:szCs w:val="1"/>
                <w:color w:val="auto"/>
              </w:rPr>
            </w:pPr>
          </w:p>
        </w:tc>
      </w:tr>
      <w:tr>
        <w:trPr>
          <w:trHeight w:val="385"/>
        </w:trPr>
        <w:tc>
          <w:tcPr>
            <w:tcW w:w="5480" w:type="dxa"/>
            <w:vAlign w:val="bottom"/>
            <w:tcBorders>
              <w:bottom w:val="single" w:sz="8" w:color="0563C1"/>
            </w:tcBorders>
            <w:gridSpan w:val="25"/>
          </w:tcPr>
          <w:p>
            <w:pPr>
              <w:spacing w:after="0"/>
              <w:rPr>
                <w:sz w:val="20"/>
                <w:szCs w:val="20"/>
                <w:color w:val="auto"/>
              </w:rPr>
            </w:pPr>
            <w:r>
              <w:rPr>
                <w:rFonts w:ascii="Times New Roman" w:cs="Times New Roman" w:eastAsia="Times New Roman" w:hAnsi="Times New Roman"/>
                <w:sz w:val="18"/>
                <w:szCs w:val="18"/>
                <w:color w:val="0563C1"/>
                <w:w w:val="98"/>
              </w:rPr>
              <w:t>CERTAIN RELATIONSHIPS AND RELATED PARTY TRANSACTIONS</w:t>
            </w:r>
          </w:p>
        </w:tc>
        <w:tc>
          <w:tcPr>
            <w:tcW w:w="1800" w:type="dxa"/>
            <w:vAlign w:val="bottom"/>
            <w:gridSpan w:val="2"/>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280" w:type="dxa"/>
            <w:vAlign w:val="bottom"/>
            <w:gridSpan w:val="27"/>
          </w:tcPr>
          <w:p>
            <w:pPr>
              <w:spacing w:after="0"/>
              <w:rPr>
                <w:sz w:val="20"/>
                <w:szCs w:val="20"/>
                <w:color w:val="auto"/>
              </w:rPr>
            </w:pPr>
            <w:r>
              <w:rPr>
                <w:rFonts w:ascii="Times New Roman" w:cs="Times New Roman" w:eastAsia="Times New Roman" w:hAnsi="Times New Roman"/>
                <w:sz w:val="18"/>
                <w:szCs w:val="18"/>
                <w:color w:val="0563C1"/>
              </w:rPr>
              <w:t>Sutton Hill Capital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Live Theater Play Investment</w:t>
            </w:r>
          </w:p>
        </w:tc>
        <w:tc>
          <w:tcPr>
            <w:tcW w:w="5140" w:type="dxa"/>
            <w:vAlign w:val="bottom"/>
            <w:gridSpan w:val="15"/>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0563C1"/>
            </w:tcBorders>
            <w:gridSpan w:val="22"/>
          </w:tcPr>
          <w:p>
            <w:pPr>
              <w:spacing w:after="0" w:line="196" w:lineRule="exact"/>
              <w:rPr>
                <w:sz w:val="20"/>
                <w:szCs w:val="20"/>
                <w:color w:val="auto"/>
              </w:rPr>
            </w:pPr>
            <w:r>
              <w:rPr>
                <w:rFonts w:ascii="Times New Roman" w:cs="Times New Roman" w:eastAsia="Times New Roman" w:hAnsi="Times New Roman"/>
                <w:sz w:val="18"/>
                <w:szCs w:val="18"/>
                <w:color w:val="0563C1"/>
                <w:w w:val="99"/>
              </w:rPr>
              <w:t>Review, Approval or Ratification of Transactions with Related Persons</w:t>
            </w:r>
          </w:p>
        </w:tc>
        <w:tc>
          <w:tcPr>
            <w:tcW w:w="216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563C1"/>
            </w:tcBorders>
            <w:gridSpan w:val="24"/>
          </w:tcPr>
          <w:p>
            <w:pPr>
              <w:spacing w:after="0" w:line="196" w:lineRule="exact"/>
              <w:rPr>
                <w:sz w:val="20"/>
                <w:szCs w:val="20"/>
                <w:color w:val="auto"/>
              </w:rPr>
            </w:pPr>
            <w:r>
              <w:rPr>
                <w:rFonts w:ascii="Times New Roman" w:cs="Times New Roman" w:eastAsia="Times New Roman" w:hAnsi="Times New Roman"/>
                <w:sz w:val="18"/>
                <w:szCs w:val="18"/>
                <w:color w:val="0563C1"/>
                <w:w w:val="99"/>
              </w:rPr>
              <w:t>Summary of Principal Accounting Fees for Professional Services Rendered</w:t>
            </w:r>
          </w:p>
        </w:tc>
        <w:tc>
          <w:tcPr>
            <w:tcW w:w="184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Audit Fees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8"/>
              </w:rPr>
              <w:t>Audit-Related Fees</w:t>
            </w:r>
          </w:p>
        </w:tc>
        <w:tc>
          <w:tcPr>
            <w:tcW w:w="5880" w:type="dxa"/>
            <w:vAlign w:val="bottom"/>
            <w:gridSpan w:val="21"/>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Tax Fees</w:t>
            </w: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All Other Fees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Pre-Approval Policies and Procedures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280" w:type="dxa"/>
            <w:vAlign w:val="bottom"/>
            <w:gridSpan w:val="7"/>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385"/>
        </w:trPr>
        <w:tc>
          <w:tcPr>
            <w:tcW w:w="302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8"/>
              </w:rPr>
              <w:t>STOCKHOLDER COMMUNICATIONS</w:t>
            </w:r>
          </w:p>
        </w:tc>
        <w:tc>
          <w:tcPr>
            <w:tcW w:w="4260" w:type="dxa"/>
            <w:vAlign w:val="bottom"/>
            <w:gridSpan w:val="10"/>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280" w:type="dxa"/>
            <w:vAlign w:val="bottom"/>
            <w:gridSpan w:val="27"/>
          </w:tcPr>
          <w:p>
            <w:pPr>
              <w:spacing w:after="0"/>
              <w:rPr>
                <w:sz w:val="20"/>
                <w:szCs w:val="20"/>
                <w:color w:val="auto"/>
              </w:rPr>
            </w:pPr>
            <w:r>
              <w:rPr>
                <w:rFonts w:ascii="Times New Roman" w:cs="Times New Roman" w:eastAsia="Times New Roman" w:hAnsi="Times New Roman"/>
                <w:sz w:val="18"/>
                <w:szCs w:val="18"/>
                <w:color w:val="0563C1"/>
              </w:rPr>
              <w:t>Annual Report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Stockholder Communications with Directors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563C1"/>
          </w:tcPr>
          <w:p>
            <w:pPr>
              <w:spacing w:after="0" w:line="20" w:lineRule="exact"/>
              <w:rPr>
                <w:sz w:val="1"/>
                <w:szCs w:val="1"/>
                <w:color w:val="auto"/>
              </w:rPr>
            </w:pPr>
          </w:p>
        </w:tc>
        <w:tc>
          <w:tcPr>
            <w:tcW w:w="560" w:type="dxa"/>
            <w:vAlign w:val="bottom"/>
            <w:gridSpan w:val="4"/>
            <w:shd w:val="clear" w:color="auto" w:fill="0563C1"/>
          </w:tcPr>
          <w:p>
            <w:pPr>
              <w:spacing w:after="0" w:line="20" w:lineRule="exact"/>
              <w:rPr>
                <w:sz w:val="1"/>
                <w:szCs w:val="1"/>
                <w:color w:val="auto"/>
              </w:rPr>
            </w:pPr>
          </w:p>
        </w:tc>
        <w:tc>
          <w:tcPr>
            <w:tcW w:w="1760" w:type="dxa"/>
            <w:vAlign w:val="bottom"/>
            <w:gridSpan w:val="11"/>
            <w:shd w:val="clear" w:color="auto" w:fill="0563C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line="20" w:lineRule="exact"/>
              <w:rPr>
                <w:sz w:val="1"/>
                <w:szCs w:val="1"/>
                <w:color w:val="auto"/>
              </w:rPr>
            </w:pPr>
          </w:p>
        </w:tc>
      </w:tr>
      <w:tr>
        <w:trPr>
          <w:trHeight w:val="196"/>
        </w:trPr>
        <w:tc>
          <w:tcPr>
            <w:tcW w:w="7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Stockholder Proposals and Director Nominations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540" w:type="dxa"/>
            <w:vAlign w:val="bottom"/>
            <w:tcBorders>
              <w:top w:val="single" w:sz="8" w:color="0563C1"/>
            </w:tcBorders>
            <w:gridSpan w:val="20"/>
          </w:tcPr>
          <w:p>
            <w:pPr>
              <w:spacing w:after="0"/>
              <w:rPr>
                <w:sz w:val="20"/>
                <w:szCs w:val="20"/>
                <w:color w:val="auto"/>
              </w:rPr>
            </w:pPr>
            <w:r>
              <w:rPr>
                <w:rFonts w:ascii="Times New Roman" w:cs="Times New Roman" w:eastAsia="Times New Roman" w:hAnsi="Times New Roman"/>
                <w:sz w:val="18"/>
                <w:szCs w:val="18"/>
                <w:color w:val="0563C1"/>
              </w:rPr>
              <w:t>OTHER MATTERS</w:t>
            </w:r>
          </w:p>
        </w:tc>
        <w:tc>
          <w:tcPr>
            <w:tcW w:w="374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563C1"/>
          </w:tcPr>
          <w:p>
            <w:pPr>
              <w:spacing w:after="0" w:line="20" w:lineRule="exact"/>
              <w:rPr>
                <w:sz w:val="1"/>
                <w:szCs w:val="1"/>
                <w:color w:val="auto"/>
              </w:rPr>
            </w:pPr>
          </w:p>
        </w:tc>
        <w:tc>
          <w:tcPr>
            <w:tcW w:w="560" w:type="dxa"/>
            <w:vAlign w:val="bottom"/>
            <w:gridSpan w:val="4"/>
            <w:shd w:val="clear" w:color="auto" w:fill="0563C1"/>
          </w:tcPr>
          <w:p>
            <w:pPr>
              <w:spacing w:after="0" w:line="20" w:lineRule="exact"/>
              <w:rPr>
                <w:sz w:val="1"/>
                <w:szCs w:val="1"/>
                <w:color w:val="auto"/>
              </w:rPr>
            </w:pPr>
          </w:p>
        </w:tc>
        <w:tc>
          <w:tcPr>
            <w:tcW w:w="2940" w:type="dxa"/>
            <w:vAlign w:val="bottom"/>
            <w:gridSpan w:val="1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385"/>
        </w:trPr>
        <w:tc>
          <w:tcPr>
            <w:tcW w:w="7280" w:type="dxa"/>
            <w:vAlign w:val="bottom"/>
            <w:gridSpan w:val="27"/>
          </w:tcPr>
          <w:p>
            <w:pPr>
              <w:spacing w:after="0"/>
              <w:rPr>
                <w:sz w:val="20"/>
                <w:szCs w:val="20"/>
                <w:color w:val="auto"/>
              </w:rPr>
            </w:pPr>
            <w:r>
              <w:rPr>
                <w:rFonts w:ascii="Times New Roman" w:cs="Times New Roman" w:eastAsia="Times New Roman" w:hAnsi="Times New Roman"/>
                <w:sz w:val="18"/>
                <w:szCs w:val="18"/>
                <w:color w:val="0563C1"/>
              </w:rPr>
              <w:t>DELIVERY OF PROXY MATERIALS TO HOUSEHOLDS</w:t>
            </w: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00" w:type="dxa"/>
            <w:vAlign w:val="bottom"/>
            <w:tcBorders>
              <w:top w:val="single" w:sz="8" w:color="0563C1"/>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8"/>
              </w:rPr>
              <w:t>APPENDIX</w:t>
            </w:r>
          </w:p>
        </w:tc>
        <w:tc>
          <w:tcPr>
            <w:tcW w:w="3500" w:type="dxa"/>
            <w:vAlign w:val="bottom"/>
            <w:tcBorders>
              <w:top w:val="single" w:sz="8" w:color="0563C1"/>
            </w:tcBorders>
            <w:gridSpan w:val="18"/>
          </w:tcPr>
          <w:p>
            <w:pPr>
              <w:spacing w:after="0"/>
              <w:rPr>
                <w:sz w:val="24"/>
                <w:szCs w:val="24"/>
                <w:color w:val="auto"/>
              </w:rPr>
            </w:pPr>
          </w:p>
        </w:tc>
        <w:tc>
          <w:tcPr>
            <w:tcW w:w="288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424815</wp:posOffset>
            </wp:positionV>
            <wp:extent cx="594042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20"/>
          </w:cols>
          <w:pgMar w:left="1440" w:top="634" w:right="10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320040</wp:posOffset>
            </wp:positionV>
            <wp:extent cx="183451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22960"/>
                    </a:xfrm>
                    <a:prstGeom prst="rect">
                      <a:avLst/>
                    </a:prstGeom>
                    <a:noFill/>
                  </pic:spPr>
                </pic:pic>
              </a:graphicData>
            </a:graphic>
          </wp:anchor>
        </w:drawing>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189 Second Avenue, Suite 2S, New York, New York 10003</w:t>
      </w:r>
    </w:p>
    <w:p>
      <w:pPr>
        <w:spacing w:after="0" w:line="1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2024 VIRTUAL ANNUAL MEETING OF STOCKHOLDERS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2:00 P.M., EASTERN TIME: THURSDAY, DECEMBER 5, 2024</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Registration Deadline to Participate in Our 2024 Virtual Annual Meeting</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5:00 p.m., Eastern Time: Monday, December 2,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This proxy statement (the “Proxy Statement”) is furnished in connection with the solicitation by the Board of</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Directors (our “Board”) of Reading International, Inc. (our “Company,” “Reading,” “we,” “us,” or “our”) of proxies for use at our 2024 Annual Meeting to be held in a virtual format via the Internet on Thursday, December 5, 2024, commencing at 2:00 p.m., Eastern Time, or at any adjournment or postponement thereof.</w:t>
      </w:r>
    </w:p>
    <w:p>
      <w:pPr>
        <w:spacing w:after="0" w:line="131" w:lineRule="exact"/>
        <w:rPr>
          <w:sz w:val="20"/>
          <w:szCs w:val="20"/>
          <w:color w:val="auto"/>
        </w:rPr>
      </w:pPr>
    </w:p>
    <w:p>
      <w:pPr>
        <w:jc w:val="both"/>
        <w:ind w:left="180" w:right="279" w:firstLine="648"/>
        <w:spacing w:after="0" w:line="237" w:lineRule="auto"/>
        <w:rPr>
          <w:sz w:val="20"/>
          <w:szCs w:val="20"/>
          <w:color w:val="auto"/>
        </w:rPr>
      </w:pPr>
      <w:r>
        <w:rPr>
          <w:rFonts w:ascii="Times New Roman" w:cs="Times New Roman" w:eastAsia="Times New Roman" w:hAnsi="Times New Roman"/>
          <w:sz w:val="18"/>
          <w:szCs w:val="18"/>
          <w:color w:val="auto"/>
        </w:rPr>
        <w:t>As of October 15, 2024, the record date for our Annual Meeting (the “Record Date”), there were 1,680,590 shares of our Class B Voting Common Stock (“Class B Stock”) outstanding, held by 189 stockholders of record.</w:t>
      </w:r>
    </w:p>
    <w:p>
      <w:pPr>
        <w:spacing w:after="0" w:line="131" w:lineRule="exact"/>
        <w:rPr>
          <w:sz w:val="20"/>
          <w:szCs w:val="20"/>
          <w:color w:val="auto"/>
        </w:rPr>
      </w:pPr>
    </w:p>
    <w:p>
      <w:pPr>
        <w:jc w:val="both"/>
        <w:ind w:left="180" w:right="279" w:firstLine="648"/>
        <w:spacing w:after="0" w:line="237" w:lineRule="auto"/>
        <w:rPr>
          <w:sz w:val="20"/>
          <w:szCs w:val="20"/>
          <w:color w:val="auto"/>
        </w:rPr>
      </w:pPr>
      <w:r>
        <w:rPr>
          <w:rFonts w:ascii="Times New Roman" w:cs="Times New Roman" w:eastAsia="Times New Roman" w:hAnsi="Times New Roman"/>
          <w:sz w:val="18"/>
          <w:szCs w:val="18"/>
          <w:color w:val="auto"/>
        </w:rPr>
        <w:t>When proxies are properly executed and received, the shares represented thereby will be voted at our Annual Meeting in accordance with the directions noted thereon.</w:t>
      </w:r>
    </w:p>
    <w:p>
      <w:pPr>
        <w:spacing w:after="0" w:line="131" w:lineRule="exact"/>
        <w:rPr>
          <w:sz w:val="20"/>
          <w:szCs w:val="20"/>
          <w:color w:val="auto"/>
        </w:rPr>
      </w:pPr>
    </w:p>
    <w:p>
      <w:pPr>
        <w:ind w:left="180" w:right="1139" w:firstLine="648"/>
        <w:spacing w:after="0" w:line="263" w:lineRule="auto"/>
        <w:rPr>
          <w:sz w:val="20"/>
          <w:szCs w:val="20"/>
          <w:color w:val="auto"/>
        </w:rPr>
      </w:pPr>
      <w:r>
        <w:rPr>
          <w:rFonts w:ascii="Times New Roman" w:cs="Times New Roman" w:eastAsia="Times New Roman" w:hAnsi="Times New Roman"/>
          <w:sz w:val="17"/>
          <w:szCs w:val="17"/>
          <w:color w:val="auto"/>
        </w:rPr>
        <w:t>Our Proxy Statement and Annual Report are both available free of charge at https://investor.readingrdi.com/financial-information/annual-reports and at www.envisionreports.com/RDI.</w:t>
      </w: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Annual Meeting will be hosted on www.meetnow.global/MYPR77Z (“Annual Meeting Website”).</w:t>
      </w:r>
    </w:p>
    <w:p>
      <w:pPr>
        <w:spacing w:after="0" w:line="302" w:lineRule="exact"/>
        <w:rPr>
          <w:sz w:val="20"/>
          <w:szCs w:val="20"/>
          <w:color w:val="auto"/>
        </w:rPr>
      </w:pPr>
    </w:p>
    <w:p>
      <w:pPr>
        <w:ind w:left="180" w:right="2339" w:firstLine="2789"/>
        <w:spacing w:after="0" w:line="385" w:lineRule="auto"/>
        <w:rPr>
          <w:sz w:val="20"/>
          <w:szCs w:val="20"/>
          <w:color w:val="auto"/>
        </w:rPr>
      </w:pPr>
      <w:r>
        <w:rPr>
          <w:rFonts w:ascii="Calibri" w:cs="Calibri" w:eastAsia="Calibri" w:hAnsi="Calibri"/>
          <w:sz w:val="18"/>
          <w:szCs w:val="18"/>
          <w:b w:val="1"/>
          <w:bCs w:val="1"/>
          <w:color w:val="auto"/>
        </w:rPr>
        <w:t xml:space="preserve">ABOUT our virtual ANNUAL MEETING AND VOTING </w:t>
      </w:r>
      <w:r>
        <w:rPr>
          <w:rFonts w:ascii="Times New Roman" w:cs="Times New Roman" w:eastAsia="Times New Roman" w:hAnsi="Times New Roman"/>
          <w:sz w:val="18"/>
          <w:szCs w:val="18"/>
          <w:b w:val="1"/>
          <w:bCs w:val="1"/>
          <w:color w:val="auto"/>
        </w:rPr>
        <w:t>How do I register to Participate in the Virtual Annual Meeting?</w:t>
      </w:r>
    </w:p>
    <w:p>
      <w:pPr>
        <w:spacing w:after="0" w:line="1"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Our Annual Meeting will be a completely virtual meeting of stockholders, which will be conducted exclusively by webcast on our Annual Meeting Website. You are entitled to participate in and vote at our Annual Meeting if you were a registered Class B stockholder (i.e., you hold your shares through our transfer agent,</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Computershare, Inc.) as of the close of business on the Record Date, October 15, 2024, or if you are the beneficial owner of shares of Class B Stock and your shares are held in the name of an intermediary, such as a bank, broker, trust, agent or other nominee (a “Nominee”), you have received a valid proxy from that Nominee to vote such shares</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at our Annual Meeting. Only the holders of Class B Stock or of proxies to vote Class B Stock, may vote at, make nominations at, or bring matters before our Annual Meeting.</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If you were a registered stockholder of Class B Stock on the Record Date, you do not need to register to participate in our Annual Meeting as you will be automatically pre-registered by Computershare, Inc. Please visit our Annual Meeting Website and follow the instructions on the accompanying proxy card if you are a holder of Class B</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w:t>
      </w:r>
    </w:p>
    <w:p>
      <w:pPr>
        <w:spacing w:after="0" w:line="34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150495</wp:posOffset>
            </wp:positionV>
            <wp:extent cx="594042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ind w:left="840"/>
        <w:spacing w:after="0"/>
        <w:rPr>
          <w:sz w:val="20"/>
          <w:szCs w:val="20"/>
          <w:color w:val="auto"/>
        </w:rPr>
      </w:pPr>
      <w:r>
        <w:rPr>
          <w:rFonts w:ascii="Times New Roman" w:cs="Times New Roman" w:eastAsia="Times New Roman" w:hAnsi="Times New Roman"/>
          <w:sz w:val="18"/>
          <w:szCs w:val="18"/>
          <w:color w:val="auto"/>
        </w:rPr>
        <w:t>If you are a beneficial owner of Class B Stock, and your shares are held in the name of a Nominee, you</w:t>
      </w:r>
    </w:p>
    <w:p>
      <w:pPr>
        <w:spacing w:after="0" w:line="2" w:lineRule="exact"/>
        <w:rPr>
          <w:sz w:val="20"/>
          <w:szCs w:val="20"/>
          <w:color w:val="auto"/>
        </w:rPr>
      </w:pPr>
    </w:p>
    <w:p>
      <w:pPr>
        <w:ind w:left="180" w:right="279"/>
        <w:spacing w:after="0" w:line="226" w:lineRule="auto"/>
        <w:rPr>
          <w:sz w:val="20"/>
          <w:szCs w:val="20"/>
          <w:color w:val="auto"/>
        </w:rPr>
      </w:pPr>
      <w:r>
        <w:rPr>
          <w:rFonts w:ascii="Times New Roman" w:cs="Times New Roman" w:eastAsia="Times New Roman" w:hAnsi="Times New Roman"/>
          <w:sz w:val="18"/>
          <w:szCs w:val="18"/>
          <w:color w:val="auto"/>
        </w:rPr>
        <w:t>should receive from your Nominee a Voting Instruction Form (also known as a “VIF”). Please follow the instructions on your VIF.</w:t>
      </w:r>
    </w:p>
    <w:p>
      <w:pPr>
        <w:spacing w:after="0" w:line="130" w:lineRule="exact"/>
        <w:rPr>
          <w:sz w:val="20"/>
          <w:szCs w:val="20"/>
          <w:color w:val="auto"/>
        </w:rPr>
      </w:pPr>
    </w:p>
    <w:p>
      <w:pPr>
        <w:jc w:val="right"/>
        <w:ind w:left="180" w:right="279"/>
        <w:spacing w:after="0" w:line="216" w:lineRule="auto"/>
        <w:rPr>
          <w:sz w:val="20"/>
          <w:szCs w:val="20"/>
          <w:color w:val="auto"/>
        </w:rPr>
      </w:pPr>
      <w:r>
        <w:rPr>
          <w:rFonts w:ascii="Times New Roman" w:cs="Times New Roman" w:eastAsia="Times New Roman" w:hAnsi="Times New Roman"/>
          <w:sz w:val="18"/>
          <w:szCs w:val="18"/>
          <w:color w:val="auto"/>
        </w:rPr>
        <w:t>If you are a beneficial owner of Class B Stock and your shares are held in the name of a Nominee, you must register in advance to participate in our Annual Meeting. To register you must submit proof of your proxy power (a valid proxy), reflecting your stock holdings along with your name and email address to Computershare</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directly. Requests for registration must be labeled as a “Legal Proxy” and must be received no later than 5:00 p.m., Eastern Time, on Monday, December 2, 2024. Filling in and returning the VIF will not by itself register you to attend our Annual Meeting. Even if you fill in and return the VIF, you will still need to separately register. Beneficial</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owners of Class B Stock holding valid proxies will have the same rights to participate in, nominate directors, and bring matters before and vote at our Annual Meeting as stockholders of record, but only to the extent that such valid proxy specifically grants such rights. For convenience, when we make reference to “stockholders” in these materials,</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we mean both Class B stockholders of record as of the Record Date, and holders of valid proxies (to the extent rights to participate in, nominate directors, and bring matters before and vote at our Annual Meeting have been granted to such holder by such valid proxy). Your Nominee should have available for your use a form of valid proxy.</w:t>
      </w:r>
    </w:p>
    <w:p>
      <w:pPr>
        <w:spacing w:after="0" w:line="172" w:lineRule="exact"/>
        <w:rPr>
          <w:sz w:val="20"/>
          <w:szCs w:val="20"/>
          <w:color w:val="auto"/>
        </w:rPr>
      </w:pPr>
    </w:p>
    <w:p>
      <w:pPr>
        <w:jc w:val="both"/>
        <w:ind w:left="180" w:right="279" w:firstLine="648"/>
        <w:spacing w:after="0" w:line="226" w:lineRule="auto"/>
        <w:rPr>
          <w:sz w:val="20"/>
          <w:szCs w:val="20"/>
          <w:color w:val="auto"/>
        </w:rPr>
      </w:pPr>
      <w:r>
        <w:rPr>
          <w:rFonts w:ascii="Times New Roman" w:cs="Times New Roman" w:eastAsia="Times New Roman" w:hAnsi="Times New Roman"/>
          <w:sz w:val="18"/>
          <w:szCs w:val="18"/>
          <w:color w:val="auto"/>
        </w:rPr>
        <w:t>You will receive an email confirmation of your registration after Computershare receives your proxy registration materials. Please visit our Annual Meeting Website and follow the instructions on the proxy card or your VIF to access our Annual Meeting on the Internet.</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Requests for registration should be directed to us at the following:</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E-mail:</w:t>
      </w:r>
    </w:p>
    <w:p>
      <w:pPr>
        <w:spacing w:after="0" w:line="185" w:lineRule="exact"/>
        <w:rPr>
          <w:sz w:val="20"/>
          <w:szCs w:val="20"/>
          <w:color w:val="auto"/>
        </w:rPr>
      </w:pPr>
    </w:p>
    <w:p>
      <w:pPr>
        <w:ind w:left="840" w:right="2499"/>
        <w:spacing w:after="0" w:line="250" w:lineRule="auto"/>
        <w:rPr>
          <w:sz w:val="20"/>
          <w:szCs w:val="20"/>
          <w:color w:val="auto"/>
        </w:rPr>
      </w:pPr>
      <w:r>
        <w:rPr>
          <w:rFonts w:ascii="Times New Roman" w:cs="Times New Roman" w:eastAsia="Times New Roman" w:hAnsi="Times New Roman"/>
          <w:sz w:val="18"/>
          <w:szCs w:val="18"/>
          <w:color w:val="auto"/>
        </w:rPr>
        <w:t>Forward the email from your broker, or attach an image of your valid proxy, to legalproxy@computershare.com.</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mail:</w:t>
      </w:r>
    </w:p>
    <w:p>
      <w:pPr>
        <w:spacing w:after="0" w:line="18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Computershare, Inc.</w:t>
      </w:r>
    </w:p>
    <w:p>
      <w:pPr>
        <w:ind w:left="840"/>
        <w:spacing w:after="0" w:line="205" w:lineRule="auto"/>
        <w:rPr>
          <w:sz w:val="20"/>
          <w:szCs w:val="20"/>
          <w:color w:val="auto"/>
        </w:rPr>
      </w:pPr>
      <w:r>
        <w:rPr>
          <w:rFonts w:ascii="Times New Roman" w:cs="Times New Roman" w:eastAsia="Times New Roman" w:hAnsi="Times New Roman"/>
          <w:sz w:val="18"/>
          <w:szCs w:val="18"/>
          <w:color w:val="auto"/>
        </w:rPr>
        <w:t>Reading International, Inc. Legal Proxy</w:t>
      </w:r>
    </w:p>
    <w:p>
      <w:pPr>
        <w:ind w:left="840"/>
        <w:spacing w:after="0" w:line="204" w:lineRule="auto"/>
        <w:rPr>
          <w:sz w:val="20"/>
          <w:szCs w:val="20"/>
          <w:color w:val="auto"/>
        </w:rPr>
      </w:pPr>
      <w:r>
        <w:rPr>
          <w:rFonts w:ascii="Times New Roman" w:cs="Times New Roman" w:eastAsia="Times New Roman" w:hAnsi="Times New Roman"/>
          <w:sz w:val="18"/>
          <w:szCs w:val="18"/>
          <w:color w:val="auto"/>
        </w:rPr>
        <w:t>P.O. Box 43001</w:t>
      </w:r>
    </w:p>
    <w:p>
      <w:pPr>
        <w:ind w:left="84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 if I Only Hold Class A Non-Voting Stock?</w:t>
      </w:r>
    </w:p>
    <w:p>
      <w:pPr>
        <w:spacing w:after="0" w:line="162" w:lineRule="exact"/>
        <w:rPr>
          <w:sz w:val="20"/>
          <w:szCs w:val="20"/>
          <w:color w:val="auto"/>
        </w:rPr>
      </w:pPr>
    </w:p>
    <w:p>
      <w:pPr>
        <w:jc w:val="both"/>
        <w:ind w:left="180" w:right="279" w:firstLine="648"/>
        <w:spacing w:after="0" w:line="220" w:lineRule="auto"/>
        <w:rPr>
          <w:sz w:val="20"/>
          <w:szCs w:val="20"/>
          <w:color w:val="auto"/>
        </w:rPr>
      </w:pPr>
      <w:r>
        <w:rPr>
          <w:rFonts w:ascii="Times New Roman" w:cs="Times New Roman" w:eastAsia="Times New Roman" w:hAnsi="Times New Roman"/>
          <w:sz w:val="18"/>
          <w:szCs w:val="18"/>
          <w:color w:val="auto"/>
        </w:rPr>
        <w:t>Any stockholder that only holds Class A Non-Voting Common Stock (“Class A Stock”) will receive a courtesy notice regarding our 2024 Annual Meeting which will include instructions on how to attend. Holders of Class A Stock will only be permitted to attend the Annual Meeting in “listen only” mode and will have no right to communicate, participate in or vote at our 2024 Annual Meeting or any adjournment of postponement thereof.</w:t>
      </w: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 virtually?</w:t>
      </w:r>
    </w:p>
    <w:p>
      <w:pPr>
        <w:spacing w:after="0" w:line="162"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plugins. Note: Internet Explorer is not a supported browser.</w:t>
      </w:r>
    </w:p>
    <w:p>
      <w:pPr>
        <w:spacing w:after="0" w:line="124" w:lineRule="exact"/>
        <w:rPr>
          <w:sz w:val="20"/>
          <w:szCs w:val="20"/>
          <w:color w:val="auto"/>
        </w:rPr>
      </w:pPr>
    </w:p>
    <w:p>
      <w:pPr>
        <w:jc w:val="both"/>
        <w:ind w:left="180" w:right="279" w:firstLine="648"/>
        <w:spacing w:after="0" w:line="250" w:lineRule="auto"/>
        <w:rPr>
          <w:sz w:val="20"/>
          <w:szCs w:val="20"/>
          <w:color w:val="auto"/>
        </w:rPr>
      </w:pPr>
      <w:r>
        <w:rPr>
          <w:rFonts w:ascii="Times New Roman" w:cs="Times New Roman" w:eastAsia="Times New Roman" w:hAnsi="Times New Roman"/>
          <w:sz w:val="18"/>
          <w:szCs w:val="18"/>
          <w:color w:val="auto"/>
        </w:rPr>
        <w:t>Participants should ensure that they have a strong WiFi connection wherever they intend to participate in the Annual Meeting.</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We encourage you to access the meeting prior to the start time to allow time to resolve any technical issues</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that you might experience with logging in or participating in our Annual Meeting. Live technical support will be available if you have any problems accessing our Annual Meeting Website. If you need further assistance, you may call Local 1-888-724-2416 or International 1-781-575-2748.</w:t>
      </w:r>
    </w:p>
    <w:p>
      <w:pPr>
        <w:spacing w:after="0" w:line="1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b w:val="1"/>
          <w:bCs w:val="1"/>
          <w:color w:val="auto"/>
        </w:rPr>
        <w:t>What items of business will be voted on at our Annual Meeting?</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There are four (4) items of business scheduled to be considered for a vote at our Annual Meeting:</w:t>
      </w:r>
    </w:p>
    <w:p>
      <w:pPr>
        <w:spacing w:after="0" w:line="158" w:lineRule="exact"/>
        <w:rPr>
          <w:sz w:val="20"/>
          <w:szCs w:val="20"/>
          <w:color w:val="auto"/>
        </w:rPr>
      </w:pPr>
    </w:p>
    <w:p>
      <w:pPr>
        <w:ind w:left="1480" w:hanging="324"/>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five (5) Directors to our Board (the “Election of Directors”);</w:t>
      </w:r>
    </w:p>
    <w:p>
      <w:pPr>
        <w:spacing w:after="0" w:line="157" w:lineRule="exact"/>
        <w:rPr>
          <w:rFonts w:ascii="Times New Roman" w:cs="Times New Roman" w:eastAsia="Times New Roman" w:hAnsi="Times New Roman"/>
          <w:sz w:val="18"/>
          <w:szCs w:val="18"/>
          <w:color w:val="auto"/>
        </w:rPr>
      </w:pPr>
    </w:p>
    <w:p>
      <w:pPr>
        <w:jc w:val="both"/>
        <w:ind w:left="1480" w:right="279" w:hanging="324"/>
        <w:spacing w:after="0" w:line="226" w:lineRule="auto"/>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Ratification of the appointment of Grant Thornton LLP as the Company’s registered independent public accounting firm for the year ended December 31, 2024 (the “Independent Auditor Ratification Proposal”);</w:t>
      </w:r>
    </w:p>
    <w:p>
      <w:pPr>
        <w:spacing w:after="0" w:line="130" w:lineRule="exact"/>
        <w:rPr>
          <w:rFonts w:ascii="Times New Roman" w:cs="Times New Roman" w:eastAsia="Times New Roman" w:hAnsi="Times New Roman"/>
          <w:sz w:val="18"/>
          <w:szCs w:val="18"/>
          <w:color w:val="auto"/>
        </w:rPr>
      </w:pPr>
    </w:p>
    <w:p>
      <w:pPr>
        <w:ind w:left="1480" w:right="279" w:hanging="324"/>
        <w:spacing w:after="0" w:line="237" w:lineRule="auto"/>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Approval, on a non-binding, advisory basis, of the executive compensation of our named executive officers (the “Advisory Vote on Executive Officer Compensation Proposal”); and</w:t>
      </w:r>
    </w:p>
    <w:p>
      <w:pPr>
        <w:spacing w:after="0" w:line="131" w:lineRule="exact"/>
        <w:rPr>
          <w:rFonts w:ascii="Times New Roman" w:cs="Times New Roman" w:eastAsia="Times New Roman" w:hAnsi="Times New Roman"/>
          <w:sz w:val="18"/>
          <w:szCs w:val="18"/>
          <w:color w:val="auto"/>
        </w:rPr>
      </w:pPr>
    </w:p>
    <w:p>
      <w:pPr>
        <w:ind w:left="1480" w:right="419" w:hanging="324"/>
        <w:spacing w:after="0" w:line="239" w:lineRule="auto"/>
        <w:tabs>
          <w:tab w:leader="none" w:pos="1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4: Approval of an amendment to the Reading International, Inc. 2020 Stock Incentive Plan to increase the number of Shares of Class A Stock reserved for issuance thereunder by 3,500,000 Shares (the “Increase to Share Reserve under the 2020 Stock Incentive Plan Proposal”).</w:t>
      </w:r>
    </w:p>
    <w:p>
      <w:pPr>
        <w:spacing w:after="0" w:line="131" w:lineRule="exact"/>
        <w:rPr>
          <w:sz w:val="20"/>
          <w:szCs w:val="20"/>
          <w:color w:val="auto"/>
        </w:rPr>
      </w:pPr>
    </w:p>
    <w:p>
      <w:pPr>
        <w:ind w:left="180" w:right="279" w:firstLine="648"/>
        <w:spacing w:after="0" w:line="237" w:lineRule="auto"/>
        <w:rPr>
          <w:sz w:val="20"/>
          <w:szCs w:val="20"/>
          <w:color w:val="auto"/>
        </w:rPr>
      </w:pPr>
      <w:r>
        <w:rPr>
          <w:rFonts w:ascii="Times New Roman" w:cs="Times New Roman" w:eastAsia="Times New Roman" w:hAnsi="Times New Roman"/>
          <w:sz w:val="18"/>
          <w:szCs w:val="18"/>
          <w:color w:val="auto"/>
        </w:rPr>
        <w:t>We will also consider any other business that may properly come before our Annual Meeting or any adjournments or postponements thereof.</w:t>
      </w:r>
    </w:p>
    <w:p>
      <w:pPr>
        <w:spacing w:after="0" w:line="127" w:lineRule="exact"/>
        <w:rPr>
          <w:sz w:val="20"/>
          <w:szCs w:val="20"/>
          <w:color w:val="auto"/>
        </w:rPr>
      </w:pPr>
    </w:p>
    <w:p>
      <w:pPr>
        <w:jc w:val="right"/>
        <w:ind w:right="5379"/>
        <w:spacing w:after="0"/>
        <w:rPr>
          <w:sz w:val="20"/>
          <w:szCs w:val="20"/>
          <w:color w:val="auto"/>
        </w:rPr>
      </w:pPr>
      <w:r>
        <w:rPr>
          <w:rFonts w:ascii="Times New Roman" w:cs="Times New Roman" w:eastAsia="Times New Roman" w:hAnsi="Times New Roman"/>
          <w:sz w:val="17"/>
          <w:szCs w:val="17"/>
          <w:b w:val="1"/>
          <w:bCs w:val="1"/>
          <w:color w:val="auto"/>
        </w:rPr>
        <w:t>How does our Board recommend that I vote?</w:t>
      </w:r>
    </w:p>
    <w:p>
      <w:pPr>
        <w:spacing w:after="0" w:line="160" w:lineRule="exact"/>
        <w:rPr>
          <w:sz w:val="20"/>
          <w:szCs w:val="20"/>
          <w:color w:val="auto"/>
        </w:rPr>
      </w:pPr>
    </w:p>
    <w:p>
      <w:pPr>
        <w:jc w:val="right"/>
        <w:ind w:right="5419"/>
        <w:spacing w:after="0"/>
        <w:rPr>
          <w:sz w:val="20"/>
          <w:szCs w:val="20"/>
          <w:color w:val="auto"/>
        </w:rPr>
      </w:pPr>
      <w:r>
        <w:rPr>
          <w:rFonts w:ascii="Times New Roman" w:cs="Times New Roman" w:eastAsia="Times New Roman" w:hAnsi="Times New Roman"/>
          <w:sz w:val="18"/>
          <w:szCs w:val="18"/>
          <w:color w:val="auto"/>
        </w:rPr>
        <w:t>Our Board recommends that you vote:</w:t>
      </w:r>
    </w:p>
    <w:p>
      <w:pPr>
        <w:spacing w:after="0" w:line="158" w:lineRule="exact"/>
        <w:rPr>
          <w:sz w:val="20"/>
          <w:szCs w:val="20"/>
          <w:color w:val="auto"/>
        </w:rPr>
      </w:pPr>
    </w:p>
    <w:p>
      <w:pPr>
        <w:ind w:left="1480" w:hanging="324"/>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PROPOSAL 1: “FOR” the election of each of our nominees to our Board;</w:t>
      </w:r>
    </w:p>
    <w:p>
      <w:pPr>
        <w:spacing w:after="0" w:line="157"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PROPOSAL 2: “FOR” the Independent Auditor Ratification Proposal;</w:t>
      </w:r>
    </w:p>
    <w:p>
      <w:pPr>
        <w:spacing w:after="0" w:line="157"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PROPOSAL 3: “FOR” the Advisory Vote on Executive Officer Compensation Proposal; and</w:t>
      </w:r>
    </w:p>
    <w:p>
      <w:pPr>
        <w:spacing w:after="0" w:line="130" w:lineRule="exact"/>
        <w:rPr>
          <w:rFonts w:ascii="Times New Roman" w:cs="Times New Roman" w:eastAsia="Times New Roman" w:hAnsi="Times New Roman"/>
          <w:sz w:val="18"/>
          <w:szCs w:val="18"/>
          <w:color w:val="auto"/>
        </w:rPr>
      </w:pPr>
    </w:p>
    <w:p>
      <w:pPr>
        <w:ind w:left="1480" w:right="279" w:hanging="324"/>
        <w:spacing w:after="0" w:line="250" w:lineRule="auto"/>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PROPOSAL 4: “FOR” the Increase to Share Reserve under the 2020 Stock Incentive Plan Proposal.</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our Annual Meeting?</w:t>
      </w:r>
    </w:p>
    <w:p>
      <w:pPr>
        <w:spacing w:after="0" w:line="162"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our Annual Meeting. If you grant a proxy, the persons named as proxies will have the discretion to vote your shares on any additional matters properly presented for a vote at our Annual Meeting, unless you indicate to</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contrary on such proxy.</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will the meeting be conducted and how do I participate?</w:t>
      </w:r>
    </w:p>
    <w:p>
      <w:pPr>
        <w:spacing w:after="0" w:line="162"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As a corporation organized under the laws of the State of Nevada, our Company is subject to the Nevada corporation laws codified in Chapter 78 of the Nevada Revised Statutes (the “Nevada Corporation Law”). The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Nevada Corporation Law provides for the conduct of virtual meetings, and our Class B stockholders’ remote participation at such a meeting via the procedures described in these materials is considered to be “participation” at that meeting for purposes of establishing a quorum, for voting and for all other purposes. The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Nevada Corporation Law also requires that we verify the identity of each person participating through such means and provide our Class B stockholders a reasonable opportunity to participate in the meeting, to vote on matters submitted to the stockholders, including an opportunity to communicate, and to read or hear the proceedings of the meeting in a</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substantially concurrent manner with such proceedings. In order to satisfy these requirements, we have adopted certain registration requirements and communication provisions as further described in these materials.</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As an initial step, in order to participate in our Annual Meeting, you will need to register in advance of the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 xml:space="preserve">meeting if you did not hold shares of Class B Stock of record at October 15, 2024, and were therefore not automatically pre-registered by Computershare. If you own Class B shares held in the name of a Nominee, please make sure to follow the instructions in the section above – </w:t>
      </w:r>
      <w:r>
        <w:rPr>
          <w:rFonts w:ascii="Times New Roman" w:cs="Times New Roman" w:eastAsia="Times New Roman" w:hAnsi="Times New Roman"/>
          <w:sz w:val="18"/>
          <w:szCs w:val="18"/>
          <w:i w:val="1"/>
          <w:iCs w:val="1"/>
          <w:color w:val="auto"/>
        </w:rPr>
        <w:t>How do I Register to Participate in the Virtual Annual</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Meeting </w:t>
      </w:r>
      <w:r>
        <w:rPr>
          <w:rFonts w:ascii="Times New Roman" w:cs="Times New Roman" w:eastAsia="Times New Roman" w:hAnsi="Times New Roman"/>
          <w:sz w:val="18"/>
          <w:szCs w:val="18"/>
          <w:color w:val="auto"/>
        </w:rPr>
        <w:t>- in order to register for our Annual Meeting. We have adopted this registration procedure in order to assure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integrity of our Annual Meeting and the voting that takes place at that meeting and to comply with the Nevada</w:t>
      </w:r>
    </w:p>
    <w:p>
      <w:pPr>
        <w:spacing w:after="0" w:line="1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8" w:name="page9"/>
    <w:bookmarkEnd w:id="8"/>
    <w:p>
      <w:pPr>
        <w:jc w:val="both"/>
        <w:ind w:left="180" w:right="279"/>
        <w:spacing w:after="0" w:line="250" w:lineRule="auto"/>
        <w:rPr>
          <w:sz w:val="20"/>
          <w:szCs w:val="20"/>
          <w:color w:val="auto"/>
        </w:rPr>
      </w:pPr>
      <w:r>
        <w:rPr>
          <w:rFonts w:ascii="Times New Roman" w:cs="Times New Roman" w:eastAsia="Times New Roman" w:hAnsi="Times New Roman"/>
          <w:sz w:val="18"/>
          <w:szCs w:val="18"/>
          <w:color w:val="auto"/>
        </w:rPr>
        <w:t>Corporation Law. All registered Class B stockholders will be able to participate in our Annual Meeting webcast, ask a question and make nominations and vote online.</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accordance with our Bylaws, Margaret Cotter, as the Chair of the Board, will be the Presiding Officer of</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our Annual Meeting. S. Craig Tompkins has been designated by the Board to serve as Secretary for our Annual Meeting.</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Ms. Margaret Cotter, Ms. Ellen Cotter, our President and Chief Executive Officer, and other members of management may address attendees following our Annual Meeting. Stockholders desiring to pose questions to our management are encouraged to send their questions to us, care of the Secretary of our Annual Meeting, in advance of</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our Annual Meeting, so as to assist our management in preparing appropriate responses and to facilitate compliance with applicable securities laws. Questions may be submitted to us in advance via email at 2024AnnualMeeting@ReadingRDI.com or during the course of our Annual Meeting using the log-in and meeting text</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procedure.</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Presiding Officer has broad authority to conduct our Annual Meeting in an orderly and timely</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manner. This authority includes establishing rules for stockholders who wish to address the meeting or bring matters before the Annual Meeting, which rules will be posted to our Annual Meeting Website. These rules reflect the fact that there will be no physical meeting, and that stockholder communications during the meeting will need to be made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by text rather than orally. The Presiding Officer may exercise broad discretion in responding to such texts and in communicating such texts with other participants at the meeting. In light of the need to conclude our Annual Meeting within a reasonable period of time, there can be no assurance that every stockholder who wishes to communicate with</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us during the meeting will be able to do so or that every question will be answered. The Presiding Officer has authority, in her discretion, to recess or adjourn our Annual Meeting at any time. Only Class B stockholders are entitled to participate in our Annual Meeting. Any questions or disputes as to who may or may not participate in our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Annual Meeting will be determined by the Presiding Officer.</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Only  such  business  as  shall  have  been  properly  brought  before  our  Annual  Meeting  shall  be</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conducted. Pursuant to our governing documents and applicable Nevada law, in order to be properly brought before the Annual Meeting, such business must be brought, (i) by or at the direction of the Chair, or our Board, or (ii) by a Class B stockholder.</w:t>
      </w:r>
    </w:p>
    <w:p>
      <w:pPr>
        <w:spacing w:after="0" w:line="131"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Whether or not you have previous experience registering to participate in our virtual annual meetings, we encourage you to register as soon as possible, so as to allow time to take corrective action prior to the Registration Deadline in the event any issues should arise as to your registration. Also, if you are the beneficial owner, but not the</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record holder of shares of Class B Stock, you will need to obtain a valid proxy from the record holder of such Class B Stock in order to vote such shares electronically at our Annual Meeting, to nominate candidates to run for director and/or to bring non-agenda matters before the meeting. Beneficial owners of shares of Class B Stock will be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permitted to participate in the meeting but, as noted above, in order to vote any such shares, they will need to obtain from the record holder a valid proxy to vote such shares.</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If you register to participate in our Annual Meeting, you will be provided with a control number and a unique link that will allow you to log-in to our Annual Meeting and to receive streaming audio and video of the meeting. Upon completing your registration, you will receive further instructions via email. Please be sure to follow</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the instructions that will be delivered to your email approximately one (1) hour prior to the start of our Annual Meeting. Stockholders will be able to log into the meeting approximately fifteen (15) minutes prior to the start of the meeting. This log-in process will likely not be instantaneous, so please allow a reasonable amount of time to log-in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prior to the scheduled 2:00 p.m. Eastern Time commencement time for our Annual Meeting.</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Once logged-in, if you are a holder of record of Class B Stock or the holder of a valid proxy to vote shares of</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Class B Stock, you will be able to text questions or other communication to the Secretary of the Meeting (the “Meeting Text Function”). Any Class B Stockholder wishing to nominate a candidate for election to our Board, in addition to the candidates nominated by our Board, to comment on a matter before the meeting, or to bring a new</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matter before the meeting may do so using this Meeting Text Function. Note, the nomination of an individual to stand for election as a director will require (i) a second (which may also be provided by using the Meeting Text Function by any other Class B stockholder registered to participate in the meeting) and, (ii) prior to the stockholder vote, receipt by</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the Secretary of the Meeting of the signed consent of such nominee to stand for election and an undertaking by such nominee to serve as a director if so elected.</w:t>
      </w:r>
    </w:p>
    <w:p>
      <w:pPr>
        <w:spacing w:after="0" w:line="130" w:lineRule="exact"/>
        <w:rPr>
          <w:sz w:val="20"/>
          <w:szCs w:val="20"/>
          <w:color w:val="auto"/>
        </w:rPr>
      </w:pPr>
    </w:p>
    <w:p>
      <w:pPr>
        <w:jc w:val="both"/>
        <w:ind w:left="180" w:right="279" w:firstLine="648"/>
        <w:spacing w:after="0" w:line="237" w:lineRule="auto"/>
        <w:rPr>
          <w:sz w:val="20"/>
          <w:szCs w:val="20"/>
          <w:color w:val="auto"/>
        </w:rPr>
      </w:pPr>
      <w:r>
        <w:rPr>
          <w:rFonts w:ascii="Times New Roman" w:cs="Times New Roman" w:eastAsia="Times New Roman" w:hAnsi="Times New Roman"/>
          <w:sz w:val="18"/>
          <w:szCs w:val="18"/>
          <w:color w:val="auto"/>
        </w:rPr>
        <w:t>As customary with our physical annual meetings, no recording of the meeting will be permitted. By registering for and participating in our Annual Meeting you are agreeing not to make any such recording.</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18"/>
          <w:szCs w:val="18"/>
          <w:b w:val="1"/>
          <w:bCs w:val="1"/>
          <w:color w:val="auto"/>
        </w:rPr>
        <w:t>Am I eligible to vote?</w:t>
      </w:r>
    </w:p>
    <w:p>
      <w:pPr>
        <w:spacing w:after="0" w:line="162"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You may vote your shares of Class B Stock at our Annual Meeting if you were a holder of record of Class B Stock on the Record Date. If, on the Record Date, your shares were held not in your name, but rather in an account at</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a Nominee, then you are the “beneficial owner” of such shares and you have the right to direct your Nominee regarding how to vote the shares in your account. As a beneficial owner of shares of Class B Stock, you are invited to participate in our Annual Meeting. However, if you are not a stockholder of record of such shares, you may not</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participate in, vote your shares, nominate candidates to run for director and/or bring non-agenda matters before our Annual Meeting, unless you obtain a valid proxy from your Nominee.</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copy of the proxy materials?</w:t>
      </w:r>
    </w:p>
    <w:p>
      <w:pPr>
        <w:spacing w:after="0" w:line="148" w:lineRule="exact"/>
        <w:rPr>
          <w:sz w:val="20"/>
          <w:szCs w:val="20"/>
          <w:color w:val="auto"/>
        </w:rPr>
      </w:pPr>
    </w:p>
    <w:p>
      <w:pPr>
        <w:ind w:left="840"/>
        <w:spacing w:after="0"/>
        <w:tabs>
          <w:tab w:leader="none" w:pos="8480" w:val="left"/>
        </w:tabs>
        <w:rPr>
          <w:sz w:val="20"/>
          <w:szCs w:val="20"/>
          <w:color w:val="auto"/>
        </w:rPr>
      </w:pPr>
      <w:r>
        <w:rPr>
          <w:rFonts w:ascii="Times New Roman" w:cs="Times New Roman" w:eastAsia="Times New Roman" w:hAnsi="Times New Roman"/>
          <w:sz w:val="18"/>
          <w:szCs w:val="18"/>
          <w:color w:val="auto"/>
        </w:rPr>
        <w:t>You may receive more than one copy of the proxy materials and/or multiple proxy cards (or VIFs).</w:t>
      </w:r>
      <w:r>
        <w:rPr>
          <w:sz w:val="20"/>
          <w:szCs w:val="20"/>
          <w:color w:val="auto"/>
        </w:rPr>
        <w:tab/>
      </w:r>
      <w:r>
        <w:rPr>
          <w:rFonts w:ascii="Times New Roman" w:cs="Times New Roman" w:eastAsia="Times New Roman" w:hAnsi="Times New Roman"/>
          <w:sz w:val="17"/>
          <w:szCs w:val="17"/>
          <w:color w:val="auto"/>
        </w:rPr>
        <w:t>For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example, if you hold your shares of Class B Stock in more than one brokerage account, you may receive a separate set of proxy materials or a separate VIF for each brokerage account in which you hold shares. If you are a stockholder of record and your shares of Class B Stock are registered in more than one name, you may receive a separate copy of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proxy materials or a separate proxy card under each name under which your shares are so registered.</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To vote all of your shares of Class B Stock by proxy card, you must either (i) complete, date, sign and return</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each proxy card (and/or VIF) that you receive or (ii) vote over the Internet or by telephone the shares represented by each proxy card (and/or VIF) that you receive. Alternatively, if you are a record owner or hold a valid proxy to vote such shares, you can vote your shares yourself, in whole or in part, electronically at our Annual Meeting.</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62" w:lineRule="exact"/>
        <w:rPr>
          <w:sz w:val="20"/>
          <w:szCs w:val="20"/>
          <w:color w:val="auto"/>
        </w:rPr>
      </w:pPr>
    </w:p>
    <w:p>
      <w:pPr>
        <w:jc w:val="both"/>
        <w:ind w:left="180" w:right="279" w:firstLine="648"/>
        <w:spacing w:after="0" w:line="226" w:lineRule="auto"/>
        <w:rPr>
          <w:sz w:val="20"/>
          <w:szCs w:val="20"/>
          <w:color w:val="auto"/>
        </w:rPr>
      </w:pPr>
      <w:r>
        <w:rPr>
          <w:rFonts w:ascii="Times New Roman" w:cs="Times New Roman" w:eastAsia="Times New Roman" w:hAnsi="Times New Roman"/>
          <w:sz w:val="18"/>
          <w:szCs w:val="18"/>
          <w:color w:val="auto"/>
        </w:rPr>
        <w:t>Many stockholders hold their shares through a broker, bank, trustee, agent or other nominee rather than directly in their own name. As summarized below, there are some differences in how stockholders of record and beneficial owners are treated.</w:t>
      </w:r>
    </w:p>
    <w:p>
      <w:pPr>
        <w:spacing w:after="0" w:line="127" w:lineRule="exact"/>
        <w:rPr>
          <w:sz w:val="20"/>
          <w:szCs w:val="20"/>
          <w:color w:val="auto"/>
        </w:rPr>
      </w:pPr>
    </w:p>
    <w:p>
      <w:pPr>
        <w:jc w:val="both"/>
        <w:ind w:left="180" w:right="279"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you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the stockholder of record with respect to those shares and these proxy materials are being sent directly to</w:t>
      </w:r>
    </w:p>
    <w:p>
      <w:pPr>
        <w:jc w:val="both"/>
        <w:ind w:left="180" w:right="279"/>
        <w:spacing w:after="0" w:line="207" w:lineRule="auto"/>
        <w:rPr>
          <w:sz w:val="20"/>
          <w:szCs w:val="20"/>
          <w:color w:val="auto"/>
        </w:rPr>
      </w:pPr>
      <w:r>
        <w:rPr>
          <w:rFonts w:ascii="Times New Roman" w:cs="Times New Roman" w:eastAsia="Times New Roman" w:hAnsi="Times New Roman"/>
          <w:sz w:val="18"/>
          <w:szCs w:val="18"/>
          <w:color w:val="auto"/>
        </w:rPr>
        <w:t>you. As the stockholder of record of Class B Stock, you have the right to vote electronically at the meeting. If you choose to do so, you can vote electronically by participating in our Annual Meeting and using the voting function (the “Meeting Voting Function”) of the unique link provided to you after you log-in to our Annual Meeting Website. Even if you plan to participate in our Annual Meeting, we recommend that you vote your shares in advance as described</w:t>
      </w:r>
    </w:p>
    <w:p>
      <w:pPr>
        <w:spacing w:after="0" w:line="1"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below so that your vote will be counted, if you decide later not to participate in our Annual Meeting. As a stockholder of record of Class B Stock, you are also entitled to nominate additional candidates for election to our Board and to bring before the meeting other matters proper for consideration by stockholders at our Annual Meeting.</w:t>
      </w:r>
    </w:p>
    <w:p>
      <w:pPr>
        <w:spacing w:after="0" w:line="127" w:lineRule="exact"/>
        <w:rPr>
          <w:sz w:val="20"/>
          <w:szCs w:val="20"/>
          <w:color w:val="auto"/>
        </w:rPr>
      </w:pPr>
    </w:p>
    <w:p>
      <w:pPr>
        <w:jc w:val="both"/>
        <w:ind w:left="180" w:right="279"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If you hold your shares through a Nominee rather than directly in your own name,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considered the beneficial owner of such shares, and the proxy materials are being forwarded to you by your</w:t>
      </w: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Nominee, who is the stockholder of record with respect to those shares. If you are the beneficial owner of shares of Class B Stock, while you are eligible to participate in our Annual Meeting, you must first obtain a valid proxy from your Nominee, giving you the right to register to attend and participate in the meeting and to vote the shares at the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meeting. You will need to contact your Nominee to obtain a valid proxy in order to register to attend and participate in the meeting and to vote such shares using the Meeting Voting Function. Unless provided with proxy authority, beneficial owners of Class B Stock are not entitled to nominate additional candidates for election to our Board or to</w:t>
      </w:r>
    </w:p>
    <w:p>
      <w:pPr>
        <w:spacing w:after="0" w:line="2" w:lineRule="exact"/>
        <w:rPr>
          <w:sz w:val="20"/>
          <w:szCs w:val="20"/>
          <w:color w:val="auto"/>
        </w:rPr>
      </w:pPr>
    </w:p>
    <w:p>
      <w:pPr>
        <w:ind w:left="180" w:right="1599"/>
        <w:spacing w:after="0" w:line="403" w:lineRule="auto"/>
        <w:rPr>
          <w:sz w:val="20"/>
          <w:szCs w:val="20"/>
          <w:color w:val="auto"/>
        </w:rPr>
      </w:pPr>
      <w:r>
        <w:rPr>
          <w:rFonts w:ascii="Times New Roman" w:cs="Times New Roman" w:eastAsia="Times New Roman" w:hAnsi="Times New Roman"/>
          <w:sz w:val="18"/>
          <w:szCs w:val="18"/>
          <w:color w:val="auto"/>
        </w:rPr>
        <w:t xml:space="preserve">bring before the meeting any other matters for consideration by stockholders at our Annual Meeting. </w:t>
      </w:r>
      <w:r>
        <w:rPr>
          <w:rFonts w:ascii="Times New Roman" w:cs="Times New Roman" w:eastAsia="Times New Roman" w:hAnsi="Times New Roman"/>
          <w:sz w:val="18"/>
          <w:szCs w:val="18"/>
          <w:b w:val="1"/>
          <w:bCs w:val="1"/>
          <w:color w:val="auto"/>
        </w:rPr>
        <w:t>How do I vote?</w:t>
      </w: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Proxies are solicited by our Board to give holders of record of our Class B Stock the opportunity to vote their shares, whether or not they participate in our Annual Meeting. If you are a holder of record of shares of our Class B</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Stock as of the Record Date, you have the right to vote such shares at our Annual Meeting. Beneficial owners, who are not the record owners of Class B Stock, will need to obtain a valid proxy from the record holder of such shares. Even if you plan to participate in our Annual Meeting, we recommend that you vote your shares in advance as described</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below so that your vote will be counted if you decide later not to or for any reason cannot participate in our Annual Meeting. You can vote by using any of the following methods:</w:t>
      </w:r>
    </w:p>
    <w:p>
      <w:pPr>
        <w:spacing w:after="0" w:line="1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10" w:name="page11"/>
    <w:bookmarkEnd w:id="10"/>
    <w:p>
      <w:pPr>
        <w:jc w:val="both"/>
        <w:ind w:left="1480" w:right="279" w:hanging="324"/>
        <w:spacing w:after="0" w:line="224" w:lineRule="auto"/>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Internet</w:t>
      </w:r>
      <w:r>
        <w:rPr>
          <w:rFonts w:ascii="Times New Roman" w:cs="Times New Roman" w:eastAsia="Times New Roman" w:hAnsi="Times New Roman"/>
          <w:sz w:val="18"/>
          <w:szCs w:val="18"/>
          <w:color w:val="auto"/>
        </w:rPr>
        <w:t xml:space="preserve"> — Holders of record of our Class B Stock may submit proxies over the Internet by following the instructions on the proxy card. Beneficial owners of our Class B Stock who hold a valid proxy may vote by Internet by following the instructions on the VIF sent to them by their Nominee.</w:t>
      </w:r>
    </w:p>
    <w:p>
      <w:pPr>
        <w:spacing w:after="0" w:line="131" w:lineRule="exact"/>
        <w:rPr>
          <w:rFonts w:ascii="Times New Roman" w:cs="Times New Roman" w:eastAsia="Times New Roman" w:hAnsi="Times New Roman"/>
          <w:sz w:val="18"/>
          <w:szCs w:val="18"/>
          <w:color w:val="auto"/>
        </w:rPr>
      </w:pPr>
    </w:p>
    <w:p>
      <w:pPr>
        <w:jc w:val="both"/>
        <w:ind w:left="1480" w:right="279" w:hanging="324"/>
        <w:spacing w:after="0" w:line="217" w:lineRule="auto"/>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xml:space="preserv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Beneficial owners of our Class B Stock living in the United States or Canada and who have received a VIF by mail from their Nominee and who hold a valid proxy may vote by phone by calling the number specified on the VIF. Beneficial owners should check the VIF for telephone voting availability.</w:t>
      </w:r>
    </w:p>
    <w:p>
      <w:pPr>
        <w:spacing w:after="0" w:line="134" w:lineRule="exact"/>
        <w:rPr>
          <w:rFonts w:ascii="Times New Roman" w:cs="Times New Roman" w:eastAsia="Times New Roman" w:hAnsi="Times New Roman"/>
          <w:sz w:val="18"/>
          <w:szCs w:val="18"/>
          <w:color w:val="auto"/>
        </w:rPr>
      </w:pPr>
    </w:p>
    <w:p>
      <w:pPr>
        <w:jc w:val="both"/>
        <w:ind w:left="1480" w:right="279" w:hanging="324"/>
        <w:spacing w:after="0" w:line="217" w:lineRule="auto"/>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xml:space="preserve"> — Holders of record of our Class B Stock who have received or downloaded a paper copy of a proxy card may submit proxies by completing, signing, and dating their proxy card and mailing it in the accompanying pre-addressed envelope. Beneficial owners of our Class B Stock who have received a VIF from their Nominee may return the VIF by mail as set forth on the VIF. Proxies submitted by mail must be received by the Inspector of Elections before the polls are closed for our Annual Meeting.</w:t>
      </w:r>
    </w:p>
    <w:p>
      <w:pPr>
        <w:spacing w:after="0" w:line="132" w:lineRule="exact"/>
        <w:rPr>
          <w:rFonts w:ascii="Times New Roman" w:cs="Times New Roman" w:eastAsia="Times New Roman" w:hAnsi="Times New Roman"/>
          <w:sz w:val="18"/>
          <w:szCs w:val="18"/>
          <w:color w:val="auto"/>
        </w:rPr>
      </w:pPr>
    </w:p>
    <w:p>
      <w:pPr>
        <w:jc w:val="both"/>
        <w:ind w:left="1480" w:right="279" w:hanging="324"/>
        <w:spacing w:after="0" w:line="214" w:lineRule="auto"/>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participating and using the Meeting Voting Function</w:t>
      </w:r>
      <w:r>
        <w:rPr>
          <w:rFonts w:ascii="Times New Roman" w:cs="Times New Roman" w:eastAsia="Times New Roman" w:hAnsi="Times New Roman"/>
          <w:sz w:val="18"/>
          <w:szCs w:val="18"/>
          <w:color w:val="auto"/>
        </w:rPr>
        <w:t xml:space="preserve"> — Holders of record of our Class B Stock (and beneficial owners of our Class B Stock who have obtained a valid proxy) who register and participate in our Annual Meeting may vote electronically by using our Meeting Voting Function. Voting electronically at our Annual Meeting by registered holders or proxy holders will supersede any prior proxies or voting instructions. Class B stockholders are encouraged to vote their proxies by Internet, telephone or by completing, signing, dating and returning a proxy card or VIF as outlined above, but not by more than one method. If you vote by more than one method, or vote multiple times using the same method, only the last-dated vote that is timely received by the Inspector of Elections will be counted, and any other vote will be disregarded.</w:t>
      </w:r>
    </w:p>
    <w:p>
      <w:pPr>
        <w:spacing w:after="0" w:line="130" w:lineRule="exact"/>
        <w:rPr>
          <w:sz w:val="20"/>
          <w:szCs w:val="20"/>
          <w:color w:val="auto"/>
        </w:rPr>
      </w:pPr>
    </w:p>
    <w:p>
      <w:pPr>
        <w:jc w:val="both"/>
        <w:ind w:left="180" w:right="279"/>
        <w:spacing w:after="0" w:line="227" w:lineRule="auto"/>
        <w:rPr>
          <w:sz w:val="20"/>
          <w:szCs w:val="20"/>
          <w:color w:val="auto"/>
        </w:rPr>
      </w:pPr>
      <w:r>
        <w:rPr>
          <w:rFonts w:ascii="Times New Roman" w:cs="Times New Roman" w:eastAsia="Times New Roman" w:hAnsi="Times New Roman"/>
          <w:sz w:val="18"/>
          <w:szCs w:val="18"/>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130" w:lineRule="exact"/>
        <w:rPr>
          <w:sz w:val="20"/>
          <w:szCs w:val="20"/>
          <w:color w:val="auto"/>
        </w:rPr>
      </w:pPr>
    </w:p>
    <w:p>
      <w:pPr>
        <w:ind w:left="100" w:right="279" w:firstLine="729"/>
        <w:spacing w:after="0" w:line="224" w:lineRule="auto"/>
        <w:rPr>
          <w:sz w:val="20"/>
          <w:szCs w:val="20"/>
          <w:color w:val="auto"/>
        </w:rPr>
      </w:pPr>
      <w:r>
        <w:rPr>
          <w:rFonts w:ascii="Times New Roman" w:cs="Times New Roman" w:eastAsia="Times New Roman" w:hAnsi="Times New Roman"/>
          <w:sz w:val="18"/>
          <w:szCs w:val="18"/>
          <w:i w:val="1"/>
          <w:iCs w:val="1"/>
          <w:color w:val="auto"/>
        </w:rPr>
        <w:t>Shares held of record by an Entity</w:t>
      </w:r>
      <w:r>
        <w:rPr>
          <w:rFonts w:ascii="Times New Roman" w:cs="Times New Roman" w:eastAsia="Times New Roman" w:hAnsi="Times New Roman"/>
          <w:sz w:val="18"/>
          <w:szCs w:val="18"/>
          <w:color w:val="auto"/>
        </w:rPr>
        <w:t>. In order to vote shares on behalf of an Entity, you may need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(such as a sealed or certified resolution) of your authority to vote such shares, unless you are listed as a record</w:t>
      </w:r>
    </w:p>
    <w:p>
      <w:pPr>
        <w:ind w:left="100"/>
        <w:spacing w:after="0"/>
        <w:rPr>
          <w:sz w:val="20"/>
          <w:szCs w:val="20"/>
          <w:color w:val="auto"/>
        </w:rPr>
      </w:pPr>
      <w:r>
        <w:rPr>
          <w:rFonts w:ascii="Times New Roman" w:cs="Times New Roman" w:eastAsia="Times New Roman" w:hAnsi="Times New Roman"/>
          <w:sz w:val="18"/>
          <w:szCs w:val="18"/>
          <w:color w:val="auto"/>
        </w:rPr>
        <w:t>holder of such shares.</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i w:val="1"/>
          <w:iCs w:val="1"/>
          <w:color w:val="auto"/>
        </w:rPr>
        <w:t>Shares held of record by a trust</w:t>
      </w:r>
      <w:r>
        <w:rPr>
          <w:rFonts w:ascii="Times New Roman" w:cs="Times New Roman" w:eastAsia="Times New Roman" w:hAnsi="Times New Roman"/>
          <w:sz w:val="18"/>
          <w:szCs w:val="18"/>
          <w:color w:val="auto"/>
        </w:rPr>
        <w:t>. The trustee of a trust is entitled to vote the shares held by the trust, either by</w:t>
      </w:r>
    </w:p>
    <w:p>
      <w:pPr>
        <w:spacing w:after="0" w:line="4"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proxy or by participating and voting electronically at our Annual Meeting. If you are voting as a trustee, and are not identified as a record owner of the shares, then you may need to provide suitable evidence of your status as a trustee of the record trust owner. If the record owner is a trust and there are multiple trustees, then if only one trustee votes, that</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trust.</w:t>
      </w:r>
    </w:p>
    <w:p>
      <w:pPr>
        <w:spacing w:after="0" w:line="1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i w:val="1"/>
          <w:iCs w:val="1"/>
          <w:color w:val="auto"/>
        </w:rPr>
        <w:t>Shares held of record in the name of more than one person</w:t>
      </w:r>
      <w:r>
        <w:rPr>
          <w:rFonts w:ascii="Times New Roman" w:cs="Times New Roman" w:eastAsia="Times New Roman" w:hAnsi="Times New Roman"/>
          <w:sz w:val="18"/>
          <w:szCs w:val="18"/>
          <w:color w:val="auto"/>
        </w:rPr>
        <w:t>.  If only one individual votes, that individual’s</w:t>
      </w:r>
    </w:p>
    <w:p>
      <w:pPr>
        <w:spacing w:after="0" w:line="4"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vote applies to all of the shares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29" w:lineRule="exact"/>
        <w:rPr>
          <w:sz w:val="20"/>
          <w:szCs w:val="20"/>
          <w:color w:val="auto"/>
        </w:rPr>
      </w:pPr>
    </w:p>
    <w:p>
      <w:pPr>
        <w:jc w:val="both"/>
        <w:ind w:left="180" w:right="279"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Shares held by a representative or fiduciary. </w:t>
      </w:r>
      <w:r>
        <w:rPr>
          <w:rFonts w:ascii="Times New Roman" w:cs="Times New Roman" w:eastAsia="Times New Roman" w:hAnsi="Times New Roman"/>
          <w:sz w:val="18"/>
          <w:szCs w:val="18"/>
          <w:color w:val="auto"/>
        </w:rPr>
        <w:t>A representative or fiduciary may only vote shares if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granted a valid proxy by the record holder of such shares.</w:t>
      </w:r>
    </w:p>
    <w:p>
      <w:pPr>
        <w:spacing w:after="0" w:line="1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b w:val="1"/>
          <w:bCs w:val="1"/>
          <w:color w:val="auto"/>
        </w:rPr>
        <w:t>How will my shares be voted if I do not give specific voting instructions?</w:t>
      </w:r>
    </w:p>
    <w:p>
      <w:pPr>
        <w:spacing w:after="0" w:line="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you are a Class B Stockholder and you:</w:t>
      </w:r>
    </w:p>
    <w:p>
      <w:pPr>
        <w:spacing w:after="0" w:line="77" w:lineRule="exact"/>
        <w:rPr>
          <w:sz w:val="20"/>
          <w:szCs w:val="20"/>
          <w:color w:val="auto"/>
        </w:rPr>
      </w:pPr>
    </w:p>
    <w:p>
      <w:pPr>
        <w:ind w:left="1480" w:right="279" w:hanging="324"/>
        <w:spacing w:after="0" w:line="237"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when voting on the Internet or by telephone or, if applicable, by using the Meeting Voting Function, that you wish to vote as recommended by our Board, then your shares will be so voted; or</w:t>
      </w:r>
    </w:p>
    <w:p>
      <w:pPr>
        <w:spacing w:after="0" w:line="63" w:lineRule="exact"/>
        <w:rPr>
          <w:rFonts w:ascii="Times New Roman" w:cs="Times New Roman" w:eastAsia="Times New Roman" w:hAnsi="Times New Roman"/>
          <w:sz w:val="18"/>
          <w:szCs w:val="18"/>
          <w:color w:val="auto"/>
        </w:rPr>
      </w:pPr>
    </w:p>
    <w:p>
      <w:pPr>
        <w:ind w:left="1480" w:right="279" w:hanging="324"/>
        <w:spacing w:after="0" w:line="237"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and send in your proxy card and do not indicate how you want to vote, then the proxyholders will vote your shares in the manner recommended by our Board as follows:</w:t>
      </w:r>
    </w:p>
    <w:p>
      <w:pPr>
        <w:spacing w:after="0" w:line="64" w:lineRule="exact"/>
        <w:rPr>
          <w:sz w:val="20"/>
          <w:szCs w:val="20"/>
          <w:color w:val="auto"/>
        </w:rPr>
      </w:pPr>
    </w:p>
    <w:p>
      <w:pPr>
        <w:ind w:left="2120" w:right="279" w:hanging="316"/>
        <w:spacing w:after="0" w:line="229" w:lineRule="auto"/>
        <w:tabs>
          <w:tab w:leader="none" w:pos="2120" w:val="left"/>
        </w:tabs>
        <w:numPr>
          <w:ilvl w:val="0"/>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FOR each of the five (5) nominees for Director named below under “Proposal 1: Election of Directors;”</w:t>
      </w:r>
    </w:p>
    <w:p>
      <w:pPr>
        <w:spacing w:after="0" w:line="63"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FOR Proposal 2, the Independent Auditor Ratification Proposal;</w:t>
      </w:r>
    </w:p>
    <w:p>
      <w:pPr>
        <w:spacing w:after="0" w:line="66"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FOR Proposal 3, the Advisory Vote on Executive Officer Compensation Proposal;</w:t>
      </w:r>
    </w:p>
    <w:p>
      <w:pPr>
        <w:spacing w:after="0" w:line="61" w:lineRule="exact"/>
        <w:rPr>
          <w:rFonts w:ascii="Courier New" w:cs="Courier New" w:eastAsia="Courier New" w:hAnsi="Courier New"/>
          <w:sz w:val="18"/>
          <w:szCs w:val="18"/>
          <w:color w:val="auto"/>
        </w:rPr>
      </w:pPr>
    </w:p>
    <w:p>
      <w:pPr>
        <w:ind w:left="2120" w:right="279" w:hanging="316"/>
        <w:spacing w:after="0" w:line="226" w:lineRule="auto"/>
        <w:tabs>
          <w:tab w:leader="none" w:pos="2120" w:val="left"/>
        </w:tabs>
        <w:numPr>
          <w:ilvl w:val="0"/>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FOR Proposal 4, the Increase to Share Reserve under the 2020 Stock Incentive Plan Proposal; and</w:t>
      </w:r>
    </w:p>
    <w:p>
      <w:pPr>
        <w:spacing w:after="0" w:line="63" w:lineRule="exact"/>
        <w:rPr>
          <w:rFonts w:ascii="Courier New" w:cs="Courier New" w:eastAsia="Courier New" w:hAnsi="Courier New"/>
          <w:sz w:val="18"/>
          <w:szCs w:val="18"/>
          <w:color w:val="auto"/>
        </w:rPr>
      </w:pPr>
    </w:p>
    <w:p>
      <w:pPr>
        <w:ind w:left="2120" w:right="279" w:hanging="316"/>
        <w:spacing w:after="0" w:line="229" w:lineRule="auto"/>
        <w:tabs>
          <w:tab w:leader="none" w:pos="2120" w:val="left"/>
        </w:tabs>
        <w:numPr>
          <w:ilvl w:val="0"/>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the discretion of such proxyholders on such other business as may properly come before our Annual Meeting and any adjournment or postponement thereof.</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is a broker non-vote and how is it counted?</w:t>
      </w:r>
    </w:p>
    <w:p>
      <w:pPr>
        <w:spacing w:after="0" w:line="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your shares are held by a broker on your behalf (that is, in so called “street name”), and you do not instruct</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held in street name only on routine matters. Only Proposal 2, the Independent Auditor Ratification Proposal is a “routine proposal.” All other matters contained in this Proxy Statement for submission to a vote of the stockholders are considered “non-routine.” Accordingly, if your shares of Class B Stock are held in street name and if you do not</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give your broker instructions as to how to vote, your broker will only be able to exercise its discretion in the case of Proposal 2, and will not be permitted to vote on Proposal 1, Proposal 3, or Proposal 4, or any other matter to come before the Annual Meeting.</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are “withhold authority” and “abstain” votes counted?</w:t>
      </w:r>
    </w:p>
    <w:p>
      <w:pPr>
        <w:spacing w:after="0" w:line="157" w:lineRule="exact"/>
        <w:rPr>
          <w:sz w:val="20"/>
          <w:szCs w:val="20"/>
          <w:color w:val="auto"/>
        </w:rPr>
      </w:pPr>
    </w:p>
    <w:p>
      <w:pPr>
        <w:jc w:val="both"/>
        <w:ind w:left="180" w:right="279" w:firstLine="648"/>
        <w:spacing w:after="0" w:line="227" w:lineRule="auto"/>
        <w:rPr>
          <w:sz w:val="20"/>
          <w:szCs w:val="20"/>
          <w:color w:val="auto"/>
        </w:rPr>
      </w:pPr>
      <w:r>
        <w:rPr>
          <w:rFonts w:ascii="Times New Roman" w:cs="Times New Roman" w:eastAsia="Times New Roman" w:hAnsi="Times New Roman"/>
          <w:sz w:val="19"/>
          <w:szCs w:val="19"/>
          <w:color w:val="auto"/>
        </w:rPr>
        <w:t>Proxies that are voted to “withhold authority” or “abstain” are included only to determine whether a quorum is present. If “withhold authority” or “abstain” is selected with respect to the election of directors,</w:t>
      </w:r>
    </w:p>
    <w:p>
      <w:pPr>
        <w:ind w:left="180"/>
        <w:spacing w:after="0" w:line="211" w:lineRule="auto"/>
        <w:rPr>
          <w:sz w:val="20"/>
          <w:szCs w:val="20"/>
          <w:color w:val="auto"/>
        </w:rPr>
      </w:pPr>
      <w:r>
        <w:rPr>
          <w:rFonts w:ascii="Times New Roman" w:cs="Times New Roman" w:eastAsia="Times New Roman" w:hAnsi="Times New Roman"/>
          <w:sz w:val="20"/>
          <w:szCs w:val="20"/>
          <w:color w:val="auto"/>
        </w:rPr>
        <w:t>then such votes will have no impact on the election of directors, as the five  (5) nominees receiving the</w:t>
      </w:r>
    </w:p>
    <w:p>
      <w:pPr>
        <w:spacing w:after="0" w:line="1" w:lineRule="exact"/>
        <w:rPr>
          <w:sz w:val="20"/>
          <w:szCs w:val="20"/>
          <w:color w:val="auto"/>
        </w:rPr>
      </w:pPr>
    </w:p>
    <w:p>
      <w:pPr>
        <w:jc w:val="both"/>
        <w:ind w:left="180" w:right="279"/>
        <w:spacing w:after="0" w:line="204" w:lineRule="auto"/>
        <w:rPr>
          <w:sz w:val="20"/>
          <w:szCs w:val="20"/>
          <w:color w:val="auto"/>
        </w:rPr>
      </w:pPr>
      <w:r>
        <w:rPr>
          <w:rFonts w:ascii="Times New Roman" w:cs="Times New Roman" w:eastAsia="Times New Roman" w:hAnsi="Times New Roman"/>
          <w:sz w:val="20"/>
          <w:szCs w:val="20"/>
          <w:color w:val="auto"/>
        </w:rPr>
        <w:t>highest number of affirmative votes will be elected. If “withhold authority” or “abstain” is selected on a matter to be voted on for which approval by a majority of the votes cast at the meeting is required</w:t>
      </w:r>
    </w:p>
    <w:p>
      <w:pPr>
        <w:ind w:left="180"/>
        <w:spacing w:after="0" w:line="238" w:lineRule="auto"/>
        <w:rPr>
          <w:sz w:val="20"/>
          <w:szCs w:val="20"/>
          <w:color w:val="auto"/>
        </w:rPr>
      </w:pPr>
      <w:r>
        <w:rPr>
          <w:rFonts w:ascii="Times New Roman" w:cs="Times New Roman" w:eastAsia="Times New Roman" w:hAnsi="Times New Roman"/>
          <w:sz w:val="19"/>
          <w:szCs w:val="19"/>
          <w:color w:val="auto"/>
        </w:rPr>
        <w:t xml:space="preserve">(specifically, Proposal 2 (the Independent Auditor Ratification Proposal); Proposal 3 </w:t>
      </w:r>
      <w:r>
        <w:rPr>
          <w:rFonts w:ascii="Calibri" w:cs="Calibri" w:eastAsia="Calibri" w:hAnsi="Calibri"/>
          <w:sz w:val="19"/>
          <w:szCs w:val="19"/>
          <w:color w:val="auto"/>
        </w:rPr>
        <w:t>(</w:t>
      </w:r>
      <w:r>
        <w:rPr>
          <w:rFonts w:ascii="Times New Roman" w:cs="Times New Roman" w:eastAsia="Times New Roman" w:hAnsi="Times New Roman"/>
          <w:sz w:val="19"/>
          <w:szCs w:val="19"/>
          <w:color w:val="auto"/>
        </w:rPr>
        <w:t>the Advisory Vote on</w:t>
      </w:r>
    </w:p>
    <w:p>
      <w:pPr>
        <w:jc w:val="both"/>
        <w:ind w:left="180" w:right="279"/>
        <w:spacing w:after="0" w:line="204" w:lineRule="auto"/>
        <w:rPr>
          <w:sz w:val="20"/>
          <w:szCs w:val="20"/>
          <w:color w:val="auto"/>
        </w:rPr>
      </w:pPr>
      <w:r>
        <w:rPr>
          <w:rFonts w:ascii="Times New Roman" w:cs="Times New Roman" w:eastAsia="Times New Roman" w:hAnsi="Times New Roman"/>
          <w:sz w:val="20"/>
          <w:szCs w:val="20"/>
          <w:color w:val="auto"/>
        </w:rPr>
        <w:t>Executive Officer Compensation Proposal), and Proposal 4 (the Increase to Share Reserve under the 2020 Stock Incentive Plan Proposal)), then such a selection would similarly not have an effect on the vote, since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“withhold authority” and “abstain” votes do not count as votes cast on that matter.</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can I change my vote after I submit a proxy?</w:t>
      </w:r>
    </w:p>
    <w:p>
      <w:pPr>
        <w:spacing w:after="0" w:line="148" w:lineRule="exact"/>
        <w:rPr>
          <w:sz w:val="20"/>
          <w:szCs w:val="20"/>
          <w:color w:val="auto"/>
        </w:rPr>
      </w:pPr>
    </w:p>
    <w:p>
      <w:pPr>
        <w:jc w:val="both"/>
        <w:ind w:left="180" w:right="279" w:firstLine="648"/>
        <w:spacing w:after="0" w:line="250" w:lineRule="auto"/>
        <w:rPr>
          <w:sz w:val="20"/>
          <w:szCs w:val="20"/>
          <w:color w:val="auto"/>
        </w:rPr>
      </w:pPr>
      <w:r>
        <w:rPr>
          <w:rFonts w:ascii="Times New Roman" w:cs="Times New Roman" w:eastAsia="Times New Roman" w:hAnsi="Times New Roman"/>
          <w:sz w:val="18"/>
          <w:szCs w:val="18"/>
          <w:color w:val="auto"/>
        </w:rPr>
        <w:t>If you are a Class B Stockholder, there are three ways you can change your vote or revoke your proxy after it has been submitted:</w:t>
      </w:r>
    </w:p>
    <w:p>
      <w:pPr>
        <w:spacing w:after="0" w:line="109" w:lineRule="exact"/>
        <w:rPr>
          <w:sz w:val="20"/>
          <w:szCs w:val="20"/>
          <w:color w:val="auto"/>
        </w:rPr>
      </w:pPr>
    </w:p>
    <w:p>
      <w:pPr>
        <w:jc w:val="both"/>
        <w:ind w:left="1480" w:right="279" w:hanging="324"/>
        <w:spacing w:after="0" w:line="224"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send a written notice to Reading International, Inc., postage or other delivery charges pre-paid, 189 Second Avenue, Suite 2S, New York, New York 10003, c/o Secretary of the Annual Meeting, stating that you revoke your proxy. To be effective, the Inspector of Elections must receive your written notice prior to the closing of the polls at the Annual Meeting.</w:t>
      </w:r>
    </w:p>
    <w:p>
      <w:pPr>
        <w:spacing w:after="0" w:line="131" w:lineRule="exact"/>
        <w:rPr>
          <w:rFonts w:ascii="Times New Roman" w:cs="Times New Roman" w:eastAsia="Times New Roman" w:hAnsi="Times New Roman"/>
          <w:sz w:val="18"/>
          <w:szCs w:val="18"/>
          <w:color w:val="auto"/>
        </w:rPr>
      </w:pPr>
    </w:p>
    <w:p>
      <w:pPr>
        <w:ind w:left="1480" w:right="279" w:hanging="324"/>
        <w:spacing w:after="0" w:line="250"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complete and submit a new proxy in one of the manners described above under the caption, “How do I vote?” Any earlier proxies will be revoked automatically.</w:t>
      </w:r>
    </w:p>
    <w:p>
      <w:pPr>
        <w:spacing w:after="0" w:line="122" w:lineRule="exact"/>
        <w:rPr>
          <w:rFonts w:ascii="Times New Roman" w:cs="Times New Roman" w:eastAsia="Times New Roman" w:hAnsi="Times New Roman"/>
          <w:sz w:val="18"/>
          <w:szCs w:val="18"/>
          <w:color w:val="auto"/>
        </w:rPr>
      </w:pPr>
    </w:p>
    <w:p>
      <w:pPr>
        <w:ind w:left="1480" w:right="279" w:hanging="324"/>
        <w:spacing w:after="0" w:line="237"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register for and participate in our Annual Meeting, and vote using the Meeting Voting Function.</w:t>
      </w:r>
    </w:p>
    <w:p>
      <w:pPr>
        <w:spacing w:after="0" w:line="3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b w:val="1"/>
          <w:bCs w:val="1"/>
          <w:color w:val="auto"/>
        </w:rPr>
        <w:t>How will we solicit proxies and who will pay the costs?</w:t>
      </w:r>
    </w:p>
    <w:p>
      <w:pPr>
        <w:spacing w:after="0" w:line="162"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Our Board is soliciting proxies for our Annual Meeting from our Class B stockholders. We will pay the costs of the solicitation of proxies. We may reimburse brokerage firms and other persons representing beneficial owners of</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 We do not</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intend to hire a proxy solicitor to assist in the solicitation of proxies.</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162"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The names of stockholders of record entitled to vote at our Annual Meeting will be available to persons registered to participate in our Annual Meeting at our Annual Meeting and for ten days prior to our Annual Meeting,</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at our New York office, 189 Second Avenue, Suite 2S, New York, New York 10003 between the hours of 9.00 a.m. and 5.00 p.m., Eastern Standard Time, for any purpose germane to the Annual Meeting. To arrange to view this list during the times specified above, please contact the Secretary of the Annual Meeting at (213) 235-2240.</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62" w:lineRule="exact"/>
        <w:rPr>
          <w:sz w:val="20"/>
          <w:szCs w:val="20"/>
          <w:color w:val="auto"/>
        </w:rPr>
      </w:pPr>
    </w:p>
    <w:p>
      <w:pPr>
        <w:jc w:val="both"/>
        <w:ind w:left="180" w:right="279" w:firstLine="648"/>
        <w:spacing w:after="0" w:line="226" w:lineRule="auto"/>
        <w:rPr>
          <w:sz w:val="20"/>
          <w:szCs w:val="20"/>
          <w:color w:val="auto"/>
        </w:rPr>
      </w:pPr>
      <w:r>
        <w:rPr>
          <w:rFonts w:ascii="Times New Roman" w:cs="Times New Roman" w:eastAsia="Times New Roman" w:hAnsi="Times New Roman"/>
          <w:sz w:val="18"/>
          <w:szCs w:val="18"/>
          <w:color w:val="auto"/>
        </w:rPr>
        <w:t>The presence by valid proxy or by virtual participation as provided in this Proxy Statement of the holders of record of a majority of our outstanding shares of Class B Stock will constitute a quorum at our Annual Meeting. Each share of our Class B Stock entitles the holder of record to one vote on all matters to come before our Annual Meeting.</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are votes counted and who will certify the results?</w:t>
      </w:r>
    </w:p>
    <w:p>
      <w:pPr>
        <w:spacing w:after="0" w:line="162"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Computershare, Inc. will act as the independent Inspector of Elections and will determine whether a quorum is present, count the votes, evaluate the validity of proxies and electronic votes, and certify the results. The final voting results will be reported by us on a Current Report on Form 8-K to be filed with the SEC within four business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days following our Annual Meeting.</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What is the vote required for a proposal to pass?</w:t>
      </w:r>
    </w:p>
    <w:p>
      <w:pPr>
        <w:spacing w:after="0" w:line="162"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Proposal 1 (the Election of Directors): The five (5) nominees for election as Directors at our Annual Meeting who receive the highest number of “FOR” votes for the available Board seats will be elected as Directors. This is called plurality voting. Unless you indicate otherwise, the persons named as your proxies will vote</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instructions to your broker or nominee, then your shares will not be voted and will not be counted in determining the election. Likewise, if you instruct your broker or nominee to “WITHHOLD,” then your vote will not be counted in determining the election. We are advised by the holders of approximately 72% of the Class B Stock that they</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currently intend to vote “FOR” the election of each of the candidates nominated by our Board. Accordingly, it is anticipated that each of these individuals will be elected.</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Proposal 2 (the Independent Auditor Ratification Proposal): This proposal requires the “FOR” vote of a majority of the votes cast in order to pass. We are advised by the holders of approximately 72% of the Class B Stock that they currently intend to vote “FOR” this proposal. Accordingly, it is anticipated that the Independent Auditor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Ratification Proposal will pass.</w:t>
      </w:r>
    </w:p>
    <w:p>
      <w:pPr>
        <w:spacing w:after="0" w:line="124" w:lineRule="exact"/>
        <w:rPr>
          <w:sz w:val="20"/>
          <w:szCs w:val="20"/>
          <w:color w:val="auto"/>
        </w:rPr>
      </w:pPr>
    </w:p>
    <w:p>
      <w:pPr>
        <w:jc w:val="both"/>
        <w:ind w:left="180" w:right="279" w:firstLine="648"/>
        <w:spacing w:after="0" w:line="230" w:lineRule="auto"/>
        <w:rPr>
          <w:sz w:val="20"/>
          <w:szCs w:val="20"/>
          <w:color w:val="auto"/>
        </w:rPr>
      </w:pPr>
      <w:r>
        <w:rPr>
          <w:rFonts w:ascii="Times New Roman" w:cs="Times New Roman" w:eastAsia="Times New Roman" w:hAnsi="Times New Roman"/>
          <w:sz w:val="18"/>
          <w:szCs w:val="18"/>
          <w:color w:val="auto"/>
        </w:rPr>
        <w:t>Proposal 3 (the Advisory Vote on Executive Officer Compensation Proposal): This proposal requires the “FOR” vote of a majority of the votes cast in order to pass. Because your vote is advisory, it will not be binding on</w:t>
      </w:r>
    </w:p>
    <w:p>
      <w:pPr>
        <w:spacing w:after="0" w:line="1" w:lineRule="exact"/>
        <w:rPr>
          <w:sz w:val="20"/>
          <w:szCs w:val="20"/>
          <w:color w:val="auto"/>
        </w:rPr>
      </w:pPr>
    </w:p>
    <w:p>
      <w:pPr>
        <w:jc w:val="both"/>
        <w:ind w:left="180" w:right="279"/>
        <w:spacing w:after="0" w:line="211" w:lineRule="auto"/>
        <w:rPr>
          <w:sz w:val="20"/>
          <w:szCs w:val="20"/>
          <w:color w:val="auto"/>
        </w:rPr>
      </w:pPr>
      <w:r>
        <w:rPr>
          <w:rFonts w:ascii="Times New Roman" w:cs="Times New Roman" w:eastAsia="Times New Roman" w:hAnsi="Times New Roman"/>
          <w:sz w:val="18"/>
          <w:szCs w:val="18"/>
          <w:color w:val="auto"/>
        </w:rPr>
        <w:t>us, our Board or our Compensation and Stock Options Committee (the “Compensation Committee”). However, the Board and our Compensation Committee, as applicable, will review the voting results and take them into</w:t>
      </w:r>
    </w:p>
    <w:p>
      <w:pPr>
        <w:spacing w:after="0" w:line="1"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consideration when making future decisions and recommendations regarding executive compensation. We are advised by the holders of approximately 72% of the Class B Stock that they currently intend to vote “FOR” this proposal. Accordingly, it is anticipated that the Advisory Vote on Executive Officer Compensation Proposal will pass.</w:t>
      </w:r>
    </w:p>
    <w:p>
      <w:pPr>
        <w:spacing w:after="0" w:line="1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8"/>
          <w:szCs w:val="18"/>
          <w:color w:val="auto"/>
        </w:rPr>
        <w:t>Proposal 4 (the Increase of Share Reserve under the 2020 Stock Incentive Plan): This proposal requires the</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“FOR” vote of a majority of the votes cast in order to pass. We are advised by the holders of approximately 72% of the Class B Stock that they currently intend to vote “FOR” this proposal. Accordingly, it is anticipated that the Increase to the Share Reserve under the 2020 Stock Incentive Plan Proposal will pass.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Is my vote kept confidential?</w:t>
      </w:r>
    </w:p>
    <w:p>
      <w:pPr>
        <w:spacing w:after="0" w:line="67" w:lineRule="exact"/>
        <w:rPr>
          <w:sz w:val="20"/>
          <w:szCs w:val="20"/>
          <w:color w:val="auto"/>
        </w:rPr>
      </w:pPr>
    </w:p>
    <w:p>
      <w:pPr>
        <w:jc w:val="both"/>
        <w:ind w:left="180" w:right="279" w:firstLine="648"/>
        <w:spacing w:after="0" w:line="237" w:lineRule="auto"/>
        <w:rPr>
          <w:sz w:val="20"/>
          <w:szCs w:val="20"/>
          <w:color w:val="auto"/>
        </w:rPr>
      </w:pPr>
      <w:r>
        <w:rPr>
          <w:rFonts w:ascii="Times New Roman" w:cs="Times New Roman" w:eastAsia="Times New Roman" w:hAnsi="Times New Roman"/>
          <w:sz w:val="18"/>
          <w:szCs w:val="18"/>
          <w:color w:val="auto"/>
        </w:rPr>
        <w:t>Proxies, electronic votes and voting tabulations identifying stockholders are kept confidential and will not be disclosed to third parties, except as may be necessary to meet legal requirements.</w:t>
      </w:r>
    </w:p>
    <w:p>
      <w:pPr>
        <w:spacing w:after="0" w:line="41" w:lineRule="exact"/>
        <w:rPr>
          <w:sz w:val="20"/>
          <w:szCs w:val="20"/>
          <w:color w:val="auto"/>
        </w:rPr>
      </w:pPr>
    </w:p>
    <w:p>
      <w:pPr>
        <w:ind w:left="3840"/>
        <w:spacing w:after="0"/>
        <w:rPr>
          <w:sz w:val="20"/>
          <w:szCs w:val="20"/>
          <w:color w:val="auto"/>
        </w:rPr>
      </w:pPr>
      <w:r>
        <w:rPr>
          <w:rFonts w:ascii="Calibri" w:cs="Calibri" w:eastAsia="Calibri" w:hAnsi="Calibri"/>
          <w:sz w:val="18"/>
          <w:szCs w:val="18"/>
          <w:b w:val="1"/>
          <w:bCs w:val="1"/>
          <w:color w:val="auto"/>
        </w:rPr>
        <w:t>CORPORATE GOVERNANCE</w:t>
      </w:r>
    </w:p>
    <w:p>
      <w:pPr>
        <w:spacing w:after="0" w:line="239"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Director Leadership Structure</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Margaret Cotter is our Chair of the Board and also serves as our Executive Vice President – Real Estate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Management and Development. Margaret Cotter has served as a director of our Company since 2002. Over that time, she has also been responsible for the management of our domestic live theatre properties and, has general oversight of all our U.S. real estate. At the present time, our Board continues to believe that having a Board Chair who is also a</w:t>
      </w:r>
    </w:p>
    <w:p>
      <w:pPr>
        <w:ind w:left="180"/>
        <w:spacing w:after="0" w:line="205" w:lineRule="auto"/>
        <w:rPr>
          <w:sz w:val="20"/>
          <w:szCs w:val="20"/>
          <w:color w:val="auto"/>
        </w:rPr>
      </w:pPr>
      <w:r>
        <w:rPr>
          <w:rFonts w:ascii="Times New Roman" w:cs="Times New Roman" w:eastAsia="Times New Roman" w:hAnsi="Times New Roman"/>
          <w:sz w:val="18"/>
          <w:szCs w:val="18"/>
          <w:color w:val="auto"/>
        </w:rPr>
        <w:t>senior executive officer of our Company is in the best interests of our Company and our stockholders. This structure</w:t>
      </w:r>
    </w:p>
    <w:p>
      <w:pPr>
        <w:spacing w:after="0" w:line="1" w:lineRule="exact"/>
        <w:rPr>
          <w:sz w:val="20"/>
          <w:szCs w:val="20"/>
          <w:color w:val="auto"/>
        </w:rPr>
      </w:pPr>
    </w:p>
    <w:p>
      <w:pPr>
        <w:jc w:val="both"/>
        <w:ind w:left="180" w:right="279" w:firstLine="4"/>
        <w:spacing w:after="0" w:line="214" w:lineRule="auto"/>
        <w:tabs>
          <w:tab w:leader="none" w:pos="4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the tradition of having a member of the Cotter family (which currently controls approximately 72% of the voting power of our Company) serve as Chair, a leadership structure in which many of our stockholders have invested, (ii) recognizes the ongoing value of Margaret Cotter as the head of our real estate operations, and also (iii) reflects the reality of our status as a “controlled company” under relevant Nasdaq Listing Rules, with Margaret Cotter having (a) sole voting control over 1,058,988 company shares of our Class B Stock</w:t>
      </w: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 and (b) shared voting power with her sister, Ellen M. Cotter over an additional 100,000 shares of our Class B Voting Stock, for voting power equal to approximately 69% of our outstanding voting stock.</w:t>
      </w:r>
    </w:p>
    <w:p>
      <w:pPr>
        <w:spacing w:after="0" w:line="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Ellen M. Cotter is our Vice-Chair and also serves as our Chief Executive Officer and President. Prior to her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appointment in 2015 as our Chief Executive Officer and President, she principally focused on the cinema operations aspects of our business, including the development of our various cinema assets. Ellen M. Cotter has sole voting and dispositive power over 50,000 shares of our Class B Stock and shared voting power and dispositive power with her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sister, Margaret Cotter, over an additional 100,000 shares of our Class B Stock. In addition, Ellen M. Cotter is the direct owner of an additional 307,166 shares of Class B Stock, but has granted sole voting power and, pending the negotiation and execution of a more definitive stockholders agreement between them, shared dispositive power to</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Margaret Cotter.</w:t>
      </w:r>
    </w:p>
    <w:p>
      <w:pPr>
        <w:spacing w:after="0" w:line="57"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Margaret Cotter and Ellen M. Cotter each have a substantial stake in our Company, directly owning, respectively, as of the date of this Proxy Statement, 838,852 shares of Class A Stock and 342,266 shares of Class B</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Stock, and 980,899 shares of Class A Stock and 357,166 shares of Class B Stock, respectively. In addition, Margaret Cotter and Ellen M. Cotter are the Co-Executors of the Estate of James J. Cotter, Sr. (the “Cotter Estate”) and Co-Trustees of the James J. Cotter, Sr. Living Trust (the “Cotter Living Trust”) which own respectively 326,800 and</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1,163,649 shares of Class A Stock and, in the case of the Cotter Estate, 100,000 shares of Class B Stock. Margaret Cotter is, in addition, the sole-trustee of the James J. Cotter Education Trust #1 which holds 84,956 shares of Class A Stock and the designated trustee of a to-be formed trust for the benefit of her children which is to be funded with</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327,808 shares of Class B Stock (currently is held in the name of the Cotter Estate but not included in the Cotter Estate holdings described above) and 81,747 shares of Class B Stock (currently held in the name of the Cotter Living Trust but not included in the Cotter Living Trust holdings described above).</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Independence and Board Oversight Structure</w:t>
      </w:r>
    </w:p>
    <w:p>
      <w:pPr>
        <w:spacing w:after="0" w:line="81" w:lineRule="exact"/>
        <w:rPr>
          <w:sz w:val="20"/>
          <w:szCs w:val="20"/>
          <w:color w:val="auto"/>
        </w:rPr>
      </w:pPr>
    </w:p>
    <w:p>
      <w:pPr>
        <w:jc w:val="both"/>
        <w:ind w:left="180" w:right="279"/>
        <w:spacing w:after="0" w:line="222" w:lineRule="auto"/>
        <w:rPr>
          <w:sz w:val="20"/>
          <w:szCs w:val="20"/>
          <w:color w:val="auto"/>
        </w:rPr>
      </w:pPr>
      <w:r>
        <w:rPr>
          <w:rFonts w:ascii="Times New Roman" w:cs="Times New Roman" w:eastAsia="Times New Roman" w:hAnsi="Times New Roman"/>
          <w:sz w:val="18"/>
          <w:szCs w:val="18"/>
          <w:color w:val="auto"/>
        </w:rPr>
        <w:t>Our Company has elected to take advantage of the “controlled company” exemption under applicable listing rules of the Nasdaq Capital Stock Market (the “Nasdaq Listing Rules”). Accordingly, our Company is exempted from the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requirement to have a board of 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Independent Directors, is nominating a majority of Independent Directors for election to our Board this year and we have had an independent compensation committee for several years, as well. In determining who is an Independent Director, we follow the definition in Section 5605(a)(2) of the Nasdaq Listing Rules. Under such rules, we consider</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the following directors to be independent: Guy Adams, Dr. Judy Codding, and Douglas McEachern. Our Board annually reviews the independence of our directors.</w:t>
      </w:r>
    </w:p>
    <w:p>
      <w:pPr>
        <w:ind w:left="180"/>
        <w:spacing w:after="0" w:line="223" w:lineRule="auto"/>
        <w:rPr>
          <w:sz w:val="20"/>
          <w:szCs w:val="20"/>
          <w:color w:val="auto"/>
        </w:rPr>
      </w:pPr>
      <w:r>
        <w:rPr>
          <w:rFonts w:ascii="Times New Roman" w:cs="Times New Roman" w:eastAsia="Times New Roman" w:hAnsi="Times New Roman"/>
          <w:sz w:val="18"/>
          <w:szCs w:val="18"/>
          <w:color w:val="auto"/>
        </w:rPr>
        <w:t>__________________</w:t>
      </w:r>
    </w:p>
    <w:p>
      <w:pPr>
        <w:spacing w:after="0" w:line="1" w:lineRule="exact"/>
        <w:rPr>
          <w:sz w:val="20"/>
          <w:szCs w:val="20"/>
          <w:color w:val="auto"/>
        </w:rPr>
      </w:pPr>
    </w:p>
    <w:p>
      <w:pPr>
        <w:jc w:val="both"/>
        <w:ind w:left="180" w:right="279" w:firstLine="4"/>
        <w:spacing w:after="0" w:line="251" w:lineRule="auto"/>
        <w:tabs>
          <w:tab w:leader="none" w:pos="292" w:val="left"/>
        </w:tabs>
        <w:numPr>
          <w:ilvl w:val="0"/>
          <w:numId w:val="16"/>
        </w:numPr>
        <w:rPr>
          <w:rFonts w:ascii="Times New Roman" w:cs="Times New Roman" w:eastAsia="Times New Roman" w:hAnsi="Times New Roman"/>
          <w:sz w:val="7"/>
          <w:szCs w:val="7"/>
          <w:color w:val="auto"/>
        </w:rPr>
      </w:pPr>
      <w:r>
        <w:rPr>
          <w:rFonts w:ascii="Times New Roman" w:cs="Times New Roman" w:eastAsia="Times New Roman" w:hAnsi="Times New Roman"/>
          <w:sz w:val="16"/>
          <w:szCs w:val="16"/>
          <w:color w:val="auto"/>
        </w:rPr>
        <w:t>Pursuant to an interim agreement between Margaret Cotter and Ellen M. Cotter, Margaret Cotter has sole voting power and, pending the negotiation and execution of a more definitive stockholders agreement between them, shares dispositive power with Ellen M. Cotter over 307,166 of the Class B Stock owned directly by Ellen M. Cotter.</w:t>
      </w:r>
    </w:p>
    <w:p>
      <w:pPr>
        <w:spacing w:after="0" w:line="1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4" w:name="page15"/>
    <w:bookmarkEnd w:id="14"/>
    <w:p>
      <w:pPr>
        <w:ind w:left="840"/>
        <w:spacing w:after="0"/>
        <w:rPr>
          <w:sz w:val="20"/>
          <w:szCs w:val="20"/>
          <w:color w:val="auto"/>
        </w:rPr>
      </w:pPr>
      <w:r>
        <w:rPr>
          <w:rFonts w:ascii="Times New Roman" w:cs="Times New Roman" w:eastAsia="Times New Roman" w:hAnsi="Times New Roman"/>
          <w:sz w:val="18"/>
          <w:szCs w:val="18"/>
          <w:color w:val="auto"/>
        </w:rPr>
        <w:t>We currently have an Audit and Conflicts Committee (the “Audit Committee”) and a Compensation and</w:t>
      </w:r>
    </w:p>
    <w:p>
      <w:pPr>
        <w:spacing w:after="0" w:line="2" w:lineRule="exact"/>
        <w:rPr>
          <w:sz w:val="20"/>
          <w:szCs w:val="20"/>
          <w:color w:val="auto"/>
        </w:rPr>
      </w:pPr>
    </w:p>
    <w:p>
      <w:pPr>
        <w:jc w:val="both"/>
        <w:ind w:left="180" w:right="279"/>
        <w:spacing w:after="0"/>
        <w:rPr>
          <w:sz w:val="20"/>
          <w:szCs w:val="20"/>
          <w:color w:val="auto"/>
        </w:rPr>
      </w:pPr>
      <w:r>
        <w:rPr>
          <w:rFonts w:ascii="Times New Roman" w:cs="Times New Roman" w:eastAsia="Times New Roman" w:hAnsi="Times New Roman"/>
          <w:sz w:val="18"/>
          <w:szCs w:val="18"/>
          <w:color w:val="auto"/>
        </w:rPr>
        <w:t>Stock Options Committee (the “Compensation Committee”), each composed entirely of Independent Directors. Historically, our Lead Independent Director chairs meetings of the Independent Directors (typically held as a separate</w:t>
      </w:r>
    </w:p>
    <w:p>
      <w:pPr>
        <w:spacing w:after="0" w:line="126"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part of board meetings) and acts as liaison between our Chair, Chief Executive Officer and President and our Independent Directors.</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We also currently have a four-member Executive Committee composed of our Chair, Vice-Chair, the Chair of the Compensation Committee (Dr. Judy Codding) and our Lead Technology and Cyber Risk Director (Guy W. Adams). As a consequence of this structure, the concurrence of at least one non-management member of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Executive Committee is required in order for the Executive Committee to take action.</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Board has (i) adopted a best practices charter for our Compensation Committee, (ii) adopted a best</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practices charter for our Audit Committee, (iii) completed, with the assistance of compensation consultants and outside counsel, a review of our compensation practices, (iv) adopted and updated a Code of Business Conduct and Ethics, (v) adopted and updated a Supplemental Insider Trading Policy restricting trading in our stock by our Directors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and executive officers, (vi) adopted an Anti-Discrimination, Anti-Harassment and Anti-Bullying policy, (vii) and adopted and updated a Whistleblower Policy, and (viii) adopted a Stock Ownership Policy, setting out minimum stock ownership levels for our directors and senior executives. With respect to that Stock Ownership Policy, based on</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current market conditions and challenges facing, (a) the exhibition industry, including the COVID-19 pandemic and the recent Hollywood strikes, and (b) the real estate industry, including the office leasing market and the high interest rate environment, our Board has resolved to postpone compliance with the Stock Ownership Policy until December</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31, 2025.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131" w:lineRule="exact"/>
        <w:rPr>
          <w:sz w:val="20"/>
          <w:szCs w:val="20"/>
          <w:color w:val="auto"/>
        </w:rPr>
      </w:pPr>
    </w:p>
    <w:p>
      <w:pPr>
        <w:ind w:left="280" w:right="279" w:firstLine="558"/>
        <w:spacing w:after="0" w:line="222" w:lineRule="auto"/>
        <w:rPr>
          <w:sz w:val="20"/>
          <w:szCs w:val="20"/>
          <w:color w:val="auto"/>
        </w:rPr>
      </w:pPr>
      <w:r>
        <w:rPr>
          <w:rFonts w:ascii="Times New Roman" w:cs="Times New Roman" w:eastAsia="Times New Roman" w:hAnsi="Times New Roman"/>
          <w:sz w:val="18"/>
          <w:szCs w:val="18"/>
          <w:color w:val="auto"/>
        </w:rPr>
        <w:t>Since January 2021, our Compensation Committee’s independent compensation consultant, has been AON. Prior to its appointment, the Compensation Committee concluded that AON was independent pursuant to SEC rules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 the Nasdaq Listing Standards.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recognition of the special risks involved with technology and cyber security, Director Guy W. Adams has</w:t>
      </w:r>
    </w:p>
    <w:p>
      <w:pPr>
        <w:spacing w:after="0" w:line="2" w:lineRule="exact"/>
        <w:rPr>
          <w:sz w:val="20"/>
          <w:szCs w:val="20"/>
          <w:color w:val="auto"/>
        </w:rPr>
      </w:pPr>
    </w:p>
    <w:p>
      <w:pPr>
        <w:jc w:val="both"/>
        <w:ind w:left="180" w:right="279"/>
        <w:spacing w:after="0" w:line="207" w:lineRule="auto"/>
        <w:rPr>
          <w:sz w:val="20"/>
          <w:szCs w:val="20"/>
          <w:color w:val="auto"/>
        </w:rPr>
      </w:pPr>
      <w:r>
        <w:rPr>
          <w:rFonts w:ascii="Times New Roman" w:cs="Times New Roman" w:eastAsia="Times New Roman" w:hAnsi="Times New Roman"/>
          <w:sz w:val="18"/>
          <w:szCs w:val="18"/>
          <w:color w:val="auto"/>
        </w:rPr>
        <w:t>been appointed to serve as our Lead Technology and Cyber Risk Director. In this role, Director Adams serves as our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information is brought to our Board,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options available to our Company. In preparation for this role, Director Adams, in 2018, completed the Cyber-Risk Oversight course presented by the National Association of Corporate Directors.</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the Annual</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Meeting were made by our entire Board. Each of the nominees received the unanimous vote of the Independent Directors and each such nominee abstained with respect to his or her own nomination.</w:t>
      </w:r>
    </w:p>
    <w:p>
      <w:pPr>
        <w:spacing w:after="0" w:line="121"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Board’s Role in Risk Oversight</w:t>
      </w:r>
    </w:p>
    <w:p>
      <w:pPr>
        <w:spacing w:after="0" w:line="127"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implemented by management are adequate and functioning as designed.</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Board plays an important role in risk oversight at our Company through direct decision-making authority</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with respect to significant matters, as well as through the oversight of management by the Board and its committees. In particular, the Board administers its risk oversight function through (1) the review and discussion of regular period reports by the Board and its committees on topics relating to the risks that our Company faces, (2)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required approval by the Board (or a committee of the Board) of significant transactions and other decisions, (3) the</w:t>
      </w:r>
    </w:p>
    <w:p>
      <w:pPr>
        <w:spacing w:after="0" w:line="1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8"/>
          <w:szCs w:val="18"/>
          <w:color w:val="auto"/>
        </w:rPr>
        <w:t>direct oversight of specific areas of our Company’s business by the Audit Committee and the Compensation</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Committee with input from the Lead Technology and Cyber Risk Director, and (4) review of regular periodic reports from the auditors and other outside consultants regarding various areas of potential risk, including, among others, those relating to our internal control over financial reporting. The Board also relies on management to bring</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significant risks impacting our Company to the attention of the Board.</w:t>
      </w:r>
    </w:p>
    <w:p>
      <w:pPr>
        <w:spacing w:after="0" w:line="115"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“Controlled Company” Status</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Under Section 5615(c)(1) of the Nasdaq Listing Rules, a “controlled company” is a company in which more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than 50% of the voting power for the election of Directors is held by an individual, a group, or another company. As of the date of this Proxy Statement, Chair Margaret Cotter holds sole voting power over 1,058,988 shares of our Class B Stock, representing 63% of such shares outstanding. Together, Chair Margaret Cotter and Vice-Chair Ellen M.</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Cotter have voting power, as of the Record Date, over 1,208,988 shares, representing approximately 72% of our outstanding Class B Stock. Our Class A Stock does not have voting rights. Under applicable Nevada Law the holders of shares representing 2/3rds of the outstanding voting stock can, either by written consent or at a meeting, remove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any and all directors. Based on advice of counsel, our Board has determined that the Company is therefore a “controlled company” within the Nasdaq Listing Rules.</w:t>
      </w:r>
    </w:p>
    <w:p>
      <w:pPr>
        <w:spacing w:after="0" w:line="130" w:lineRule="exact"/>
        <w:rPr>
          <w:sz w:val="20"/>
          <w:szCs w:val="20"/>
          <w:color w:val="auto"/>
        </w:rPr>
      </w:pPr>
    </w:p>
    <w:p>
      <w:pPr>
        <w:jc w:val="both"/>
        <w:ind w:left="180" w:right="279" w:firstLine="648"/>
        <w:spacing w:after="0" w:line="213" w:lineRule="auto"/>
        <w:rPr>
          <w:sz w:val="20"/>
          <w:szCs w:val="20"/>
          <w:color w:val="auto"/>
        </w:rPr>
      </w:pPr>
      <w:r>
        <w:rPr>
          <w:rFonts w:ascii="Times New Roman" w:cs="Times New Roman" w:eastAsia="Times New Roman" w:hAnsi="Times New Roman"/>
          <w:sz w:val="18"/>
          <w:szCs w:val="18"/>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2023 Annual Meeting. See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Consideration and Selection of the Board's Director Nominees</w:t>
      </w:r>
      <w:r>
        <w:rPr>
          <w:rFonts w:ascii="Times New Roman" w:cs="Times New Roman" w:eastAsia="Times New Roman" w:hAnsi="Times New Roman"/>
          <w:sz w:val="18"/>
          <w:szCs w:val="18"/>
          <w:color w:val="auto"/>
        </w:rPr>
        <w:t>,” below.</w:t>
      </w:r>
    </w:p>
    <w:p>
      <w:pPr>
        <w:spacing w:after="0" w:line="115"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Board Commitees</w:t>
      </w:r>
    </w:p>
    <w:p>
      <w:pPr>
        <w:spacing w:after="0" w:line="127" w:lineRule="exact"/>
        <w:rPr>
          <w:sz w:val="20"/>
          <w:szCs w:val="20"/>
          <w:color w:val="auto"/>
        </w:rPr>
      </w:pPr>
    </w:p>
    <w:p>
      <w:pPr>
        <w:jc w:val="both"/>
        <w:ind w:left="180" w:right="279" w:firstLine="648"/>
        <w:spacing w:after="0" w:line="250" w:lineRule="auto"/>
        <w:rPr>
          <w:sz w:val="20"/>
          <w:szCs w:val="20"/>
          <w:color w:val="auto"/>
        </w:rPr>
      </w:pPr>
      <w:r>
        <w:rPr>
          <w:rFonts w:ascii="Times New Roman" w:cs="Times New Roman" w:eastAsia="Times New Roman" w:hAnsi="Times New Roman"/>
          <w:sz w:val="18"/>
          <w:szCs w:val="18"/>
          <w:color w:val="auto"/>
        </w:rPr>
        <w:t>Our Board has a standing Executive Committee, Audit Committee, and Compensation Committee. These committees are discussed in greater detail below.</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Our Executive Committee operates pursuant to a resolution adopted by our Board and</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is currently composed of Director Guy W. Adams, who serves as Chair, Dr. Judy Codding, who serves as Chair of the Compensation Committee, Chair Margaret Cotter, and Vice-Chair Ellen M. Cotter. As a consequence of this structure, the concurrence of at least one non-management member of the Executive Committee is required in order for the</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Executive Committee to take action. Pursuant to that resolution, the Executive Committee is authorized, to the fullest extent permitted by Nevada law and our Bylaws, to take any and all actions that could have been taken by the full Board between meetings of the full Board.</w:t>
      </w:r>
    </w:p>
    <w:p>
      <w:pPr>
        <w:spacing w:after="0" w:line="131" w:lineRule="exact"/>
        <w:rPr>
          <w:sz w:val="20"/>
          <w:szCs w:val="20"/>
          <w:color w:val="auto"/>
        </w:rPr>
      </w:pPr>
    </w:p>
    <w:p>
      <w:pPr>
        <w:ind w:left="220" w:right="279" w:firstLine="603"/>
        <w:spacing w:after="0" w:line="222" w:lineRule="auto"/>
        <w:rPr>
          <w:sz w:val="20"/>
          <w:szCs w:val="20"/>
          <w:color w:val="auto"/>
        </w:rPr>
      </w:pP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Director Doug McEachern currently serves as our Lead Independent Director. Historically, our Lead Independent Director chairs meetings of the Independent Directors (typically held as a separate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part of many of our board meetings) and acts as liaison between our Chair, Chief Executive Officer and President and our Independent Directors.</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Our Audit Committee operates pursuant to its charter which is available on our website at www.investor.readingrdi.com/corporate-governance/governance-overview. The Audit Committee is responsible for, among other things, (i) reviewing and discussing with management the Company’s financial statements, earnings</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 discussion in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Board has determined that the Audit Committee is composed entirely of Independent Directors (as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defined in section 5605(a)(2) of the Nasdaq Listing Rules) and Rule 10A-3(b)(1) of the Exchange Act, and that Director Douglas McEachern, the Chair of our Audit Committee, is an Independent Director who meets the foregoing guidelines and is qualified as an Audit Committee Financial Expert. Our Audit Committee is currently composed of</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Director McEachern, Director Dr. Judy Codding and Director Guy Adams.</w:t>
      </w:r>
    </w:p>
    <w:p>
      <w:pPr>
        <w:spacing w:after="0" w:line="1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6" w:name="page17"/>
    <w:bookmarkEnd w:id="16"/>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Our Board has established a standing Compensation Committee consisting of our three (3) Independent Directors. Director Dr. Judy Codding, who serves as Chair, Director Guy Adams and Director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adopted a Compensation Committee charter requiring our Compensation Committee members to meet the independence rules and regulations of the SEC and the Nasdaq. Our Compensation Committee charter is available on our website at https://investor.readingrdi.com/corporate-governance/governance-overview.</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Pursuant to its charter, the Compensation Committee has delegated authority to establish the compensation for all executive officers, including the Chief Executive Officer and President. However, pursuant to the charter,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compensation decisions related to Ellen Cotter or Margaret Cotter are subject to review and approval by the Board, so our Compensation Committee makes recommendations for Ellen Cotter and Margaret Cotter, subject to the approval of the Board. In addition, the Compensation Committee, among other things, (i) establishes the Company’s general</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w:t>
      </w:r>
    </w:p>
    <w:p>
      <w:pPr>
        <w:spacing w:after="0" w:line="123"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Consideraton and Selecton of the Board’s Director Nominees</w:t>
      </w:r>
    </w:p>
    <w:p>
      <w:pPr>
        <w:spacing w:after="0" w:line="127"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Our Company has elected to take advantage of the “controlled company” exemption under applicable Nasdaq Listing Rules. Accordingly, the Company does not maintain a standing Nominating Committee. Our Board, consisting of a majority of Independent Directors, approved each of the Board nominees for our 2024 Annual</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Meeting.</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Board does not have a formal policy with respect to the consideration of Director candidates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recommended by our stockholders. No non-Director stockholder has, in more than the past decade, made any formal proposal or recommendation to the Board as to potential nominees. Neither our governing documents nor applicable Nevada law place any restriction on the nomination of candidates for election to our Board directly by our Class B</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Class B stockholders, our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Board believes there is no need for a formal policy with respect to Director nominations.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Directors have not adopted any formal criteria with respect to the qualifications required to be a Director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Currently,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have no policy of considering diversity or any other specific criteria in identifying Director nominees.</w:t>
      </w:r>
    </w:p>
    <w:p>
      <w:pPr>
        <w:spacing w:after="0" w:line="124" w:lineRule="exact"/>
        <w:rPr>
          <w:sz w:val="20"/>
          <w:szCs w:val="20"/>
          <w:color w:val="auto"/>
        </w:rPr>
      </w:pPr>
    </w:p>
    <w:p>
      <w:pPr>
        <w:jc w:val="both"/>
        <w:ind w:left="180" w:right="279" w:firstLine="648"/>
        <w:spacing w:after="0" w:line="250" w:lineRule="auto"/>
        <w:rPr>
          <w:sz w:val="20"/>
          <w:szCs w:val="20"/>
          <w:color w:val="auto"/>
        </w:rPr>
      </w:pPr>
      <w:r>
        <w:rPr>
          <w:rFonts w:ascii="Times New Roman" w:cs="Times New Roman" w:eastAsia="Times New Roman" w:hAnsi="Times New Roman"/>
          <w:sz w:val="18"/>
          <w:szCs w:val="18"/>
          <w:color w:val="auto"/>
        </w:rPr>
        <w:t>Our Board has resolved to nominate all five (5) of our incumbent Directors, named in Proposal 1, for election as Directors of our Company at our Annual Meeting.</w:t>
      </w:r>
    </w:p>
    <w:p>
      <w:pPr>
        <w:spacing w:after="0" w:line="109" w:lineRule="exact"/>
        <w:rPr>
          <w:sz w:val="20"/>
          <w:szCs w:val="20"/>
          <w:color w:val="auto"/>
        </w:rPr>
      </w:pPr>
    </w:p>
    <w:p>
      <w:pPr>
        <w:jc w:val="both"/>
        <w:ind w:left="180" w:right="279" w:firstLine="648"/>
        <w:spacing w:after="0" w:line="250" w:lineRule="auto"/>
        <w:rPr>
          <w:sz w:val="20"/>
          <w:szCs w:val="20"/>
          <w:color w:val="auto"/>
        </w:rPr>
      </w:pPr>
      <w:r>
        <w:rPr>
          <w:rFonts w:ascii="Times New Roman" w:cs="Times New Roman" w:eastAsia="Times New Roman" w:hAnsi="Times New Roman"/>
          <w:sz w:val="18"/>
          <w:szCs w:val="18"/>
          <w:color w:val="auto"/>
        </w:rPr>
        <w:t>Each of the nominees named in Proposal 1 received the unanimous approval of the Directors, with each such nominee abstaining as to his or her nomination.</w:t>
      </w:r>
    </w:p>
    <w:p>
      <w:pPr>
        <w:spacing w:after="0" w:line="100"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Code of Business Conduct and Ethics</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designed to help our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Directors and employees resolve ethical issues. Our Code of Conduct applies to all Employees, Officers and Directors, including the Chief Executive Officer, the Chief Financial Officer, the Chief Accounting Officer and the Controller and all persons performing similar functions. Our Code of Conduct is posted on our website at</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https://investor.readingrdi.com/governance/governance-documents/default.aspx.</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Board has established a means for employees to report a violation or suspected violation of the Code of</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Conduct anonymously. In addition, we have adopted an “Amended and Restated Whistleblower Policy and Procedures,” which is posted on our website, at www.investor.readingrdi.com/corporate-governance/governance-overview, that establishes a process by which employees may anonymously disclose to our Principal Compliance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Officer (currently the Chair of our Audit Committee) alleged fraud or violations of accounting, internal accounting controls or auditing matters.</w:t>
      </w:r>
    </w:p>
    <w:p>
      <w:pPr>
        <w:spacing w:after="0" w:line="1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17" w:name="page18"/>
    <w:bookmarkEnd w:id="17"/>
    <w:p>
      <w:pPr>
        <w:ind w:left="180"/>
        <w:spacing w:after="0"/>
        <w:rPr>
          <w:sz w:val="20"/>
          <w:szCs w:val="20"/>
          <w:color w:val="auto"/>
        </w:rPr>
      </w:pPr>
      <w:r>
        <w:rPr>
          <w:rFonts w:ascii="Calibri" w:cs="Calibri" w:eastAsia="Calibri" w:hAnsi="Calibri"/>
          <w:sz w:val="18"/>
          <w:szCs w:val="18"/>
          <w:b w:val="1"/>
          <w:bCs w:val="1"/>
          <w:color w:val="auto"/>
        </w:rPr>
        <w:t>Review, Approval or Ratfcaton of Transactons with Related Persons</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Audit Committee charter delegates to that committee responsibility for review and approval of</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transactions between our Company and our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w:t>
      </w:r>
    </w:p>
    <w:p>
      <w:pPr>
        <w:spacing w:after="0" w:line="2" w:lineRule="exact"/>
        <w:rPr>
          <w:sz w:val="20"/>
          <w:szCs w:val="20"/>
          <w:color w:val="auto"/>
        </w:rPr>
      </w:pPr>
    </w:p>
    <w:p>
      <w:pPr>
        <w:jc w:val="both"/>
        <w:ind w:left="180" w:right="740"/>
        <w:spacing w:after="0" w:line="218" w:lineRule="auto"/>
        <w:rPr>
          <w:sz w:val="20"/>
          <w:szCs w:val="20"/>
          <w:color w:val="auto"/>
        </w:rPr>
      </w:pPr>
      <w:r>
        <w:rPr>
          <w:rFonts w:ascii="Times New Roman" w:cs="Times New Roman" w:eastAsia="Times New Roman" w:hAnsi="Times New Roman"/>
          <w:sz w:val="18"/>
          <w:szCs w:val="18"/>
          <w:color w:val="auto"/>
        </w:rPr>
        <w:t xml:space="preserve">direct or indirect interest. A copy of this charter is available at www.investor.readingrdi.com/corporate-governance/governance-overview. For additional information, see the section entitled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Diversity</w:t>
      </w:r>
    </w:p>
    <w:p>
      <w:pPr>
        <w:spacing w:after="0" w:line="162" w:lineRule="exact"/>
        <w:rPr>
          <w:sz w:val="20"/>
          <w:szCs w:val="20"/>
          <w:color w:val="auto"/>
        </w:rPr>
      </w:pPr>
    </w:p>
    <w:p>
      <w:pPr>
        <w:jc w:val="both"/>
        <w:ind w:left="180" w:right="660" w:firstLine="648"/>
        <w:spacing w:after="0" w:line="216" w:lineRule="auto"/>
        <w:rPr>
          <w:sz w:val="20"/>
          <w:szCs w:val="20"/>
          <w:color w:val="auto"/>
        </w:rPr>
      </w:pPr>
      <w:r>
        <w:rPr>
          <w:rFonts w:ascii="Times New Roman" w:cs="Times New Roman" w:eastAsia="Times New Roman" w:hAnsi="Times New Roman"/>
          <w:sz w:val="18"/>
          <w:szCs w:val="18"/>
          <w:color w:val="auto"/>
        </w:rPr>
        <w:t>The following table presents board level diversity statistics, based on voluntary self-identification of each director nominee standing for election at the annual meeting, as of October 15, 2024. Based on the following diversity statistics, our Board currently satisfies the diversity objectives under Nasdaq Listing Rule 5605(f)(2), and our Board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will continue to satisfy the diversity objectives if all director nominees are elected at the 2024 Annual Meeting.</w:t>
      </w:r>
    </w:p>
    <w:p>
      <w:pPr>
        <w:spacing w:after="0" w:line="13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Board Diversity Matrix for Reading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-116840</wp:posOffset>
            </wp:positionV>
            <wp:extent cx="5897880" cy="394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97880" cy="3943350"/>
                    </a:xfrm>
                    <a:prstGeom prst="rect">
                      <a:avLst/>
                    </a:prstGeom>
                    <a:noFill/>
                  </pic:spPr>
                </pic:pic>
              </a:graphicData>
            </a:graphic>
          </wp:anchor>
        </w:drawing>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of October 15, 2024</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351"/>
        </w:trPr>
        <w:tc>
          <w:tcPr>
            <w:tcW w:w="3660" w:type="dxa"/>
            <w:vAlign w:val="bottom"/>
            <w:tcBorders>
              <w:bottom w:val="single" w:sz="8" w:color="DEEAF6"/>
              <w:right w:val="single" w:sz="8" w:color="DEEAF6"/>
            </w:tcBorders>
            <w:shd w:val="clear" w:color="auto" w:fill="DEEAF6"/>
          </w:tcPr>
          <w:p>
            <w:pPr>
              <w:ind w:left="8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340" w:type="dxa"/>
            <w:vAlign w:val="bottom"/>
            <w:tcBorders>
              <w:bottom w:val="single" w:sz="8" w:color="DEEAF6"/>
              <w:right w:val="single" w:sz="8" w:color="DEEAF6"/>
            </w:tcBorders>
            <w:shd w:val="clear" w:color="auto" w:fill="DEEAF6"/>
          </w:tcPr>
          <w:p>
            <w:pPr>
              <w:spacing w:after="0"/>
              <w:rPr>
                <w:sz w:val="24"/>
                <w:szCs w:val="24"/>
                <w:color w:val="auto"/>
              </w:rPr>
            </w:pPr>
          </w:p>
        </w:tc>
        <w:tc>
          <w:tcPr>
            <w:tcW w:w="1400" w:type="dxa"/>
            <w:vAlign w:val="bottom"/>
            <w:tcBorders>
              <w:bottom w:val="single" w:sz="8" w:color="DEEAF6"/>
              <w:right w:val="single" w:sz="8" w:color="DEEAF6"/>
            </w:tcBorders>
            <w:shd w:val="clear" w:color="auto" w:fill="DEEAF6"/>
          </w:tcPr>
          <w:p>
            <w:pPr>
              <w:spacing w:after="0"/>
              <w:rPr>
                <w:sz w:val="24"/>
                <w:szCs w:val="24"/>
                <w:color w:val="auto"/>
              </w:rPr>
            </w:pPr>
          </w:p>
        </w:tc>
        <w:tc>
          <w:tcPr>
            <w:tcW w:w="1420" w:type="dxa"/>
            <w:vAlign w:val="bottom"/>
            <w:tcBorders>
              <w:bottom w:val="single" w:sz="8" w:color="DEEAF6"/>
              <w:right w:val="single" w:sz="8" w:color="DEEAF6"/>
            </w:tcBorders>
            <w:shd w:val="clear" w:color="auto" w:fill="DEEAF6"/>
          </w:tcPr>
          <w:p>
            <w:pPr>
              <w:jc w:val="right"/>
              <w:ind w:right="1231"/>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60" w:type="dxa"/>
            <w:vAlign w:val="bottom"/>
            <w:tcBorders>
              <w:bottom w:val="single" w:sz="8" w:color="DEEAF6"/>
            </w:tcBorders>
            <w:shd w:val="clear" w:color="auto" w:fill="DEEAF6"/>
          </w:tcPr>
          <w:p>
            <w:pPr>
              <w:spacing w:after="0"/>
              <w:rPr>
                <w:sz w:val="24"/>
                <w:szCs w:val="24"/>
                <w:color w:val="auto"/>
              </w:rPr>
            </w:pPr>
          </w:p>
        </w:tc>
        <w:tc>
          <w:tcPr>
            <w:tcW w:w="20" w:type="dxa"/>
            <w:vAlign w:val="bottom"/>
          </w:tcPr>
          <w:p>
            <w:pPr>
              <w:spacing w:after="0"/>
              <w:rPr>
                <w:sz w:val="24"/>
                <w:szCs w:val="24"/>
                <w:color w:val="auto"/>
              </w:rPr>
            </w:pPr>
          </w:p>
        </w:tc>
      </w:tr>
      <w:tr>
        <w:trPr>
          <w:trHeight w:val="138"/>
        </w:trPr>
        <w:tc>
          <w:tcPr>
            <w:tcW w:w="366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ind w:left="400"/>
              <w:spacing w:after="0" w:line="138" w:lineRule="exact"/>
              <w:rPr>
                <w:sz w:val="20"/>
                <w:szCs w:val="20"/>
                <w:color w:val="auto"/>
              </w:rPr>
            </w:pPr>
            <w:r>
              <w:rPr>
                <w:rFonts w:ascii="Times New Roman" w:cs="Times New Roman" w:eastAsia="Times New Roman" w:hAnsi="Times New Roman"/>
                <w:sz w:val="16"/>
                <w:szCs w:val="16"/>
                <w:b w:val="1"/>
                <w:bCs w:val="1"/>
                <w:color w:val="auto"/>
              </w:rPr>
              <w:t>Female</w:t>
            </w:r>
          </w:p>
        </w:tc>
        <w:tc>
          <w:tcPr>
            <w:tcW w:w="1400" w:type="dxa"/>
            <w:vAlign w:val="bottom"/>
            <w:tcBorders>
              <w:top w:val="single" w:sz="8" w:color="auto"/>
              <w:right w:val="single" w:sz="8" w:color="auto"/>
            </w:tcBorders>
          </w:tcPr>
          <w:p>
            <w:pPr>
              <w:ind w:left="500"/>
              <w:spacing w:after="0" w:line="138" w:lineRule="exact"/>
              <w:rPr>
                <w:sz w:val="20"/>
                <w:szCs w:val="20"/>
                <w:color w:val="auto"/>
              </w:rPr>
            </w:pPr>
            <w:r>
              <w:rPr>
                <w:rFonts w:ascii="Times New Roman" w:cs="Times New Roman" w:eastAsia="Times New Roman" w:hAnsi="Times New Roman"/>
                <w:sz w:val="16"/>
                <w:szCs w:val="16"/>
                <w:b w:val="1"/>
                <w:bCs w:val="1"/>
                <w:color w:val="auto"/>
              </w:rPr>
              <w:t>Male</w:t>
            </w:r>
          </w:p>
        </w:tc>
        <w:tc>
          <w:tcPr>
            <w:tcW w:w="1420" w:type="dxa"/>
            <w:vAlign w:val="bottom"/>
            <w:tcBorders>
              <w:top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6"/>
                <w:szCs w:val="16"/>
                <w:b w:val="1"/>
                <w:bCs w:val="1"/>
                <w:color w:val="auto"/>
              </w:rPr>
              <w:t>Non-Binary</w:t>
            </w:r>
          </w:p>
        </w:tc>
        <w:tc>
          <w:tcPr>
            <w:tcW w:w="146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6"/>
                <w:szCs w:val="16"/>
                <w:b w:val="1"/>
                <w:bCs w:val="1"/>
                <w:color w:val="auto"/>
              </w:rPr>
              <w:t>Did Not Disclose</w:t>
            </w:r>
          </w:p>
        </w:tc>
        <w:tc>
          <w:tcPr>
            <w:tcW w:w="20" w:type="dxa"/>
            <w:vAlign w:val="bottom"/>
            <w:tcBorders>
              <w:top w:val="single" w:sz="8" w:color="auto"/>
            </w:tcBorders>
          </w:tcPr>
          <w:p>
            <w:pPr>
              <w:spacing w:after="0"/>
              <w:rPr>
                <w:sz w:val="12"/>
                <w:szCs w:val="12"/>
                <w:color w:val="auto"/>
              </w:rPr>
            </w:pPr>
          </w:p>
        </w:tc>
      </w:tr>
      <w:tr>
        <w:trPr>
          <w:trHeight w:val="179"/>
        </w:trPr>
        <w:tc>
          <w:tcPr>
            <w:tcW w:w="36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Gender</w:t>
            </w:r>
          </w:p>
        </w:tc>
        <w:tc>
          <w:tcPr>
            <w:tcW w:w="20" w:type="dxa"/>
            <w:vAlign w:val="bottom"/>
            <w:tcBorders>
              <w:bottom w:val="single" w:sz="8" w:color="auto"/>
            </w:tcBorders>
          </w:tcPr>
          <w:p>
            <w:pPr>
              <w:spacing w:after="0"/>
              <w:rPr>
                <w:sz w:val="15"/>
                <w:szCs w:val="15"/>
                <w:color w:val="auto"/>
              </w:rPr>
            </w:pPr>
          </w:p>
        </w:tc>
      </w:tr>
      <w:tr>
        <w:trPr>
          <w:trHeight w:val="232"/>
        </w:trPr>
        <w:tc>
          <w:tcPr>
            <w:tcW w:w="3660" w:type="dxa"/>
            <w:vAlign w:val="bottom"/>
            <w:tcBorders>
              <w:right w:val="single" w:sz="8" w:color="DEEAF6"/>
            </w:tcBorders>
            <w:shd w:val="clear" w:color="auto" w:fill="DEEAF6"/>
          </w:tcPr>
          <w:p>
            <w:pPr>
              <w:ind w:left="1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340" w:type="dxa"/>
            <w:vAlign w:val="bottom"/>
            <w:tcBorders>
              <w:right w:val="single" w:sz="8" w:color="DEEAF6"/>
            </w:tcBorders>
            <w:shd w:val="clear" w:color="auto" w:fill="DEEAF6"/>
          </w:tcPr>
          <w:p>
            <w:pPr>
              <w:spacing w:after="0"/>
              <w:rPr>
                <w:sz w:val="20"/>
                <w:szCs w:val="20"/>
                <w:color w:val="auto"/>
              </w:rPr>
            </w:pPr>
          </w:p>
        </w:tc>
        <w:tc>
          <w:tcPr>
            <w:tcW w:w="1400" w:type="dxa"/>
            <w:vAlign w:val="bottom"/>
            <w:tcBorders>
              <w:right w:val="single" w:sz="8" w:color="DEEAF6"/>
            </w:tcBorders>
            <w:shd w:val="clear" w:color="auto" w:fill="DEEAF6"/>
          </w:tcPr>
          <w:p>
            <w:pPr>
              <w:spacing w:after="0"/>
              <w:rPr>
                <w:sz w:val="20"/>
                <w:szCs w:val="20"/>
                <w:color w:val="auto"/>
              </w:rPr>
            </w:pPr>
          </w:p>
        </w:tc>
        <w:tc>
          <w:tcPr>
            <w:tcW w:w="1420" w:type="dxa"/>
            <w:vAlign w:val="bottom"/>
            <w:tcBorders>
              <w:right w:val="single" w:sz="8" w:color="DEEAF6"/>
            </w:tcBorders>
            <w:shd w:val="clear" w:color="auto" w:fill="DEEAF6"/>
          </w:tcPr>
          <w:p>
            <w:pPr>
              <w:spacing w:after="0"/>
              <w:rPr>
                <w:sz w:val="20"/>
                <w:szCs w:val="20"/>
                <w:color w:val="auto"/>
              </w:rPr>
            </w:pPr>
          </w:p>
        </w:tc>
        <w:tc>
          <w:tcPr>
            <w:tcW w:w="1460" w:type="dxa"/>
            <w:vAlign w:val="bottom"/>
            <w:shd w:val="clear" w:color="auto" w:fill="DEEAF6"/>
          </w:tcPr>
          <w:p>
            <w:pPr>
              <w:spacing w:after="0"/>
              <w:rPr>
                <w:sz w:val="20"/>
                <w:szCs w:val="20"/>
                <w:color w:val="auto"/>
              </w:rPr>
            </w:pPr>
          </w:p>
        </w:tc>
        <w:tc>
          <w:tcPr>
            <w:tcW w:w="20" w:type="dxa"/>
            <w:vAlign w:val="bottom"/>
          </w:tcPr>
          <w:p>
            <w:pPr>
              <w:spacing w:after="0"/>
              <w:rPr>
                <w:sz w:val="20"/>
                <w:szCs w:val="20"/>
                <w:color w:val="auto"/>
              </w:rPr>
            </w:pPr>
          </w:p>
        </w:tc>
      </w:tr>
      <w:tr>
        <w:trPr>
          <w:trHeight w:val="140"/>
        </w:trPr>
        <w:tc>
          <w:tcPr>
            <w:tcW w:w="3660" w:type="dxa"/>
            <w:vAlign w:val="bottom"/>
            <w:tcBorders>
              <w:bottom w:val="single" w:sz="8" w:color="auto"/>
              <w:right w:val="single" w:sz="8" w:color="DEEAF6"/>
            </w:tcBorders>
            <w:shd w:val="clear" w:color="auto" w:fill="DEEAF6"/>
          </w:tcPr>
          <w:p>
            <w:pPr>
              <w:spacing w:after="0"/>
              <w:rPr>
                <w:sz w:val="12"/>
                <w:szCs w:val="12"/>
                <w:color w:val="auto"/>
              </w:rPr>
            </w:pPr>
          </w:p>
        </w:tc>
        <w:tc>
          <w:tcPr>
            <w:tcW w:w="1340" w:type="dxa"/>
            <w:vAlign w:val="bottom"/>
            <w:tcBorders>
              <w:bottom w:val="single" w:sz="8" w:color="auto"/>
              <w:right w:val="single" w:sz="8" w:color="DEEAF6"/>
            </w:tcBorders>
            <w:shd w:val="clear" w:color="auto" w:fill="DEEAF6"/>
          </w:tcPr>
          <w:p>
            <w:pPr>
              <w:spacing w:after="0"/>
              <w:rPr>
                <w:sz w:val="12"/>
                <w:szCs w:val="12"/>
                <w:color w:val="auto"/>
              </w:rPr>
            </w:pPr>
          </w:p>
        </w:tc>
        <w:tc>
          <w:tcPr>
            <w:tcW w:w="1400" w:type="dxa"/>
            <w:vAlign w:val="bottom"/>
            <w:tcBorders>
              <w:bottom w:val="single" w:sz="8" w:color="auto"/>
              <w:right w:val="single" w:sz="8" w:color="DEEAF6"/>
            </w:tcBorders>
            <w:shd w:val="clear" w:color="auto" w:fill="DEEAF6"/>
          </w:tcPr>
          <w:p>
            <w:pPr>
              <w:spacing w:after="0"/>
              <w:rPr>
                <w:sz w:val="12"/>
                <w:szCs w:val="12"/>
                <w:color w:val="auto"/>
              </w:rPr>
            </w:pPr>
          </w:p>
        </w:tc>
        <w:tc>
          <w:tcPr>
            <w:tcW w:w="1420" w:type="dxa"/>
            <w:vAlign w:val="bottom"/>
            <w:tcBorders>
              <w:bottom w:val="single" w:sz="8" w:color="auto"/>
              <w:right w:val="single" w:sz="8" w:color="DEEAF6"/>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32"/>
        </w:trPr>
        <w:tc>
          <w:tcPr>
            <w:tcW w:w="3660" w:type="dxa"/>
            <w:vAlign w:val="bottom"/>
            <w:tcBorders>
              <w:right w:val="single" w:sz="8" w:color="DEEAF6"/>
            </w:tcBorders>
            <w:shd w:val="clear" w:color="auto" w:fill="DEEAF6"/>
          </w:tcPr>
          <w:p>
            <w:pPr>
              <w:ind w:left="1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340" w:type="dxa"/>
            <w:vAlign w:val="bottom"/>
            <w:tcBorders>
              <w:right w:val="single" w:sz="8" w:color="DEEAF6"/>
            </w:tcBorders>
            <w:shd w:val="clear" w:color="auto" w:fill="DEEAF6"/>
          </w:tcPr>
          <w:p>
            <w:pPr>
              <w:spacing w:after="0"/>
              <w:rPr>
                <w:sz w:val="20"/>
                <w:szCs w:val="20"/>
                <w:color w:val="auto"/>
              </w:rPr>
            </w:pPr>
          </w:p>
        </w:tc>
        <w:tc>
          <w:tcPr>
            <w:tcW w:w="1400" w:type="dxa"/>
            <w:vAlign w:val="bottom"/>
            <w:tcBorders>
              <w:right w:val="single" w:sz="8" w:color="DEEAF6"/>
            </w:tcBorders>
            <w:shd w:val="clear" w:color="auto" w:fill="DEEAF6"/>
          </w:tcPr>
          <w:p>
            <w:pPr>
              <w:spacing w:after="0"/>
              <w:rPr>
                <w:sz w:val="20"/>
                <w:szCs w:val="20"/>
                <w:color w:val="auto"/>
              </w:rPr>
            </w:pPr>
          </w:p>
        </w:tc>
        <w:tc>
          <w:tcPr>
            <w:tcW w:w="1420" w:type="dxa"/>
            <w:vAlign w:val="bottom"/>
            <w:tcBorders>
              <w:right w:val="single" w:sz="8" w:color="DEEAF6"/>
            </w:tcBorders>
            <w:shd w:val="clear" w:color="auto" w:fill="DEEAF6"/>
          </w:tcPr>
          <w:p>
            <w:pPr>
              <w:spacing w:after="0"/>
              <w:rPr>
                <w:sz w:val="20"/>
                <w:szCs w:val="20"/>
                <w:color w:val="auto"/>
              </w:rPr>
            </w:pPr>
          </w:p>
        </w:tc>
        <w:tc>
          <w:tcPr>
            <w:tcW w:w="1460" w:type="dxa"/>
            <w:vAlign w:val="bottom"/>
            <w:shd w:val="clear" w:color="auto" w:fill="DEEAF6"/>
          </w:tcPr>
          <w:p>
            <w:pPr>
              <w:spacing w:after="0"/>
              <w:rPr>
                <w:sz w:val="20"/>
                <w:szCs w:val="20"/>
                <w:color w:val="auto"/>
              </w:rPr>
            </w:pPr>
          </w:p>
        </w:tc>
        <w:tc>
          <w:tcPr>
            <w:tcW w:w="20" w:type="dxa"/>
            <w:vAlign w:val="bottom"/>
          </w:tcPr>
          <w:p>
            <w:pPr>
              <w:spacing w:after="0"/>
              <w:rPr>
                <w:sz w:val="20"/>
                <w:szCs w:val="20"/>
                <w:color w:val="auto"/>
              </w:rPr>
            </w:pPr>
          </w:p>
        </w:tc>
      </w:tr>
      <w:tr>
        <w:trPr>
          <w:trHeight w:val="140"/>
        </w:trPr>
        <w:tc>
          <w:tcPr>
            <w:tcW w:w="3660" w:type="dxa"/>
            <w:vAlign w:val="bottom"/>
            <w:tcBorders>
              <w:bottom w:val="single" w:sz="8" w:color="auto"/>
              <w:right w:val="single" w:sz="8" w:color="DEEAF6"/>
            </w:tcBorders>
            <w:shd w:val="clear" w:color="auto" w:fill="DEEAF6"/>
          </w:tcPr>
          <w:p>
            <w:pPr>
              <w:spacing w:after="0"/>
              <w:rPr>
                <w:sz w:val="12"/>
                <w:szCs w:val="12"/>
                <w:color w:val="auto"/>
              </w:rPr>
            </w:pPr>
          </w:p>
        </w:tc>
        <w:tc>
          <w:tcPr>
            <w:tcW w:w="1340" w:type="dxa"/>
            <w:vAlign w:val="bottom"/>
            <w:tcBorders>
              <w:bottom w:val="single" w:sz="8" w:color="auto"/>
              <w:right w:val="single" w:sz="8" w:color="DEEAF6"/>
            </w:tcBorders>
            <w:shd w:val="clear" w:color="auto" w:fill="DEEAF6"/>
          </w:tcPr>
          <w:p>
            <w:pPr>
              <w:spacing w:after="0"/>
              <w:rPr>
                <w:sz w:val="12"/>
                <w:szCs w:val="12"/>
                <w:color w:val="auto"/>
              </w:rPr>
            </w:pPr>
          </w:p>
        </w:tc>
        <w:tc>
          <w:tcPr>
            <w:tcW w:w="1400" w:type="dxa"/>
            <w:vAlign w:val="bottom"/>
            <w:tcBorders>
              <w:bottom w:val="single" w:sz="8" w:color="auto"/>
              <w:right w:val="single" w:sz="8" w:color="DEEAF6"/>
            </w:tcBorders>
            <w:shd w:val="clear" w:color="auto" w:fill="DEEAF6"/>
          </w:tcPr>
          <w:p>
            <w:pPr>
              <w:spacing w:after="0"/>
              <w:rPr>
                <w:sz w:val="12"/>
                <w:szCs w:val="12"/>
                <w:color w:val="auto"/>
              </w:rPr>
            </w:pPr>
          </w:p>
        </w:tc>
        <w:tc>
          <w:tcPr>
            <w:tcW w:w="1420" w:type="dxa"/>
            <w:vAlign w:val="bottom"/>
            <w:tcBorders>
              <w:bottom w:val="single" w:sz="8" w:color="auto"/>
              <w:right w:val="single" w:sz="8" w:color="DEEAF6"/>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Hispanic or Latinx</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White</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LGBTQ+</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80"/>
          </w:cols>
          <w:pgMar w:left="1440" w:top="274" w:right="979" w:bottom="1440" w:gutter="0" w:footer="0" w:header="0"/>
        </w:sectPr>
      </w:pPr>
    </w:p>
    <w:bookmarkStart w:id="18" w:name="page19"/>
    <w:bookmarkEnd w:id="18"/>
    <w:p>
      <w:pPr>
        <w:jc w:val="center"/>
        <w:ind w:right="-179"/>
        <w:spacing w:after="0"/>
        <w:rPr>
          <w:sz w:val="20"/>
          <w:szCs w:val="20"/>
          <w:color w:val="auto"/>
        </w:rPr>
      </w:pPr>
      <w:r>
        <w:rPr>
          <w:rFonts w:ascii="Calibri" w:cs="Calibri" w:eastAsia="Calibri" w:hAnsi="Calibri"/>
          <w:sz w:val="18"/>
          <w:szCs w:val="18"/>
          <w:b w:val="1"/>
          <w:bCs w:val="1"/>
          <w:color w:val="auto"/>
        </w:rPr>
        <w:t>PROPOSAL 1: Electon of Directors</w:t>
      </w:r>
    </w:p>
    <w:p>
      <w:pPr>
        <w:spacing w:after="0" w:line="118"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Nominees for Electon</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Five (5) directors are to be elected at our Annual Meeting to serve until the Annual Meeting of stockholders</w:t>
      </w:r>
    </w:p>
    <w:p>
      <w:pPr>
        <w:spacing w:after="0" w:line="2" w:lineRule="exact"/>
        <w:rPr>
          <w:sz w:val="20"/>
          <w:szCs w:val="20"/>
          <w:color w:val="auto"/>
        </w:rPr>
      </w:pPr>
    </w:p>
    <w:p>
      <w:pPr>
        <w:jc w:val="both"/>
        <w:ind w:left="180" w:right="740"/>
        <w:spacing w:after="0" w:line="214" w:lineRule="auto"/>
        <w:rPr>
          <w:sz w:val="20"/>
          <w:szCs w:val="20"/>
          <w:color w:val="auto"/>
        </w:rPr>
      </w:pPr>
      <w:r>
        <w:rPr>
          <w:rFonts w:ascii="Times New Roman" w:cs="Times New Roman" w:eastAsia="Times New Roman" w:hAnsi="Times New Roman"/>
          <w:sz w:val="18"/>
          <w:szCs w:val="18"/>
          <w:color w:val="auto"/>
        </w:rPr>
        <w:t>to be held in 2025 or until their successors are duly elected and qualified. Unless otherwise instructed, the proxyholders will vote the proxies received by us “FOR” the election of the nominees below, all of whom currently serve as Directors. The five (5) nominees for election to the Board who receive the greatest number of votes cast for the election of Directors by the shares present and entitled to vote will be elected Directors.</w:t>
      </w:r>
    </w:p>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names of the nominees for Director, together with certain information regarding them, are as follows:</w:t>
      </w:r>
    </w:p>
    <w:p>
      <w:pPr>
        <w:spacing w:after="0" w:line="358" w:lineRule="exact"/>
        <w:rPr>
          <w:sz w:val="20"/>
          <w:szCs w:val="20"/>
          <w:color w:val="auto"/>
        </w:rPr>
      </w:pPr>
    </w:p>
    <w:tbl>
      <w:tblPr>
        <w:tblLayout w:type="fixed"/>
        <w:tblInd w:w="190" w:type="dxa"/>
        <w:tblCellMar>
          <w:top w:w="0" w:type="dxa"/>
          <w:left w:w="0" w:type="dxa"/>
          <w:bottom w:w="0" w:type="dxa"/>
          <w:right w:w="0" w:type="dxa"/>
        </w:tblCellMar>
      </w:tblPr>
      <w:tr>
        <w:trPr>
          <w:trHeight w:val="297"/>
        </w:trPr>
        <w:tc>
          <w:tcPr>
            <w:tcW w:w="340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80" w:type="dxa"/>
            <w:vAlign w:val="bottom"/>
            <w:tcBorders>
              <w:top w:val="single" w:sz="8" w:color="auto"/>
              <w:right w:val="single" w:sz="8" w:color="auto"/>
            </w:tcBorders>
          </w:tcPr>
          <w:p>
            <w:pPr>
              <w:jc w:val="center"/>
              <w:ind w:right="654"/>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r>
      <w:tr>
        <w:trPr>
          <w:trHeight w:val="142"/>
        </w:trPr>
        <w:tc>
          <w:tcPr>
            <w:tcW w:w="3400" w:type="dxa"/>
            <w:vAlign w:val="bottom"/>
            <w:tcBorders>
              <w:left w:val="single" w:sz="8" w:color="auto"/>
              <w:right w:val="single" w:sz="8" w:color="auto"/>
            </w:tcBorders>
            <w:shd w:val="clear" w:color="auto" w:fill="D0E7FC"/>
          </w:tcPr>
          <w:p>
            <w:pPr>
              <w:ind w:left="140"/>
              <w:spacing w:after="0" w:line="142" w:lineRule="exact"/>
              <w:rPr>
                <w:sz w:val="20"/>
                <w:szCs w:val="20"/>
                <w:color w:val="auto"/>
              </w:rPr>
            </w:pPr>
            <w:r>
              <w:rPr>
                <w:rFonts w:ascii="Times New Roman" w:cs="Times New Roman" w:eastAsia="Times New Roman" w:hAnsi="Times New Roman"/>
                <w:sz w:val="16"/>
                <w:szCs w:val="16"/>
                <w:color w:val="auto"/>
              </w:rPr>
              <w:t>Margaret Cotter</w:t>
            </w:r>
          </w:p>
        </w:tc>
        <w:tc>
          <w:tcPr>
            <w:tcW w:w="1280" w:type="dxa"/>
            <w:vAlign w:val="bottom"/>
            <w:tcBorders>
              <w:right w:val="single" w:sz="8" w:color="auto"/>
            </w:tcBorders>
            <w:shd w:val="clear" w:color="auto" w:fill="D0E7FC"/>
          </w:tcPr>
          <w:p>
            <w:pPr>
              <w:jc w:val="center"/>
              <w:ind w:right="654"/>
              <w:spacing w:after="0" w:line="142" w:lineRule="exact"/>
              <w:rPr>
                <w:sz w:val="20"/>
                <w:szCs w:val="20"/>
                <w:color w:val="auto"/>
              </w:rPr>
            </w:pPr>
            <w:r>
              <w:rPr>
                <w:rFonts w:ascii="Times New Roman" w:cs="Times New Roman" w:eastAsia="Times New Roman" w:hAnsi="Times New Roman"/>
                <w:sz w:val="16"/>
                <w:szCs w:val="16"/>
                <w:color w:val="auto"/>
              </w:rPr>
              <w:t>56</w:t>
            </w:r>
          </w:p>
        </w:tc>
        <w:tc>
          <w:tcPr>
            <w:tcW w:w="4640" w:type="dxa"/>
            <w:vAlign w:val="bottom"/>
            <w:tcBorders>
              <w:right w:val="single" w:sz="8" w:color="auto"/>
            </w:tcBorders>
            <w:shd w:val="clear" w:color="auto" w:fill="D0E7FC"/>
          </w:tcPr>
          <w:p>
            <w:pPr>
              <w:ind w:left="120"/>
              <w:spacing w:after="0" w:line="142" w:lineRule="exact"/>
              <w:rPr>
                <w:sz w:val="20"/>
                <w:szCs w:val="20"/>
                <w:color w:val="auto"/>
              </w:rPr>
            </w:pPr>
            <w:r>
              <w:rPr>
                <w:rFonts w:ascii="Times New Roman" w:cs="Times New Roman" w:eastAsia="Times New Roman" w:hAnsi="Times New Roman"/>
                <w:sz w:val="16"/>
                <w:szCs w:val="16"/>
                <w:color w:val="auto"/>
              </w:rPr>
              <w:t>Chair of the Board and Executive Vice President,</w:t>
            </w:r>
          </w:p>
        </w:tc>
      </w:tr>
      <w:tr>
        <w:trPr>
          <w:trHeight w:val="234"/>
        </w:trPr>
        <w:tc>
          <w:tcPr>
            <w:tcW w:w="3400" w:type="dxa"/>
            <w:vAlign w:val="bottom"/>
            <w:tcBorders>
              <w:left w:val="single" w:sz="8" w:color="auto"/>
              <w:right w:val="single" w:sz="8" w:color="auto"/>
            </w:tcBorders>
            <w:shd w:val="clear" w:color="auto" w:fill="D0E7FC"/>
          </w:tcPr>
          <w:p>
            <w:pPr>
              <w:spacing w:after="0"/>
              <w:rPr>
                <w:sz w:val="20"/>
                <w:szCs w:val="20"/>
                <w:color w:val="auto"/>
              </w:rPr>
            </w:pPr>
          </w:p>
        </w:tc>
        <w:tc>
          <w:tcPr>
            <w:tcW w:w="1280" w:type="dxa"/>
            <w:vAlign w:val="bottom"/>
            <w:tcBorders>
              <w:right w:val="single" w:sz="8" w:color="auto"/>
            </w:tcBorders>
            <w:shd w:val="clear" w:color="auto" w:fill="D0E7FC"/>
          </w:tcPr>
          <w:p>
            <w:pPr>
              <w:spacing w:after="0"/>
              <w:rPr>
                <w:sz w:val="20"/>
                <w:szCs w:val="20"/>
                <w:color w:val="auto"/>
              </w:rPr>
            </w:pPr>
          </w:p>
        </w:tc>
        <w:tc>
          <w:tcPr>
            <w:tcW w:w="4640" w:type="dxa"/>
            <w:vAlign w:val="bottom"/>
            <w:tcBorders>
              <w:right w:val="single" w:sz="8" w:color="auto"/>
            </w:tcBorders>
            <w:shd w:val="clear" w:color="auto" w:fill="D0E7FC"/>
          </w:tcPr>
          <w:p>
            <w:pPr>
              <w:ind w:left="120"/>
              <w:spacing w:after="0"/>
              <w:rPr>
                <w:sz w:val="20"/>
                <w:szCs w:val="20"/>
                <w:color w:val="auto"/>
              </w:rPr>
            </w:pPr>
            <w:r>
              <w:rPr>
                <w:rFonts w:ascii="Times New Roman" w:cs="Times New Roman" w:eastAsia="Times New Roman" w:hAnsi="Times New Roman"/>
                <w:sz w:val="18"/>
                <w:szCs w:val="18"/>
                <w:color w:val="auto"/>
              </w:rPr>
              <w:t>Real Estate Management and Development (1)</w:t>
            </w:r>
          </w:p>
        </w:tc>
      </w:tr>
      <w:tr>
        <w:trPr>
          <w:trHeight w:val="63"/>
        </w:trPr>
        <w:tc>
          <w:tcPr>
            <w:tcW w:w="3400" w:type="dxa"/>
            <w:vAlign w:val="bottom"/>
            <w:tcBorders>
              <w:left w:val="single" w:sz="8" w:color="auto"/>
              <w:bottom w:val="single" w:sz="8" w:color="auto"/>
              <w:right w:val="single" w:sz="8" w:color="auto"/>
            </w:tcBorders>
            <w:shd w:val="clear" w:color="auto" w:fill="D0E7FC"/>
          </w:tcPr>
          <w:p>
            <w:pPr>
              <w:spacing w:after="0"/>
              <w:rPr>
                <w:sz w:val="5"/>
                <w:szCs w:val="5"/>
                <w:color w:val="auto"/>
              </w:rPr>
            </w:pPr>
          </w:p>
        </w:tc>
        <w:tc>
          <w:tcPr>
            <w:tcW w:w="1280" w:type="dxa"/>
            <w:vAlign w:val="bottom"/>
            <w:tcBorders>
              <w:bottom w:val="single" w:sz="8" w:color="auto"/>
              <w:right w:val="single" w:sz="8" w:color="auto"/>
            </w:tcBorders>
            <w:shd w:val="clear" w:color="auto" w:fill="D0E7FC"/>
          </w:tcPr>
          <w:p>
            <w:pPr>
              <w:spacing w:after="0"/>
              <w:rPr>
                <w:sz w:val="5"/>
                <w:szCs w:val="5"/>
                <w:color w:val="auto"/>
              </w:rPr>
            </w:pPr>
          </w:p>
        </w:tc>
        <w:tc>
          <w:tcPr>
            <w:tcW w:w="4640" w:type="dxa"/>
            <w:vAlign w:val="bottom"/>
            <w:tcBorders>
              <w:bottom w:val="single" w:sz="8" w:color="auto"/>
              <w:right w:val="single" w:sz="8" w:color="auto"/>
            </w:tcBorders>
            <w:shd w:val="clear" w:color="auto" w:fill="D0E7FC"/>
          </w:tcPr>
          <w:p>
            <w:pPr>
              <w:spacing w:after="0"/>
              <w:rPr>
                <w:sz w:val="5"/>
                <w:szCs w:val="5"/>
                <w:color w:val="auto"/>
              </w:rPr>
            </w:pPr>
          </w:p>
        </w:tc>
      </w:tr>
      <w:tr>
        <w:trPr>
          <w:trHeight w:val="142"/>
        </w:trPr>
        <w:tc>
          <w:tcPr>
            <w:tcW w:w="3400" w:type="dxa"/>
            <w:vAlign w:val="bottom"/>
            <w:tcBorders>
              <w:left w:val="single" w:sz="8" w:color="auto"/>
              <w:right w:val="single" w:sz="8" w:color="auto"/>
            </w:tcBorders>
          </w:tcPr>
          <w:p>
            <w:pPr>
              <w:ind w:left="140"/>
              <w:spacing w:after="0" w:line="142" w:lineRule="exact"/>
              <w:rPr>
                <w:sz w:val="20"/>
                <w:szCs w:val="20"/>
                <w:color w:val="auto"/>
              </w:rPr>
            </w:pPr>
            <w:r>
              <w:rPr>
                <w:rFonts w:ascii="Times New Roman" w:cs="Times New Roman" w:eastAsia="Times New Roman" w:hAnsi="Times New Roman"/>
                <w:sz w:val="16"/>
                <w:szCs w:val="16"/>
                <w:color w:val="auto"/>
              </w:rPr>
              <w:t>Ellen M. Cotter</w:t>
            </w:r>
          </w:p>
        </w:tc>
        <w:tc>
          <w:tcPr>
            <w:tcW w:w="1280" w:type="dxa"/>
            <w:vAlign w:val="bottom"/>
            <w:tcBorders>
              <w:right w:val="single" w:sz="8" w:color="auto"/>
            </w:tcBorders>
          </w:tcPr>
          <w:p>
            <w:pPr>
              <w:jc w:val="center"/>
              <w:ind w:right="654"/>
              <w:spacing w:after="0" w:line="142" w:lineRule="exact"/>
              <w:rPr>
                <w:sz w:val="20"/>
                <w:szCs w:val="20"/>
                <w:color w:val="auto"/>
              </w:rPr>
            </w:pPr>
            <w:r>
              <w:rPr>
                <w:rFonts w:ascii="Times New Roman" w:cs="Times New Roman" w:eastAsia="Times New Roman" w:hAnsi="Times New Roman"/>
                <w:sz w:val="16"/>
                <w:szCs w:val="16"/>
                <w:color w:val="auto"/>
              </w:rPr>
              <w:t>58</w:t>
            </w:r>
          </w:p>
        </w:tc>
        <w:tc>
          <w:tcPr>
            <w:tcW w:w="4640" w:type="dxa"/>
            <w:vAlign w:val="bottom"/>
            <w:tcBorders>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6"/>
                <w:szCs w:val="16"/>
                <w:color w:val="auto"/>
              </w:rPr>
              <w:t>Vice-Chair,   Chief   Executive   Officer   and</w:t>
            </w:r>
          </w:p>
        </w:tc>
      </w:tr>
      <w:tr>
        <w:trPr>
          <w:trHeight w:val="234"/>
        </w:trPr>
        <w:tc>
          <w:tcPr>
            <w:tcW w:w="340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President (1)</w:t>
            </w:r>
          </w:p>
        </w:tc>
      </w:tr>
      <w:tr>
        <w:trPr>
          <w:trHeight w:val="103"/>
        </w:trPr>
        <w:tc>
          <w:tcPr>
            <w:tcW w:w="3400" w:type="dxa"/>
            <w:vAlign w:val="bottom"/>
            <w:tcBorders>
              <w:left w:val="single" w:sz="8" w:color="auto"/>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4640" w:type="dxa"/>
            <w:vAlign w:val="bottom"/>
            <w:tcBorders>
              <w:bottom w:val="single" w:sz="8" w:color="auto"/>
              <w:right w:val="single" w:sz="8" w:color="auto"/>
            </w:tcBorders>
          </w:tcPr>
          <w:p>
            <w:pPr>
              <w:spacing w:after="0"/>
              <w:rPr>
                <w:sz w:val="8"/>
                <w:szCs w:val="8"/>
                <w:color w:val="auto"/>
              </w:rPr>
            </w:pPr>
          </w:p>
        </w:tc>
      </w:tr>
      <w:tr>
        <w:trPr>
          <w:trHeight w:val="228"/>
        </w:trPr>
        <w:tc>
          <w:tcPr>
            <w:tcW w:w="3400" w:type="dxa"/>
            <w:vAlign w:val="bottom"/>
            <w:tcBorders>
              <w:left w:val="single" w:sz="8" w:color="auto"/>
              <w:right w:val="single" w:sz="8" w:color="auto"/>
            </w:tcBorders>
            <w:shd w:val="clear" w:color="auto" w:fill="D0E7FC"/>
          </w:tcPr>
          <w:p>
            <w:pPr>
              <w:ind w:left="140"/>
              <w:spacing w:after="0"/>
              <w:rPr>
                <w:sz w:val="20"/>
                <w:szCs w:val="20"/>
                <w:color w:val="auto"/>
              </w:rPr>
            </w:pPr>
            <w:r>
              <w:rPr>
                <w:rFonts w:ascii="Times New Roman" w:cs="Times New Roman" w:eastAsia="Times New Roman" w:hAnsi="Times New Roman"/>
                <w:sz w:val="18"/>
                <w:szCs w:val="18"/>
                <w:color w:val="auto"/>
              </w:rPr>
              <w:t>Guy W. Adams</w:t>
            </w:r>
          </w:p>
        </w:tc>
        <w:tc>
          <w:tcPr>
            <w:tcW w:w="1280" w:type="dxa"/>
            <w:vAlign w:val="bottom"/>
            <w:tcBorders>
              <w:right w:val="single" w:sz="8" w:color="auto"/>
            </w:tcBorders>
            <w:shd w:val="clear" w:color="auto" w:fill="D0E7FC"/>
          </w:tcPr>
          <w:p>
            <w:pPr>
              <w:jc w:val="center"/>
              <w:ind w:right="654"/>
              <w:spacing w:after="0"/>
              <w:rPr>
                <w:sz w:val="20"/>
                <w:szCs w:val="20"/>
                <w:color w:val="auto"/>
              </w:rPr>
            </w:pPr>
            <w:r>
              <w:rPr>
                <w:rFonts w:ascii="Times New Roman" w:cs="Times New Roman" w:eastAsia="Times New Roman" w:hAnsi="Times New Roman"/>
                <w:sz w:val="18"/>
                <w:szCs w:val="18"/>
                <w:color w:val="auto"/>
                <w:w w:val="99"/>
              </w:rPr>
              <w:t>73</w:t>
            </w:r>
          </w:p>
        </w:tc>
        <w:tc>
          <w:tcPr>
            <w:tcW w:w="4640" w:type="dxa"/>
            <w:vAlign w:val="bottom"/>
            <w:tcBorders>
              <w:right w:val="single" w:sz="8" w:color="auto"/>
            </w:tcBorders>
            <w:shd w:val="clear" w:color="auto" w:fill="D0E7FC"/>
          </w:tcPr>
          <w:p>
            <w:pPr>
              <w:ind w:left="120"/>
              <w:spacing w:after="0"/>
              <w:rPr>
                <w:sz w:val="20"/>
                <w:szCs w:val="20"/>
                <w:color w:val="auto"/>
              </w:rPr>
            </w:pPr>
            <w:r>
              <w:rPr>
                <w:rFonts w:ascii="Times New Roman" w:cs="Times New Roman" w:eastAsia="Times New Roman" w:hAnsi="Times New Roman"/>
                <w:sz w:val="18"/>
                <w:szCs w:val="18"/>
                <w:color w:val="auto"/>
              </w:rPr>
              <w:t>Director (2)(3)(5)(6)</w:t>
            </w:r>
          </w:p>
        </w:tc>
      </w:tr>
      <w:tr>
        <w:trPr>
          <w:trHeight w:val="211"/>
        </w:trPr>
        <w:tc>
          <w:tcPr>
            <w:tcW w:w="3400" w:type="dxa"/>
            <w:vAlign w:val="bottom"/>
            <w:tcBorders>
              <w:left w:val="single" w:sz="8" w:color="auto"/>
              <w:bottom w:val="single" w:sz="8" w:color="auto"/>
              <w:right w:val="single" w:sz="8" w:color="auto"/>
            </w:tcBorders>
            <w:shd w:val="clear" w:color="auto" w:fill="D0E7FC"/>
          </w:tcPr>
          <w:p>
            <w:pPr>
              <w:spacing w:after="0"/>
              <w:rPr>
                <w:sz w:val="18"/>
                <w:szCs w:val="18"/>
                <w:color w:val="auto"/>
              </w:rPr>
            </w:pPr>
          </w:p>
        </w:tc>
        <w:tc>
          <w:tcPr>
            <w:tcW w:w="1280" w:type="dxa"/>
            <w:vAlign w:val="bottom"/>
            <w:tcBorders>
              <w:bottom w:val="single" w:sz="8" w:color="auto"/>
              <w:right w:val="single" w:sz="8" w:color="auto"/>
            </w:tcBorders>
            <w:shd w:val="clear" w:color="auto" w:fill="D0E7FC"/>
          </w:tcPr>
          <w:p>
            <w:pPr>
              <w:spacing w:after="0"/>
              <w:rPr>
                <w:sz w:val="18"/>
                <w:szCs w:val="18"/>
                <w:color w:val="auto"/>
              </w:rPr>
            </w:pPr>
          </w:p>
        </w:tc>
        <w:tc>
          <w:tcPr>
            <w:tcW w:w="4640" w:type="dxa"/>
            <w:vAlign w:val="bottom"/>
            <w:tcBorders>
              <w:bottom w:val="single" w:sz="8" w:color="auto"/>
              <w:right w:val="single" w:sz="8" w:color="auto"/>
            </w:tcBorders>
            <w:shd w:val="clear" w:color="auto" w:fill="D0E7FC"/>
          </w:tcPr>
          <w:p>
            <w:pPr>
              <w:spacing w:after="0"/>
              <w:rPr>
                <w:sz w:val="18"/>
                <w:szCs w:val="18"/>
                <w:color w:val="auto"/>
              </w:rPr>
            </w:pPr>
          </w:p>
        </w:tc>
      </w:tr>
      <w:tr>
        <w:trPr>
          <w:trHeight w:val="228"/>
        </w:trPr>
        <w:tc>
          <w:tcPr>
            <w:tcW w:w="34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Dr. Judy Codding</w:t>
            </w:r>
          </w:p>
        </w:tc>
        <w:tc>
          <w:tcPr>
            <w:tcW w:w="1280" w:type="dxa"/>
            <w:vAlign w:val="bottom"/>
            <w:tcBorders>
              <w:right w:val="single" w:sz="8" w:color="auto"/>
            </w:tcBorders>
          </w:tcPr>
          <w:p>
            <w:pPr>
              <w:jc w:val="center"/>
              <w:ind w:right="654"/>
              <w:spacing w:after="0"/>
              <w:rPr>
                <w:sz w:val="20"/>
                <w:szCs w:val="20"/>
                <w:color w:val="auto"/>
              </w:rPr>
            </w:pPr>
            <w:r>
              <w:rPr>
                <w:rFonts w:ascii="Times New Roman" w:cs="Times New Roman" w:eastAsia="Times New Roman" w:hAnsi="Times New Roman"/>
                <w:sz w:val="18"/>
                <w:szCs w:val="18"/>
                <w:color w:val="auto"/>
                <w:w w:val="99"/>
              </w:rPr>
              <w:t>79</w:t>
            </w:r>
          </w:p>
        </w:tc>
        <w:tc>
          <w:tcPr>
            <w:tcW w:w="4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 (1)(2)(8)</w:t>
            </w:r>
          </w:p>
        </w:tc>
      </w:tr>
      <w:tr>
        <w:trPr>
          <w:trHeight w:val="171"/>
        </w:trPr>
        <w:tc>
          <w:tcPr>
            <w:tcW w:w="340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4640" w:type="dxa"/>
            <w:vAlign w:val="bottom"/>
            <w:tcBorders>
              <w:bottom w:val="single" w:sz="8" w:color="auto"/>
              <w:right w:val="single" w:sz="8" w:color="auto"/>
            </w:tcBorders>
          </w:tcPr>
          <w:p>
            <w:pPr>
              <w:spacing w:after="0"/>
              <w:rPr>
                <w:sz w:val="14"/>
                <w:szCs w:val="14"/>
                <w:color w:val="auto"/>
              </w:rPr>
            </w:pPr>
          </w:p>
        </w:tc>
      </w:tr>
      <w:tr>
        <w:trPr>
          <w:trHeight w:val="228"/>
        </w:trPr>
        <w:tc>
          <w:tcPr>
            <w:tcW w:w="3400" w:type="dxa"/>
            <w:vAlign w:val="bottom"/>
            <w:tcBorders>
              <w:left w:val="single" w:sz="8" w:color="auto"/>
              <w:right w:val="single" w:sz="8" w:color="auto"/>
            </w:tcBorders>
            <w:shd w:val="clear" w:color="auto" w:fill="D0E7FC"/>
          </w:tcPr>
          <w:p>
            <w:pPr>
              <w:ind w:left="140"/>
              <w:spacing w:after="0"/>
              <w:rPr>
                <w:sz w:val="20"/>
                <w:szCs w:val="20"/>
                <w:color w:val="auto"/>
              </w:rPr>
            </w:pPr>
            <w:r>
              <w:rPr>
                <w:rFonts w:ascii="Times New Roman" w:cs="Times New Roman" w:eastAsia="Times New Roman" w:hAnsi="Times New Roman"/>
                <w:sz w:val="18"/>
                <w:szCs w:val="18"/>
                <w:color w:val="auto"/>
              </w:rPr>
              <w:t>Douglas J. McEachern</w:t>
            </w:r>
          </w:p>
        </w:tc>
        <w:tc>
          <w:tcPr>
            <w:tcW w:w="1280" w:type="dxa"/>
            <w:vAlign w:val="bottom"/>
            <w:tcBorders>
              <w:right w:val="single" w:sz="8" w:color="auto"/>
            </w:tcBorders>
            <w:shd w:val="clear" w:color="auto" w:fill="D0E7FC"/>
          </w:tcPr>
          <w:p>
            <w:pPr>
              <w:jc w:val="center"/>
              <w:ind w:right="654"/>
              <w:spacing w:after="0"/>
              <w:rPr>
                <w:sz w:val="20"/>
                <w:szCs w:val="20"/>
                <w:color w:val="auto"/>
              </w:rPr>
            </w:pPr>
            <w:r>
              <w:rPr>
                <w:rFonts w:ascii="Times New Roman" w:cs="Times New Roman" w:eastAsia="Times New Roman" w:hAnsi="Times New Roman"/>
                <w:sz w:val="18"/>
                <w:szCs w:val="18"/>
                <w:color w:val="auto"/>
                <w:w w:val="99"/>
              </w:rPr>
              <w:t>73</w:t>
            </w:r>
          </w:p>
        </w:tc>
        <w:tc>
          <w:tcPr>
            <w:tcW w:w="4640" w:type="dxa"/>
            <w:vAlign w:val="bottom"/>
            <w:tcBorders>
              <w:right w:val="single" w:sz="8" w:color="auto"/>
            </w:tcBorders>
            <w:shd w:val="clear" w:color="auto" w:fill="D0E7FC"/>
          </w:tcPr>
          <w:p>
            <w:pPr>
              <w:ind w:left="120"/>
              <w:spacing w:after="0"/>
              <w:rPr>
                <w:sz w:val="20"/>
                <w:szCs w:val="20"/>
                <w:color w:val="auto"/>
              </w:rPr>
            </w:pPr>
            <w:r>
              <w:rPr>
                <w:rFonts w:ascii="Times New Roman" w:cs="Times New Roman" w:eastAsia="Times New Roman" w:hAnsi="Times New Roman"/>
                <w:sz w:val="18"/>
                <w:szCs w:val="18"/>
                <w:color w:val="auto"/>
              </w:rPr>
              <w:t>Director (3)(4)(7)</w:t>
            </w:r>
          </w:p>
        </w:tc>
      </w:tr>
      <w:tr>
        <w:trPr>
          <w:trHeight w:val="130"/>
        </w:trPr>
        <w:tc>
          <w:tcPr>
            <w:tcW w:w="3400" w:type="dxa"/>
            <w:vAlign w:val="bottom"/>
            <w:tcBorders>
              <w:left w:val="single" w:sz="8" w:color="auto"/>
              <w:bottom w:val="single" w:sz="8" w:color="auto"/>
              <w:right w:val="single" w:sz="8" w:color="auto"/>
            </w:tcBorders>
            <w:shd w:val="clear" w:color="auto" w:fill="D0E7FC"/>
          </w:tcPr>
          <w:p>
            <w:pPr>
              <w:spacing w:after="0"/>
              <w:rPr>
                <w:sz w:val="11"/>
                <w:szCs w:val="11"/>
                <w:color w:val="auto"/>
              </w:rPr>
            </w:pPr>
          </w:p>
        </w:tc>
        <w:tc>
          <w:tcPr>
            <w:tcW w:w="1280" w:type="dxa"/>
            <w:vAlign w:val="bottom"/>
            <w:tcBorders>
              <w:bottom w:val="single" w:sz="8" w:color="auto"/>
              <w:right w:val="single" w:sz="8" w:color="auto"/>
            </w:tcBorders>
            <w:shd w:val="clear" w:color="auto" w:fill="D0E7FC"/>
          </w:tcPr>
          <w:p>
            <w:pPr>
              <w:spacing w:after="0"/>
              <w:rPr>
                <w:sz w:val="11"/>
                <w:szCs w:val="11"/>
                <w:color w:val="auto"/>
              </w:rPr>
            </w:pPr>
          </w:p>
        </w:tc>
        <w:tc>
          <w:tcPr>
            <w:tcW w:w="4640" w:type="dxa"/>
            <w:vAlign w:val="bottom"/>
            <w:tcBorders>
              <w:bottom w:val="single" w:sz="8" w:color="auto"/>
              <w:right w:val="single" w:sz="8" w:color="auto"/>
            </w:tcBorders>
            <w:shd w:val="clear" w:color="auto" w:fill="D0E7FC"/>
          </w:tcPr>
          <w:p>
            <w:pPr>
              <w:spacing w:after="0"/>
              <w:rPr>
                <w:sz w:val="11"/>
                <w:szCs w:val="11"/>
                <w:color w:val="auto"/>
              </w:rPr>
            </w:pPr>
          </w:p>
        </w:tc>
      </w:tr>
    </w:tbl>
    <w:p>
      <w:pPr>
        <w:spacing w:after="0" w:line="139" w:lineRule="exact"/>
        <w:rPr>
          <w:sz w:val="20"/>
          <w:szCs w:val="20"/>
          <w:color w:val="auto"/>
        </w:rPr>
      </w:pPr>
    </w:p>
    <w:p>
      <w:pPr>
        <w:ind w:left="700" w:hanging="192"/>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Executive Committee.</w:t>
      </w:r>
    </w:p>
    <w:p>
      <w:pPr>
        <w:spacing w:after="0" w:line="3" w:lineRule="exact"/>
        <w:rPr>
          <w:rFonts w:ascii="Times New Roman" w:cs="Times New Roman" w:eastAsia="Times New Roman" w:hAnsi="Times New Roman"/>
          <w:sz w:val="14"/>
          <w:szCs w:val="14"/>
          <w:color w:val="auto"/>
        </w:rPr>
      </w:pPr>
    </w:p>
    <w:p>
      <w:pPr>
        <w:ind w:left="700" w:hanging="192"/>
        <w:spacing w:after="0" w:line="201"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and Conflicts Committee.</w:t>
      </w:r>
    </w:p>
    <w:p>
      <w:pPr>
        <w:ind w:left="700" w:hanging="192"/>
        <w:spacing w:after="0" w:line="221"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and Stock Options Committee.</w:t>
      </w:r>
    </w:p>
    <w:p>
      <w:pPr>
        <w:ind w:left="700" w:hanging="192"/>
        <w:spacing w:after="0" w:line="221"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Independent Director.</w:t>
      </w:r>
    </w:p>
    <w:p>
      <w:pPr>
        <w:ind w:left="700" w:hanging="192"/>
        <w:spacing w:after="0" w:line="201"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Technology and Cyber Risk Director.</w:t>
      </w:r>
    </w:p>
    <w:p>
      <w:pPr>
        <w:ind w:left="700" w:hanging="192"/>
        <w:spacing w:after="0" w:line="221"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Executive Committee.</w:t>
      </w:r>
    </w:p>
    <w:p>
      <w:pPr>
        <w:ind w:left="700" w:hanging="192"/>
        <w:spacing w:after="0" w:line="221" w:lineRule="auto"/>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Audit and Conflicts Committee.</w:t>
      </w:r>
    </w:p>
    <w:p>
      <w:pPr>
        <w:ind w:left="700" w:hanging="192"/>
        <w:spacing w:after="0"/>
        <w:tabs>
          <w:tab w:leader="none" w:pos="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Compensation and Stock Options Committee.</w:t>
      </w:r>
    </w:p>
    <w:p>
      <w:pPr>
        <w:spacing w:after="0" w:line="323" w:lineRule="exact"/>
        <w:rPr>
          <w:sz w:val="20"/>
          <w:szCs w:val="20"/>
          <w:color w:val="auto"/>
        </w:rPr>
      </w:pPr>
    </w:p>
    <w:p>
      <w:pPr>
        <w:jc w:val="both"/>
        <w:ind w:left="180" w:right="740" w:firstLine="648"/>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Margaret Cotter.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Margaret Cotter joined our Board on September 27, 2002, and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our Executive Committee. She was elected Chair of our Board on December 8, 2020. Prior to this, Chair</w:t>
      </w: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Cotter served as the Vice-Chair of our Board from August 7, 2014, to December 7, 2020. On March 10, 2016, our Board appointed Chair Cotter as Executive Vice President-Real Estate Management and Development-NYC, at which time Chair Cotter became a full-time employee of our Company. Prior to 2016, Chair Cotter was the owner and</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President of OBI, LLC ("OBI"), which, from 2002 until her appointment as Executive Vice President – Real Estate Management and Development - NYC, managed our live theatre operations under a management agreement, served as President of Liberty Theaters, LLC and provided management and various services regarding the development of our</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New York theatre and cinema properties. The OBI management agreement was terminated with the appointment of Chair Cotter as Executive Vice President- Real Estate Management and Development-NYC. Chair Cotter remains as the President of our Live Theaters segment. In these positions, Chair Cotter is responsible for the daily management of</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our live theatre properties and operations, including the oversight of the day-to-day development process of our 44 Union Square property and oversight of our other New York and Pennsylvania real estate holdings. Chair Cotter is also a theatrical producer who has produced shows in Chicago and New York and a former long term board member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 the League of Off-Broadway Theaters and Producers.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Chair Cotter also holds various positions in her family's agricultural enterprises. She is a director of Cecelia</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Packing Corporation (a Cotter family-owned citrus grower, packer, and marketer). Chair Cotter is a Co-Executor of her father's estate (“Cotter Estate”), Co-Trustee of the James J. Cotter Living Trust (“Cotter Trust”), Co-Trustee of the James J. Cotter Foundation (“Cotter Foundation”), Trustee of the James J. Cotter Education Trust #1 and of a to-be</w:t>
      </w:r>
    </w:p>
    <w:p>
      <w:pPr>
        <w:spacing w:after="0" w:line="2" w:lineRule="exact"/>
        <w:rPr>
          <w:sz w:val="20"/>
          <w:szCs w:val="20"/>
          <w:color w:val="auto"/>
        </w:rPr>
      </w:pPr>
    </w:p>
    <w:p>
      <w:pPr>
        <w:jc w:val="both"/>
        <w:ind w:left="180" w:right="740"/>
        <w:spacing w:after="0" w:line="226" w:lineRule="auto"/>
        <w:rPr>
          <w:sz w:val="20"/>
          <w:szCs w:val="20"/>
          <w:color w:val="auto"/>
        </w:rPr>
      </w:pPr>
      <w:r>
        <w:rPr>
          <w:rFonts w:ascii="Times New Roman" w:cs="Times New Roman" w:eastAsia="Times New Roman" w:hAnsi="Times New Roman"/>
          <w:sz w:val="18"/>
          <w:szCs w:val="18"/>
          <w:color w:val="auto"/>
        </w:rPr>
        <w:t>formed trust for the benefit for her children. Information as to Margaret Cotter’s beneficial ownership in our Class A Stock and Class B Stock set out in footnotes 2 and 5 to the Beneficial Ownership Table below.</w:t>
      </w:r>
    </w:p>
    <w:p>
      <w:pPr>
        <w:spacing w:after="0" w:line="130" w:lineRule="exact"/>
        <w:rPr>
          <w:sz w:val="20"/>
          <w:szCs w:val="20"/>
          <w:color w:val="auto"/>
        </w:rPr>
      </w:pPr>
    </w:p>
    <w:p>
      <w:pPr>
        <w:jc w:val="both"/>
        <w:ind w:left="180" w:right="740" w:firstLine="648"/>
        <w:spacing w:after="0" w:line="226" w:lineRule="auto"/>
        <w:rPr>
          <w:sz w:val="20"/>
          <w:szCs w:val="20"/>
          <w:color w:val="auto"/>
        </w:rPr>
      </w:pPr>
      <w:r>
        <w:rPr>
          <w:rFonts w:ascii="Times New Roman" w:cs="Times New Roman" w:eastAsia="Times New Roman" w:hAnsi="Times New Roman"/>
          <w:sz w:val="18"/>
          <w:szCs w:val="18"/>
          <w:color w:val="auto"/>
        </w:rPr>
        <w:t>In her capacity as the Co-Executor of the Estate of James J. Cotter (“Cotter Estate”), Chair Cotter (together with her sister and Co-Executor, Ellen M. Cotter) holds various positions in various real estate entities that are part of her father’s estate, which include, without limitation, acting as the 50% Cotter general partner of Sutton Hill</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480"/>
          </w:cols>
          <w:pgMar w:left="1440" w:top="274" w:right="97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color w:val="auto"/>
        </w:rPr>
        <w:t>Associates, which is the parent company of Sutton Hill Capital, L.L.C. The Cotter Estate’s assets also include a 50%</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non-managing member interest in Shadow View Land and Farming, LLC, in which our Company is the 50% managing member. That limited liability company is in its final stages of being wound up, having sold its only asset in 2021: certain land in Coachella, California.</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Chair Cotter is a former Assistant District Attorney for King's County in Brooklyn, New York, who graduated from Georgetown University and Georgetown University Law Center. She is the sister of Vice-Chair Ellen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 Cotter.</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Chair Cotter brings to the Board her experience as a live theatre producer, theater operator and an active</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member of the New York theatre community, given her insights into live theatre business trends that affect our business in this sector and in New York real estate matters. Her oversight of our theater properties for over twenty-four (24) years supports Chair Cotter’s ability to contribute to the strategic direction of our developments.</w:t>
      </w:r>
    </w:p>
    <w:p>
      <w:pPr>
        <w:spacing w:after="0" w:line="127" w:lineRule="exact"/>
        <w:rPr>
          <w:sz w:val="20"/>
          <w:szCs w:val="20"/>
          <w:color w:val="auto"/>
        </w:rPr>
      </w:pPr>
    </w:p>
    <w:p>
      <w:pPr>
        <w:jc w:val="both"/>
        <w:ind w:left="180" w:right="279" w:firstLine="648"/>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Guy W. Adams.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Guy W. Adams joined our Board on January 14, 2014, and currently serves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 of our Executive Committee, (ii) a member of our Audit Committee, (iii) a member of our Compensation</w:t>
      </w: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Committee and, (iv) as our Lead Technology and Cyber Risk Director. He is currently the Chairman of Avem Health Partners, Inc., a hospital management company. For more than the past eighteen (18) years, he has been a Managing Member of GWA Capital Partners, LLC, a registered investment adviser managing GWA Investments, LLC, a fund</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investing in various publicly traded securities. Over the past twenty-three (23) years, Director Adams has served as an independent director on the boards of directors of Lone Star Steakhouse &amp; Saloon, Mercer International, Exar Corporation and Vitesse Semiconductor. At these companies, he has held a variety of board positions, including lead</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director, audit committee chair and compensation committee chair. He has spoken on corporate governance topics before such groups as the Council of Institutional Investors, the USC Corporate Governance Summit and the University of Delaware Distinguished Speakers Program. Director Adams provides investment advice to private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clients and currently invests his own capital in public and private equity transactions.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For a few years prior to the passing of Mr. James J. Cotter, Sr. on September 13, 2014, and through a certain</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period of the administration of the Cotter Estate, Mr. Adams, in his individual capacity, served as an advisor to Mr. James J. Cotter, Sr. providing advisory services to various enterprises now owned by either the Cotter Estate or the Cotter Trust. On September 23, 2021, the Co-Executors of the Cotter Estate and Mr. Adams mutually resolved the</w:t>
      </w:r>
    </w:p>
    <w:p>
      <w:pPr>
        <w:spacing w:after="0" w:line="2" w:lineRule="exact"/>
        <w:rPr>
          <w:sz w:val="20"/>
          <w:szCs w:val="20"/>
          <w:color w:val="auto"/>
        </w:rPr>
      </w:pPr>
    </w:p>
    <w:p>
      <w:pPr>
        <w:jc w:val="both"/>
        <w:ind w:left="180" w:right="279"/>
        <w:spacing w:after="0" w:line="207" w:lineRule="auto"/>
        <w:rPr>
          <w:sz w:val="20"/>
          <w:szCs w:val="20"/>
          <w:color w:val="auto"/>
        </w:rPr>
      </w:pPr>
      <w:r>
        <w:rPr>
          <w:rFonts w:ascii="Times New Roman" w:cs="Times New Roman" w:eastAsia="Times New Roman" w:hAnsi="Times New Roman"/>
          <w:sz w:val="18"/>
          <w:szCs w:val="18"/>
          <w:color w:val="auto"/>
        </w:rPr>
        <w:t>outstanding amounts owed to Mr. Adams for such advisory services over a multi-year period for an amount equal to $250,000, which settlement was conditioned on the approval of the Probate Court in Nevada. The Probate Court in Nevada approved such settlement and the $250,000 was paid to Mr. Adams by the Cotter Estate in March 2022. Until 2018, Mr. Adams also provided services to captive insurance companies, owned in equal shares by Chair Cotter, Vice-</w:t>
      </w:r>
    </w:p>
    <w:p>
      <w:pPr>
        <w:spacing w:after="0" w:line="1"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Chair Cotter, and Mr. James J. Cotter, Jr., that provided insurance for the Cotter family agricultural activities. Mr. Adams received his Bachelor of Science degree in Petroleum Engineering from Louisiana State University and his Master of Business Administration from Harvard Graduate School of Business Administration.</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Mr. Adams brings many years of experience serving as an independent director on public company boards, and in investing and providing financial advice with respect to investments in public companies. In December 2017,</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Mr. Adams was recognized as a Governance Fellow for the National Association of Corporate Directors, The Gold Standard Director Credential®. In 2018, Director Adams completed the Cyber-Risk Oversight course presented by the National Association of Corporate Directors.</w:t>
      </w:r>
    </w:p>
    <w:p>
      <w:pPr>
        <w:spacing w:after="0" w:line="127" w:lineRule="exact"/>
        <w:rPr>
          <w:sz w:val="20"/>
          <w:szCs w:val="20"/>
          <w:color w:val="auto"/>
        </w:rPr>
      </w:pPr>
    </w:p>
    <w:p>
      <w:pPr>
        <w:jc w:val="both"/>
        <w:ind w:left="180" w:right="279" w:firstLine="648"/>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Dr. Judy Codding.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Judy Codding joined our Board on October 5, 2015, and currently serves as,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of our Compensation Committee, (ii) a member of our Audit Committee, (iii) a member of our Executive</w:t>
      </w: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Committee and, (iv) a member of our Special Independent Committee. Director Codding is a globally respected education leader. From October 2010 until October 2015, she served as the Managing Director of "The System of Courses," a division of Pearson, PLC (NYSE: PSO), one of the largest education companies in the world that provides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educational products and services to institutions, governments and individual learners. Prior to that time, Director Codding served as the Chief Executive Officer and President of America's Choice, Inc., which she founded in 1998, and which was acquired by Pearson in 2010. America's Choice, Inc. was a leading education company offering</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comprehensive, proven solutions to the complex problems educators face in the era of accountability. Director Codding received a Doctorate in Education from the University of Massachusetts at Amherst, completed postdoctoral work and served as a teaching associate in Education at Harvard University, where she taught graduate-level courses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focused on moral leadership. Director Codding has served on various boards, including the Board of Trustees of Curtis School, Los Angeles, CA (since 2011) and the Board of Trustees of Educational Development Center, Inc. (since 2012). Through family entities, Director Codding has been and continues to be involved in the real estate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business in Florida and the exploration of mineral, oil and gas rights in Maryland and Kentucky.</w:t>
      </w:r>
    </w:p>
    <w:p>
      <w:pPr>
        <w:spacing w:after="0" w:line="1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0" w:name="page21"/>
    <w:bookmarkEnd w:id="20"/>
    <w:p>
      <w:pPr>
        <w:ind w:left="840"/>
        <w:spacing w:after="0"/>
        <w:rPr>
          <w:sz w:val="20"/>
          <w:szCs w:val="20"/>
          <w:color w:val="auto"/>
        </w:rPr>
      </w:pPr>
      <w:r>
        <w:rPr>
          <w:rFonts w:ascii="Times New Roman" w:cs="Times New Roman" w:eastAsia="Times New Roman" w:hAnsi="Times New Roman"/>
          <w:sz w:val="18"/>
          <w:szCs w:val="18"/>
          <w:color w:val="auto"/>
        </w:rPr>
        <w:t>Director Codding brings to our Board her experience as an entrepreneur, as a chief executive officer, as an</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author, advisor and researcher in the areas of leadership training and decision-making as well as her experience in the real estate business.</w:t>
      </w:r>
    </w:p>
    <w:p>
      <w:pPr>
        <w:spacing w:after="0" w:line="126" w:lineRule="exact"/>
        <w:rPr>
          <w:sz w:val="20"/>
          <w:szCs w:val="20"/>
          <w:color w:val="auto"/>
        </w:rPr>
      </w:pPr>
    </w:p>
    <w:p>
      <w:pPr>
        <w:jc w:val="both"/>
        <w:ind w:left="180" w:right="279" w:firstLine="648"/>
        <w:spacing w:after="0" w:line="217" w:lineRule="auto"/>
        <w:rPr>
          <w:sz w:val="20"/>
          <w:szCs w:val="20"/>
          <w:color w:val="auto"/>
        </w:rPr>
      </w:pPr>
      <w:r>
        <w:rPr>
          <w:rFonts w:ascii="Times New Roman" w:cs="Times New Roman" w:eastAsia="Times New Roman" w:hAnsi="Times New Roman"/>
          <w:sz w:val="18"/>
          <w:szCs w:val="18"/>
          <w:b w:val="1"/>
          <w:bCs w:val="1"/>
          <w:u w:val="single" w:color="auto"/>
          <w:color w:val="auto"/>
        </w:rPr>
        <w:t>Ellen M. Cotter.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Vice-Chair Ellen M. Cotter joined our Board on March 13, 2013, and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our Executive Committee. Vice-Chair Cotter served as Chair of our Board from August 7, 2014 until December 7, 2020. She served as our interim Chief Executive Officer and President from June 12, 2015 until January</w:t>
      </w:r>
    </w:p>
    <w:p>
      <w:pPr>
        <w:spacing w:after="0" w:line="3"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8, 2016, when she was appointed our permanent Chief Executive Officer and President. She joined our Company in March 1998. Vice-Chair Cotter is the sister of Chair Margaret Cotter.</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Vice-Chair Cotter is also a director of Cecelia Packing Corporation. In her capacity as the Co-Executor of the Cotter Estate, Vice-Chair Cotter (together with her sister and Co-Executor, Margaret Cotter) holds various positions in various real estate entities that are part of her father’s estate, which include, without limitation, acting as the 50%</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general partner of Sutton Hill Associates, which is the parent company of Sutton Hill Capital, L.L.C. The Cotter Estate’s assets also include a 50% non-managing member interest in Shadow View Land and Farming, LLC, in which our Company is the 50% managing member. That limited liability company is in its final stages of being wound up,</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having sold its only asset in 2021: certain land in Coachella, California.</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Vice-Chair Cotter is a graduate of Smith College and holds a Juris Doctor from Georgetown University Law</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Center. Prior to joining our Company, Vice-Chair Cotter spent four years in private practice as a corporate attorney with the law firm White &amp; Case in New York City. Prior to being appointed as our Chief Executive Officer and President, Vice-Chair Cotter served for more than ten years as the Chief Operating Officer ("COO") of our domestic</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countries. In recognition of her contributions to the independent film industry, Vice-Chair Cotter was awarded the first Gotham Appreciation Award at the 2015 Gotham Independent Film Awards. She was also inducted into the Show East Hall of Fame that same year. In recognition of her contributions to the movie cinema exhibition industry,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Vice-Chair Cotter was honored at the 2023 The Motion Picture Club Charity Event in June 2023.</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Vice-Chair Cotter is the Co-Executor of the Cotter Estate, the Co-Trustee of the Cotter Foundation, and Co-</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Trustee of the Cotter Living Trust. Information as to Ellen Cotter’s beneficial interest in our Class A Stock and Class B Stock is set forth in footnotes 3 and 5 to the Beneficial Ownership Table below.</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Vice-Chair Cotter brings to our Board her more than twenty-six (26) years of experience working in our</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Company's, both in the United States and Australia. She has also served as the Chief Executive Officer of the subsidiary that operates substantially all of our cinemas in Hawaii and California.</w:t>
      </w:r>
    </w:p>
    <w:p>
      <w:pPr>
        <w:spacing w:after="0" w:line="126" w:lineRule="exact"/>
        <w:rPr>
          <w:sz w:val="20"/>
          <w:szCs w:val="20"/>
          <w:color w:val="auto"/>
        </w:rPr>
      </w:pPr>
    </w:p>
    <w:p>
      <w:pPr>
        <w:jc w:val="both"/>
        <w:ind w:left="180" w:right="279" w:firstLine="648"/>
        <w:spacing w:after="0" w:line="217" w:lineRule="auto"/>
        <w:rPr>
          <w:sz w:val="20"/>
          <w:szCs w:val="20"/>
          <w:color w:val="auto"/>
        </w:rPr>
      </w:pPr>
      <w:r>
        <w:rPr>
          <w:rFonts w:ascii="Times New Roman" w:cs="Times New Roman" w:eastAsia="Times New Roman" w:hAnsi="Times New Roman"/>
          <w:sz w:val="18"/>
          <w:szCs w:val="18"/>
          <w:b w:val="1"/>
          <w:bCs w:val="1"/>
          <w:u w:val="single" w:color="auto"/>
          <w:color w:val="auto"/>
        </w:rPr>
        <w:t>Douglas J. McEachern.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Douglas J. McEachern joined our Board on May 17, 2012, and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(i) the Chair of our Audit Committee, a position he has held since August 1, 2012, (ii) a member of our Compensation Committee, (iii) a member of our Special Independent Committee and, (iv) as our Lead Independent</w:t>
      </w:r>
    </w:p>
    <w:p>
      <w:pPr>
        <w:spacing w:after="0" w:line="3"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Director. He served as a member of the board and the audit and compensation committees for Willdan Group, a Nasdaq-listed engineering company, from 2009 until June 2022. From June 2011 until October 2015, Director McEachern was a director of Community Bank in Pasadena, California, and a member of its audit committee. Mr.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McEachern served as the Chair of the board of Community Bank from October 2013 until October 2015 and was a member of the finance committee of the Methodist Hospital of Arcadia. From September 2009 to December 2015, Director McEachern served as an instructor of auditing and accountancy at Claremont McKenna College. Mr.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McEachern was an audit partner from July 1985 to May 2009 with the audit firm of Deloitte &amp; Touche, LLP, with client concentrations in financial institutions and real estate. Director McEachern was also a Professional Accounting Fellow with the Federal Home Loan Bank board in Washington DC from June 1983 to July 1985. From June 1976 to</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June 1983, Mr. McEachern was a staff member and subsequently a manager with the audit firm of Touche Ross &amp; Co. (predecessor to Deloitte &amp; Touche, LLP). Director McEachern received a B.S. in Business Administration in 1974 from the University of California, Berkeley, and an M.B.A. in 1976 from the University of Southern California.</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Director McEachern brings to our Board his more than forty-seven (47) years’ experience meeting the accounting and auditing needs of financial institutions and real estate clients, including our Company. Director</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McEachern also brings his experience reporting as an independent auditor to the boards of directors of a variety of public reporting companies and as a board member himself for various companies and not-for-profit organizations.</w:t>
      </w:r>
    </w:p>
    <w:p>
      <w:pPr>
        <w:spacing w:after="0" w:line="1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1" w:name="page22"/>
    <w:bookmarkEnd w:id="21"/>
    <w:p>
      <w:pPr>
        <w:ind w:left="180"/>
        <w:spacing w:after="0"/>
        <w:rPr>
          <w:sz w:val="20"/>
          <w:szCs w:val="20"/>
          <w:color w:val="auto"/>
        </w:rPr>
      </w:pPr>
      <w:r>
        <w:rPr>
          <w:rFonts w:ascii="Calibri" w:cs="Calibri" w:eastAsia="Calibri" w:hAnsi="Calibri"/>
          <w:sz w:val="18"/>
          <w:szCs w:val="18"/>
          <w:b w:val="1"/>
          <w:bCs w:val="1"/>
          <w:color w:val="auto"/>
        </w:rPr>
        <w:t>Meetng Atendance</w:t>
      </w:r>
    </w:p>
    <w:p>
      <w:pPr>
        <w:spacing w:after="0" w:line="127" w:lineRule="exact"/>
        <w:rPr>
          <w:sz w:val="20"/>
          <w:szCs w:val="20"/>
          <w:color w:val="auto"/>
        </w:rPr>
      </w:pPr>
    </w:p>
    <w:p>
      <w:pPr>
        <w:ind w:left="840"/>
        <w:spacing w:after="0"/>
        <w:tabs>
          <w:tab w:leader="none" w:pos="4700" w:val="left"/>
          <w:tab w:leader="none" w:pos="7380" w:val="left"/>
        </w:tabs>
        <w:rPr>
          <w:sz w:val="20"/>
          <w:szCs w:val="20"/>
          <w:color w:val="auto"/>
        </w:rPr>
      </w:pPr>
      <w:r>
        <w:rPr>
          <w:rFonts w:ascii="Times New Roman" w:cs="Times New Roman" w:eastAsia="Times New Roman" w:hAnsi="Times New Roman"/>
          <w:sz w:val="18"/>
          <w:szCs w:val="18"/>
          <w:color w:val="auto"/>
        </w:rPr>
        <w:t>Our Board held fifteen (15) meetings in 2023.</w:t>
        <w:tab/>
        <w:t>The Audit Committee held five</w:t>
        <w:tab/>
        <w:t>(5) meetings, the</w:t>
      </w:r>
    </w:p>
    <w:p>
      <w:pPr>
        <w:spacing w:after="0" w:line="2" w:lineRule="exact"/>
        <w:rPr>
          <w:sz w:val="20"/>
          <w:szCs w:val="20"/>
          <w:color w:val="auto"/>
        </w:rPr>
      </w:pPr>
    </w:p>
    <w:p>
      <w:pPr>
        <w:jc w:val="center"/>
        <w:ind w:left="180" w:right="740"/>
        <w:spacing w:after="0" w:line="208" w:lineRule="auto"/>
        <w:rPr>
          <w:sz w:val="20"/>
          <w:szCs w:val="20"/>
          <w:color w:val="auto"/>
        </w:rPr>
      </w:pPr>
      <w:r>
        <w:rPr>
          <w:rFonts w:ascii="Times New Roman" w:cs="Times New Roman" w:eastAsia="Times New Roman" w:hAnsi="Times New Roman"/>
          <w:sz w:val="18"/>
          <w:szCs w:val="18"/>
          <w:color w:val="auto"/>
        </w:rPr>
        <w:t>Compensation Committee held five (5) meetings and the Executive Committee did not hold any meetings in 2023. Each director attended at least 75% of these Board meetings and at least 75% of the meetings of all of the above referenced committees on which he or she served. We encourage, but do not require, our Board members to attend our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Annual Meeting. All of our incumbent Directors attended the 2023 Annual Meeting.</w:t>
      </w:r>
    </w:p>
    <w:p>
      <w:pPr>
        <w:spacing w:after="0" w:line="115"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Compensaton of Directors</w:t>
      </w:r>
    </w:p>
    <w:p>
      <w:pPr>
        <w:spacing w:after="0" w:line="127" w:lineRule="exact"/>
        <w:rPr>
          <w:sz w:val="20"/>
          <w:szCs w:val="20"/>
          <w:color w:val="auto"/>
        </w:rPr>
      </w:pPr>
    </w:p>
    <w:p>
      <w:pPr>
        <w:jc w:val="both"/>
        <w:ind w:left="180" w:right="740" w:firstLine="648"/>
        <w:spacing w:after="0" w:line="222" w:lineRule="auto"/>
        <w:rPr>
          <w:sz w:val="20"/>
          <w:szCs w:val="20"/>
          <w:color w:val="auto"/>
        </w:rPr>
      </w:pPr>
      <w:r>
        <w:rPr>
          <w:rFonts w:ascii="Times New Roman" w:cs="Times New Roman" w:eastAsia="Times New Roman" w:hAnsi="Times New Roman"/>
          <w:sz w:val="18"/>
          <w:szCs w:val="18"/>
          <w:color w:val="auto"/>
        </w:rPr>
        <w:t>During 2023, we paid our non-employee Directors a combination of (a) base annual cash fees for service as Directors; (b) base and special fees for service as members of standing and special committees; (c) base cash fees for</w:t>
      </w:r>
    </w:p>
    <w:p>
      <w:pPr>
        <w:spacing w:after="0" w:line="2" w:lineRule="exact"/>
        <w:rPr>
          <w:sz w:val="20"/>
          <w:szCs w:val="20"/>
          <w:color w:val="auto"/>
        </w:rPr>
      </w:pPr>
    </w:p>
    <w:p>
      <w:pPr>
        <w:jc w:val="both"/>
        <w:ind w:left="180" w:right="740"/>
        <w:spacing w:after="0" w:line="226" w:lineRule="auto"/>
        <w:rPr>
          <w:sz w:val="20"/>
          <w:szCs w:val="20"/>
          <w:color w:val="auto"/>
        </w:rPr>
      </w:pPr>
      <w:r>
        <w:rPr>
          <w:rFonts w:ascii="Times New Roman" w:cs="Times New Roman" w:eastAsia="Times New Roman" w:hAnsi="Times New Roman"/>
          <w:sz w:val="18"/>
          <w:szCs w:val="18"/>
          <w:color w:val="auto"/>
        </w:rPr>
        <w:t>service as Chair of committees and (d) equity compensation for service as Directors in the form of stock options, each of which are set forth in more detail below in the “Director Compensation Table.”</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Directors in 2023:</w:t>
      </w:r>
    </w:p>
    <w:p>
      <w:pPr>
        <w:spacing w:after="0" w:line="264" w:lineRule="exact"/>
        <w:rPr>
          <w:sz w:val="20"/>
          <w:szCs w:val="20"/>
          <w:color w:val="auto"/>
        </w:rPr>
      </w:pPr>
    </w:p>
    <w:tbl>
      <w:tblPr>
        <w:tblLayout w:type="fixed"/>
        <w:tblInd w:w="190" w:type="dxa"/>
        <w:tblCellMar>
          <w:top w:w="0" w:type="dxa"/>
          <w:left w:w="0" w:type="dxa"/>
          <w:bottom w:w="0" w:type="dxa"/>
          <w:right w:w="0" w:type="dxa"/>
        </w:tblCellMar>
      </w:tblPr>
      <w:tr>
        <w:trPr>
          <w:trHeight w:val="167"/>
        </w:trPr>
        <w:tc>
          <w:tcPr>
            <w:tcW w:w="220" w:type="dxa"/>
            <w:vAlign w:val="bottom"/>
            <w:tcBorders>
              <w:top w:val="single" w:sz="8" w:color="auto"/>
              <w:left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20" w:type="dxa"/>
            <w:vAlign w:val="bottom"/>
            <w:tcBorders>
              <w:top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Borders>
              <w:top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auto"/>
              </w:rPr>
              <w:t>Fees Earned or</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 ($)</w:t>
            </w:r>
            <w:r>
              <w:rPr>
                <w:rFonts w:ascii="Times New Roman" w:cs="Times New Roman" w:eastAsia="Times New Roman" w:hAnsi="Times New Roman"/>
                <w:sz w:val="8"/>
                <w:szCs w:val="8"/>
                <w:b w:val="1"/>
                <w:bCs w:val="1"/>
                <w:color w:val="auto"/>
                <w:w w:val="99"/>
              </w:rPr>
              <w:t>(1)</w:t>
            </w:r>
          </w:p>
        </w:tc>
        <w:tc>
          <w:tcPr>
            <w:tcW w:w="1640" w:type="dxa"/>
            <w:vAlign w:val="bottom"/>
            <w:tcBorders>
              <w:top w:val="single" w:sz="8" w:color="auto"/>
              <w:right w:val="single" w:sz="8" w:color="auto"/>
            </w:tcBorders>
          </w:tcPr>
          <w:p>
            <w:pPr>
              <w:jc w:val="right"/>
              <w:ind w:right="372"/>
              <w:spacing w:after="0" w:line="167"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11"/>
        </w:trPr>
        <w:tc>
          <w:tcPr>
            <w:tcW w:w="22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1760" w:type="dxa"/>
            <w:vAlign w:val="bottom"/>
            <w:tcBorders>
              <w:bottom w:val="single" w:sz="8" w:color="auto"/>
              <w:right w:val="single" w:sz="8" w:color="auto"/>
            </w:tcBorders>
            <w:vMerge w:val="continue"/>
          </w:tcPr>
          <w:p>
            <w:pPr>
              <w:spacing w:after="0"/>
              <w:rPr>
                <w:sz w:val="18"/>
                <w:szCs w:val="18"/>
                <w:color w:val="auto"/>
              </w:rPr>
            </w:pPr>
          </w:p>
        </w:tc>
        <w:tc>
          <w:tcPr>
            <w:tcW w:w="164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60" w:type="dxa"/>
            <w:vAlign w:val="bottom"/>
            <w:tcBorders>
              <w:left w:val="single" w:sz="8" w:color="auto"/>
              <w:right w:val="single" w:sz="8" w:color="auto"/>
            </w:tcBorders>
            <w:gridSpan w:val="3"/>
            <w:vMerge w:val="restart"/>
            <w:shd w:val="clear" w:color="auto" w:fill="C6E5FE"/>
          </w:tcPr>
          <w:p>
            <w:pPr>
              <w:ind w:left="140"/>
              <w:spacing w:after="0"/>
              <w:rPr>
                <w:sz w:val="20"/>
                <w:szCs w:val="20"/>
                <w:color w:val="auto"/>
              </w:rPr>
            </w:pPr>
            <w:r>
              <w:rPr>
                <w:rFonts w:ascii="Times New Roman" w:cs="Times New Roman" w:eastAsia="Times New Roman" w:hAnsi="Times New Roman"/>
                <w:sz w:val="18"/>
                <w:szCs w:val="18"/>
                <w:color w:val="auto"/>
              </w:rPr>
              <w:t>Guy W. Adams</w:t>
            </w:r>
          </w:p>
        </w:tc>
        <w:tc>
          <w:tcPr>
            <w:tcW w:w="17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rPr>
              <w:t>82,500</w:t>
            </w:r>
            <w:r>
              <w:rPr>
                <w:rFonts w:ascii="Times New Roman" w:cs="Times New Roman" w:eastAsia="Times New Roman" w:hAnsi="Times New Roman"/>
                <w:sz w:val="8"/>
                <w:szCs w:val="8"/>
                <w:color w:val="auto"/>
              </w:rPr>
              <w:t>(3)</w:t>
            </w:r>
          </w:p>
        </w:tc>
        <w:tc>
          <w:tcPr>
            <w:tcW w:w="176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rPr>
              <w:t>70,000</w:t>
            </w:r>
            <w:r>
              <w:rPr>
                <w:rFonts w:ascii="Times New Roman" w:cs="Times New Roman" w:eastAsia="Times New Roman" w:hAnsi="Times New Roman"/>
                <w:sz w:val="8"/>
                <w:szCs w:val="8"/>
                <w:color w:val="auto"/>
              </w:rPr>
              <w:t>(2)</w:t>
            </w:r>
          </w:p>
        </w:tc>
        <w:tc>
          <w:tcPr>
            <w:tcW w:w="1640" w:type="dxa"/>
            <w:vAlign w:val="bottom"/>
            <w:tcBorders>
              <w:right w:val="single" w:sz="8" w:color="auto"/>
            </w:tcBorders>
            <w:shd w:val="clear" w:color="auto" w:fill="C6E5FE"/>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6E5FE"/>
          </w:tcPr>
          <w:p>
            <w:pPr>
              <w:spacing w:after="0"/>
              <w:rPr>
                <w:sz w:val="19"/>
                <w:szCs w:val="19"/>
                <w:color w:val="auto"/>
              </w:rPr>
            </w:pPr>
          </w:p>
        </w:tc>
        <w:tc>
          <w:tcPr>
            <w:tcW w:w="1180" w:type="dxa"/>
            <w:vAlign w:val="bottom"/>
            <w:tcBorders>
              <w:right w:val="single" w:sz="8" w:color="auto"/>
            </w:tcBorders>
            <w:shd w:val="clear" w:color="auto" w:fill="C6E5FE"/>
          </w:tcPr>
          <w:p>
            <w:pPr>
              <w:jc w:val="right"/>
              <w:ind w:right="394"/>
              <w:spacing w:after="0"/>
              <w:rPr>
                <w:sz w:val="20"/>
                <w:szCs w:val="20"/>
                <w:color w:val="auto"/>
              </w:rPr>
            </w:pPr>
            <w:r>
              <w:rPr>
                <w:rFonts w:ascii="Times New Roman" w:cs="Times New Roman" w:eastAsia="Times New Roman" w:hAnsi="Times New Roman"/>
                <w:sz w:val="18"/>
                <w:szCs w:val="18"/>
                <w:color w:val="auto"/>
              </w:rPr>
              <w:t>152,500</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bottom w:val="single" w:sz="8" w:color="auto"/>
              <w:right w:val="single" w:sz="8" w:color="auto"/>
            </w:tcBorders>
            <w:gridSpan w:val="3"/>
            <w:vMerge w:val="continue"/>
            <w:shd w:val="clear" w:color="auto" w:fill="C6E5FE"/>
          </w:tcPr>
          <w:p>
            <w:pPr>
              <w:spacing w:after="0"/>
              <w:rPr>
                <w:sz w:val="8"/>
                <w:szCs w:val="8"/>
                <w:color w:val="auto"/>
              </w:rPr>
            </w:pPr>
          </w:p>
        </w:tc>
        <w:tc>
          <w:tcPr>
            <w:tcW w:w="1700" w:type="dxa"/>
            <w:vAlign w:val="bottom"/>
            <w:tcBorders>
              <w:bottom w:val="single" w:sz="8" w:color="auto"/>
              <w:right w:val="single" w:sz="8" w:color="auto"/>
            </w:tcBorders>
            <w:shd w:val="clear" w:color="auto" w:fill="C6E5FE"/>
          </w:tcPr>
          <w:p>
            <w:pPr>
              <w:spacing w:after="0"/>
              <w:rPr>
                <w:sz w:val="8"/>
                <w:szCs w:val="8"/>
                <w:color w:val="auto"/>
              </w:rPr>
            </w:pPr>
          </w:p>
        </w:tc>
        <w:tc>
          <w:tcPr>
            <w:tcW w:w="1760" w:type="dxa"/>
            <w:vAlign w:val="bottom"/>
            <w:tcBorders>
              <w:bottom w:val="single" w:sz="8" w:color="auto"/>
              <w:right w:val="single" w:sz="8" w:color="auto"/>
            </w:tcBorders>
            <w:shd w:val="clear" w:color="auto" w:fill="C6E5FE"/>
          </w:tcPr>
          <w:p>
            <w:pPr>
              <w:spacing w:after="0"/>
              <w:rPr>
                <w:sz w:val="8"/>
                <w:szCs w:val="8"/>
                <w:color w:val="auto"/>
              </w:rPr>
            </w:pPr>
          </w:p>
        </w:tc>
        <w:tc>
          <w:tcPr>
            <w:tcW w:w="1640" w:type="dxa"/>
            <w:vAlign w:val="bottom"/>
            <w:tcBorders>
              <w:bottom w:val="single" w:sz="8" w:color="auto"/>
              <w:right w:val="single" w:sz="8" w:color="auto"/>
            </w:tcBorders>
            <w:shd w:val="clear" w:color="auto" w:fill="C6E5FE"/>
          </w:tcPr>
          <w:p>
            <w:pPr>
              <w:spacing w:after="0"/>
              <w:rPr>
                <w:sz w:val="8"/>
                <w:szCs w:val="8"/>
                <w:color w:val="auto"/>
              </w:rPr>
            </w:pPr>
          </w:p>
        </w:tc>
        <w:tc>
          <w:tcPr>
            <w:tcW w:w="380" w:type="dxa"/>
            <w:vAlign w:val="bottom"/>
            <w:tcBorders>
              <w:bottom w:val="single" w:sz="8" w:color="auto"/>
            </w:tcBorders>
            <w:shd w:val="clear" w:color="auto" w:fill="C6E5FE"/>
          </w:tcPr>
          <w:p>
            <w:pPr>
              <w:spacing w:after="0"/>
              <w:rPr>
                <w:sz w:val="8"/>
                <w:szCs w:val="8"/>
                <w:color w:val="auto"/>
              </w:rPr>
            </w:pPr>
          </w:p>
        </w:tc>
        <w:tc>
          <w:tcPr>
            <w:tcW w:w="1180" w:type="dxa"/>
            <w:vAlign w:val="bottom"/>
            <w:tcBorders>
              <w:bottom w:val="single" w:sz="8" w:color="auto"/>
              <w:right w:val="single" w:sz="8" w:color="auto"/>
            </w:tcBorders>
            <w:shd w:val="clear" w:color="auto" w:fill="C6E5F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66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Dr. Judy Codding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82,500</w:t>
            </w:r>
            <w:r>
              <w:rPr>
                <w:rFonts w:ascii="Times New Roman" w:cs="Times New Roman" w:eastAsia="Times New Roman" w:hAnsi="Times New Roman"/>
                <w:sz w:val="8"/>
                <w:szCs w:val="8"/>
                <w:color w:val="auto"/>
              </w:rPr>
              <w:t>(4)</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70,000</w:t>
            </w:r>
            <w:r>
              <w:rPr>
                <w:rFonts w:ascii="Times New Roman" w:cs="Times New Roman" w:eastAsia="Times New Roman" w:hAnsi="Times New Roman"/>
                <w:sz w:val="8"/>
                <w:szCs w:val="8"/>
                <w:color w:val="auto"/>
              </w:rPr>
              <w:t>(2)</w:t>
            </w:r>
          </w:p>
        </w:tc>
        <w:tc>
          <w:tcPr>
            <w:tcW w:w="1640" w:type="dxa"/>
            <w:vAlign w:val="bottom"/>
            <w:tcBorders>
              <w:right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Borders>
              <w:right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152,500</w:t>
            </w:r>
          </w:p>
        </w:tc>
        <w:tc>
          <w:tcPr>
            <w:tcW w:w="0" w:type="dxa"/>
            <w:vAlign w:val="bottom"/>
          </w:tcPr>
          <w:p>
            <w:pPr>
              <w:spacing w:after="0"/>
              <w:rPr>
                <w:sz w:val="1"/>
                <w:szCs w:val="1"/>
                <w:color w:val="auto"/>
              </w:rPr>
            </w:pPr>
          </w:p>
        </w:tc>
      </w:tr>
      <w:tr>
        <w:trPr>
          <w:trHeight w:val="63"/>
        </w:trPr>
        <w:tc>
          <w:tcPr>
            <w:tcW w:w="2660" w:type="dxa"/>
            <w:vAlign w:val="bottom"/>
            <w:tcBorders>
              <w:left w:val="single" w:sz="8" w:color="auto"/>
              <w:bottom w:val="single" w:sz="8" w:color="auto"/>
              <w:right w:val="single" w:sz="8" w:color="auto"/>
            </w:tcBorders>
            <w:gridSpan w:val="3"/>
            <w:vMerge w:val="continue"/>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660" w:type="dxa"/>
            <w:vAlign w:val="bottom"/>
            <w:tcBorders>
              <w:left w:val="single" w:sz="8" w:color="auto"/>
              <w:right w:val="single" w:sz="8" w:color="auto"/>
            </w:tcBorders>
            <w:gridSpan w:val="3"/>
            <w:vMerge w:val="restart"/>
            <w:shd w:val="clear" w:color="auto" w:fill="C6E5FE"/>
          </w:tcPr>
          <w:p>
            <w:pPr>
              <w:ind w:left="140"/>
              <w:spacing w:after="0"/>
              <w:rPr>
                <w:sz w:val="20"/>
                <w:szCs w:val="20"/>
                <w:color w:val="auto"/>
              </w:rPr>
            </w:pPr>
            <w:r>
              <w:rPr>
                <w:rFonts w:ascii="Times New Roman" w:cs="Times New Roman" w:eastAsia="Times New Roman" w:hAnsi="Times New Roman"/>
                <w:sz w:val="18"/>
                <w:szCs w:val="18"/>
                <w:color w:val="auto"/>
              </w:rPr>
              <w:t>Douglas J. McEachern</w:t>
            </w:r>
          </w:p>
        </w:tc>
        <w:tc>
          <w:tcPr>
            <w:tcW w:w="17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rPr>
              <w:t>82,500</w:t>
            </w:r>
            <w:r>
              <w:rPr>
                <w:rFonts w:ascii="Times New Roman" w:cs="Times New Roman" w:eastAsia="Times New Roman" w:hAnsi="Times New Roman"/>
                <w:sz w:val="8"/>
                <w:szCs w:val="8"/>
                <w:color w:val="auto"/>
              </w:rPr>
              <w:t>(5)</w:t>
            </w:r>
          </w:p>
        </w:tc>
        <w:tc>
          <w:tcPr>
            <w:tcW w:w="176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rPr>
              <w:t>70,000</w:t>
            </w:r>
            <w:r>
              <w:rPr>
                <w:rFonts w:ascii="Times New Roman" w:cs="Times New Roman" w:eastAsia="Times New Roman" w:hAnsi="Times New Roman"/>
                <w:sz w:val="8"/>
                <w:szCs w:val="8"/>
                <w:color w:val="auto"/>
              </w:rPr>
              <w:t>(2)</w:t>
            </w:r>
          </w:p>
        </w:tc>
        <w:tc>
          <w:tcPr>
            <w:tcW w:w="1640" w:type="dxa"/>
            <w:vAlign w:val="bottom"/>
            <w:tcBorders>
              <w:right w:val="single" w:sz="8" w:color="auto"/>
            </w:tcBorders>
            <w:shd w:val="clear" w:color="auto" w:fill="C6E5FE"/>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6E5FE"/>
          </w:tcPr>
          <w:p>
            <w:pPr>
              <w:spacing w:after="0"/>
              <w:rPr>
                <w:sz w:val="19"/>
                <w:szCs w:val="19"/>
                <w:color w:val="auto"/>
              </w:rPr>
            </w:pPr>
          </w:p>
        </w:tc>
        <w:tc>
          <w:tcPr>
            <w:tcW w:w="1180" w:type="dxa"/>
            <w:vAlign w:val="bottom"/>
            <w:tcBorders>
              <w:right w:val="single" w:sz="8" w:color="auto"/>
            </w:tcBorders>
            <w:shd w:val="clear" w:color="auto" w:fill="C6E5FE"/>
          </w:tcPr>
          <w:p>
            <w:pPr>
              <w:jc w:val="right"/>
              <w:ind w:right="394"/>
              <w:spacing w:after="0"/>
              <w:rPr>
                <w:sz w:val="20"/>
                <w:szCs w:val="20"/>
                <w:color w:val="auto"/>
              </w:rPr>
            </w:pPr>
            <w:r>
              <w:rPr>
                <w:rFonts w:ascii="Times New Roman" w:cs="Times New Roman" w:eastAsia="Times New Roman" w:hAnsi="Times New Roman"/>
                <w:sz w:val="18"/>
                <w:szCs w:val="18"/>
                <w:color w:val="auto"/>
              </w:rPr>
              <w:t>152,500</w:t>
            </w:r>
          </w:p>
        </w:tc>
        <w:tc>
          <w:tcPr>
            <w:tcW w:w="0" w:type="dxa"/>
            <w:vAlign w:val="bottom"/>
          </w:tcPr>
          <w:p>
            <w:pPr>
              <w:spacing w:after="0"/>
              <w:rPr>
                <w:sz w:val="1"/>
                <w:szCs w:val="1"/>
                <w:color w:val="auto"/>
              </w:rPr>
            </w:pPr>
          </w:p>
        </w:tc>
      </w:tr>
      <w:tr>
        <w:trPr>
          <w:trHeight w:val="76"/>
        </w:trPr>
        <w:tc>
          <w:tcPr>
            <w:tcW w:w="2660" w:type="dxa"/>
            <w:vAlign w:val="bottom"/>
            <w:tcBorders>
              <w:left w:val="single" w:sz="8" w:color="auto"/>
              <w:bottom w:val="single" w:sz="8" w:color="auto"/>
              <w:right w:val="single" w:sz="8" w:color="auto"/>
            </w:tcBorders>
            <w:gridSpan w:val="3"/>
            <w:vMerge w:val="continue"/>
            <w:shd w:val="clear" w:color="auto" w:fill="C6E5FE"/>
          </w:tcPr>
          <w:p>
            <w:pPr>
              <w:spacing w:after="0"/>
              <w:rPr>
                <w:sz w:val="6"/>
                <w:szCs w:val="6"/>
                <w:color w:val="auto"/>
              </w:rPr>
            </w:pPr>
          </w:p>
        </w:tc>
        <w:tc>
          <w:tcPr>
            <w:tcW w:w="1700" w:type="dxa"/>
            <w:vAlign w:val="bottom"/>
            <w:tcBorders>
              <w:bottom w:val="single" w:sz="8" w:color="auto"/>
              <w:right w:val="single" w:sz="8" w:color="auto"/>
            </w:tcBorders>
            <w:shd w:val="clear" w:color="auto" w:fill="C6E5FE"/>
          </w:tcPr>
          <w:p>
            <w:pPr>
              <w:spacing w:after="0"/>
              <w:rPr>
                <w:sz w:val="6"/>
                <w:szCs w:val="6"/>
                <w:color w:val="auto"/>
              </w:rPr>
            </w:pPr>
          </w:p>
        </w:tc>
        <w:tc>
          <w:tcPr>
            <w:tcW w:w="1760" w:type="dxa"/>
            <w:vAlign w:val="bottom"/>
            <w:tcBorders>
              <w:bottom w:val="single" w:sz="8" w:color="auto"/>
              <w:right w:val="single" w:sz="8" w:color="auto"/>
            </w:tcBorders>
            <w:shd w:val="clear" w:color="auto" w:fill="C6E5FE"/>
          </w:tcPr>
          <w:p>
            <w:pPr>
              <w:spacing w:after="0"/>
              <w:rPr>
                <w:sz w:val="6"/>
                <w:szCs w:val="6"/>
                <w:color w:val="auto"/>
              </w:rPr>
            </w:pPr>
          </w:p>
        </w:tc>
        <w:tc>
          <w:tcPr>
            <w:tcW w:w="1640" w:type="dxa"/>
            <w:vAlign w:val="bottom"/>
            <w:tcBorders>
              <w:bottom w:val="single" w:sz="8" w:color="auto"/>
              <w:right w:val="single" w:sz="8" w:color="auto"/>
            </w:tcBorders>
            <w:shd w:val="clear" w:color="auto" w:fill="C6E5FE"/>
          </w:tcPr>
          <w:p>
            <w:pPr>
              <w:spacing w:after="0"/>
              <w:rPr>
                <w:sz w:val="6"/>
                <w:szCs w:val="6"/>
                <w:color w:val="auto"/>
              </w:rPr>
            </w:pPr>
          </w:p>
        </w:tc>
        <w:tc>
          <w:tcPr>
            <w:tcW w:w="380" w:type="dxa"/>
            <w:vAlign w:val="bottom"/>
            <w:tcBorders>
              <w:bottom w:val="single" w:sz="8" w:color="auto"/>
            </w:tcBorders>
            <w:shd w:val="clear" w:color="auto" w:fill="C6E5FE"/>
          </w:tcPr>
          <w:p>
            <w:pPr>
              <w:spacing w:after="0"/>
              <w:rPr>
                <w:sz w:val="6"/>
                <w:szCs w:val="6"/>
                <w:color w:val="auto"/>
              </w:rPr>
            </w:pPr>
          </w:p>
        </w:tc>
        <w:tc>
          <w:tcPr>
            <w:tcW w:w="1180" w:type="dxa"/>
            <w:vAlign w:val="bottom"/>
            <w:tcBorders>
              <w:bottom w:val="single" w:sz="8" w:color="auto"/>
              <w:right w:val="single" w:sz="8" w:color="auto"/>
            </w:tcBorders>
            <w:shd w:val="clear" w:color="auto" w:fill="C6E5F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792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auto"/>
              </w:rPr>
              <w:t>Fair value of the award computed in accordance with FASB ASC Topic 718. Awards were issued as stock options.</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5900" w:type="dxa"/>
            <w:vAlign w:val="bottom"/>
            <w:gridSpan w:val="4"/>
          </w:tcPr>
          <w:p>
            <w:pPr>
              <w:ind w:left="120"/>
              <w:spacing w:after="0" w:line="171" w:lineRule="exact"/>
              <w:rPr>
                <w:sz w:val="20"/>
                <w:szCs w:val="20"/>
                <w:color w:val="auto"/>
              </w:rPr>
            </w:pPr>
            <w:r>
              <w:rPr>
                <w:rFonts w:ascii="Times New Roman" w:cs="Times New Roman" w:eastAsia="Times New Roman" w:hAnsi="Times New Roman"/>
                <w:sz w:val="16"/>
                <w:szCs w:val="16"/>
                <w:color w:val="auto"/>
              </w:rPr>
              <w:t>The following table sets forth the number of stock options granted on December 7, 2023.</w:t>
            </w:r>
          </w:p>
        </w:tc>
        <w:tc>
          <w:tcPr>
            <w:tcW w:w="202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rPr>
              <w:t>The options will fully vest on</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9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December 6, 2024. Each stock option each represent one share of Class A Stock.</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4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Guy</w:t>
            </w:r>
          </w:p>
        </w:tc>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 Adams</w:t>
            </w:r>
          </w:p>
        </w:tc>
        <w:tc>
          <w:tcPr>
            <w:tcW w:w="17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color w:val="auto"/>
              </w:rPr>
              <w:t>69,219</w:t>
            </w: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bottom w:val="single" w:sz="8" w:color="auto"/>
              <w:right w:val="single" w:sz="8" w:color="D0E7FC"/>
            </w:tcBorders>
            <w:gridSpan w:val="3"/>
            <w:shd w:val="clear" w:color="auto" w:fill="D0E7FC"/>
          </w:tcPr>
          <w:p>
            <w:pPr>
              <w:ind w:left="140"/>
              <w:spacing w:after="0"/>
              <w:rPr>
                <w:sz w:val="20"/>
                <w:szCs w:val="20"/>
                <w:color w:val="auto"/>
              </w:rPr>
            </w:pPr>
            <w:r>
              <w:rPr>
                <w:rFonts w:ascii="Times New Roman" w:cs="Times New Roman" w:eastAsia="Times New Roman" w:hAnsi="Times New Roman"/>
                <w:sz w:val="16"/>
                <w:szCs w:val="16"/>
                <w:color w:val="auto"/>
              </w:rPr>
              <w:t>Dr. Judy Codding</w:t>
            </w:r>
          </w:p>
        </w:tc>
        <w:tc>
          <w:tcPr>
            <w:tcW w:w="1700" w:type="dxa"/>
            <w:vAlign w:val="bottom"/>
            <w:tcBorders>
              <w:bottom w:val="single" w:sz="8" w:color="auto"/>
              <w:right w:val="single" w:sz="8" w:color="D0E7FC"/>
            </w:tcBorders>
            <w:shd w:val="clear" w:color="auto" w:fill="D0E7FC"/>
          </w:tcPr>
          <w:p>
            <w:pPr>
              <w:spacing w:after="0"/>
              <w:rPr>
                <w:sz w:val="18"/>
                <w:szCs w:val="18"/>
                <w:color w:val="auto"/>
              </w:rPr>
            </w:pPr>
          </w:p>
        </w:tc>
        <w:tc>
          <w:tcPr>
            <w:tcW w:w="1760" w:type="dxa"/>
            <w:vAlign w:val="bottom"/>
            <w:tcBorders>
              <w:bottom w:val="single" w:sz="8" w:color="auto"/>
              <w:right w:val="single" w:sz="8" w:color="D0E7FC"/>
            </w:tcBorders>
            <w:shd w:val="clear" w:color="auto" w:fill="D0E7FC"/>
          </w:tcPr>
          <w:p>
            <w:pPr>
              <w:spacing w:after="0"/>
              <w:rPr>
                <w:sz w:val="18"/>
                <w:szCs w:val="18"/>
                <w:color w:val="auto"/>
              </w:rPr>
            </w:pPr>
          </w:p>
        </w:tc>
        <w:tc>
          <w:tcPr>
            <w:tcW w:w="1640" w:type="dxa"/>
            <w:vAlign w:val="bottom"/>
            <w:tcBorders>
              <w:bottom w:val="single" w:sz="8" w:color="auto"/>
              <w:right w:val="single" w:sz="8" w:color="auto"/>
            </w:tcBorders>
            <w:shd w:val="clear" w:color="auto" w:fill="D0E7FC"/>
          </w:tcPr>
          <w:p>
            <w:pPr>
              <w:spacing w:after="0"/>
              <w:rPr>
                <w:sz w:val="18"/>
                <w:szCs w:val="18"/>
                <w:color w:val="auto"/>
              </w:rPr>
            </w:pPr>
          </w:p>
        </w:tc>
        <w:tc>
          <w:tcPr>
            <w:tcW w:w="380" w:type="dxa"/>
            <w:vAlign w:val="bottom"/>
            <w:tcBorders>
              <w:bottom w:val="single" w:sz="8" w:color="auto"/>
            </w:tcBorders>
            <w:shd w:val="clear" w:color="auto" w:fill="D0E7FC"/>
          </w:tcPr>
          <w:p>
            <w:pPr>
              <w:spacing w:after="0"/>
              <w:rPr>
                <w:sz w:val="18"/>
                <w:szCs w:val="18"/>
                <w:color w:val="auto"/>
              </w:rPr>
            </w:pPr>
          </w:p>
        </w:tc>
        <w:tc>
          <w:tcPr>
            <w:tcW w:w="1180" w:type="dxa"/>
            <w:vAlign w:val="bottom"/>
            <w:tcBorders>
              <w:bottom w:val="single" w:sz="8" w:color="auto"/>
              <w:right w:val="single" w:sz="8" w:color="auto"/>
            </w:tcBorders>
            <w:shd w:val="clear" w:color="auto" w:fill="D0E7FC"/>
          </w:tcPr>
          <w:p>
            <w:pPr>
              <w:jc w:val="right"/>
              <w:ind w:right="494"/>
              <w:spacing w:after="0"/>
              <w:rPr>
                <w:sz w:val="20"/>
                <w:szCs w:val="20"/>
                <w:color w:val="auto"/>
              </w:rPr>
            </w:pPr>
            <w:r>
              <w:rPr>
                <w:rFonts w:ascii="Times New Roman" w:cs="Times New Roman" w:eastAsia="Times New Roman" w:hAnsi="Times New Roman"/>
                <w:sz w:val="16"/>
                <w:szCs w:val="16"/>
                <w:color w:val="auto"/>
              </w:rPr>
              <w:t>69,219</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Douglas McEachern</w:t>
            </w:r>
          </w:p>
        </w:tc>
        <w:tc>
          <w:tcPr>
            <w:tcW w:w="17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color w:val="auto"/>
              </w:rPr>
              <w:t>69,219</w:t>
            </w:r>
          </w:p>
        </w:tc>
        <w:tc>
          <w:tcPr>
            <w:tcW w:w="0" w:type="dxa"/>
            <w:vAlign w:val="bottom"/>
          </w:tcPr>
          <w:p>
            <w:pPr>
              <w:spacing w:after="0"/>
              <w:rPr>
                <w:sz w:val="1"/>
                <w:szCs w:val="1"/>
                <w:color w:val="auto"/>
              </w:rPr>
            </w:pPr>
          </w:p>
        </w:tc>
      </w:tr>
      <w:tr>
        <w:trPr>
          <w:trHeight w:val="212"/>
        </w:trPr>
        <w:tc>
          <w:tcPr>
            <w:tcW w:w="9320" w:type="dxa"/>
            <w:vAlign w:val="bottom"/>
            <w:gridSpan w:val="8"/>
          </w:tcPr>
          <w:p>
            <w:pPr>
              <w:jc w:val="right"/>
              <w:ind w:right="894"/>
              <w:spacing w:after="0"/>
              <w:rPr>
                <w:sz w:val="20"/>
                <w:szCs w:val="20"/>
                <w:color w:val="auto"/>
              </w:rPr>
            </w:pPr>
            <w:r>
              <w:rPr>
                <w:rFonts w:ascii="Times New Roman" w:cs="Times New Roman" w:eastAsia="Times New Roman" w:hAnsi="Times New Roman"/>
                <w:sz w:val="16"/>
                <w:szCs w:val="16"/>
                <w:color w:val="auto"/>
              </w:rPr>
              <w:t>(3)  Represents payment of Base Director Fee of $50,000, Audit Committee Member Fee of $10,000, Compensation Committee</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9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Member Fee of $7,500 and Lead Technology and Cyber Risk Director Fee of $15,000.</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96"/>
              </w:rPr>
              <w:t>(4)</w:t>
            </w:r>
          </w:p>
        </w:tc>
        <w:tc>
          <w:tcPr>
            <w:tcW w:w="9100" w:type="dxa"/>
            <w:vAlign w:val="bottom"/>
            <w:gridSpan w:val="7"/>
          </w:tcPr>
          <w:p>
            <w:pPr>
              <w:jc w:val="right"/>
              <w:ind w:right="674"/>
              <w:spacing w:after="0" w:line="168" w:lineRule="exact"/>
              <w:rPr>
                <w:sz w:val="20"/>
                <w:szCs w:val="20"/>
                <w:color w:val="auto"/>
              </w:rPr>
            </w:pPr>
            <w:r>
              <w:rPr>
                <w:rFonts w:ascii="Times New Roman" w:cs="Times New Roman" w:eastAsia="Times New Roman" w:hAnsi="Times New Roman"/>
                <w:sz w:val="16"/>
                <w:szCs w:val="16"/>
                <w:color w:val="auto"/>
              </w:rPr>
              <w:t>Represents payment of Base Director Fee of $50,000, Compensation Committee Chair Fee of $22,500 and Audit Committee</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Member Fee of $10,000.</w:t>
            </w: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500" w:right="740" w:hanging="323"/>
        <w:spacing w:after="0" w:line="245" w:lineRule="auto"/>
        <w:rPr>
          <w:sz w:val="20"/>
          <w:szCs w:val="20"/>
          <w:color w:val="auto"/>
        </w:rPr>
      </w:pPr>
      <w:r>
        <w:rPr>
          <w:rFonts w:ascii="Times New Roman" w:cs="Times New Roman" w:eastAsia="Times New Roman" w:hAnsi="Times New Roman"/>
          <w:sz w:val="16"/>
          <w:szCs w:val="16"/>
          <w:color w:val="auto"/>
        </w:rPr>
        <w:t>(5) Represents payment of Base Director Fee of $50,000, Audit Committee Chair Fee of $20,000, Compensation Committee Member Fee of $7,500, and Lead Independent Director Fee of $5,000.</w:t>
      </w:r>
    </w:p>
    <w:p>
      <w:pPr>
        <w:spacing w:after="0" w:line="178"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2023 and Future Outside Director Compensaton</w:t>
      </w:r>
    </w:p>
    <w:p>
      <w:pPr>
        <w:spacing w:after="0" w:line="127" w:lineRule="exact"/>
        <w:rPr>
          <w:sz w:val="20"/>
          <w:szCs w:val="20"/>
          <w:color w:val="auto"/>
        </w:rPr>
      </w:pPr>
    </w:p>
    <w:p>
      <w:pPr>
        <w:jc w:val="both"/>
        <w:ind w:left="180" w:right="740" w:firstLine="648"/>
        <w:spacing w:after="0" w:line="216" w:lineRule="auto"/>
        <w:rPr>
          <w:sz w:val="20"/>
          <w:szCs w:val="20"/>
          <w:color w:val="auto"/>
        </w:rPr>
      </w:pPr>
      <w:r>
        <w:rPr>
          <w:rFonts w:ascii="Times New Roman" w:cs="Times New Roman" w:eastAsia="Times New Roman" w:hAnsi="Times New Roman"/>
          <w:sz w:val="18"/>
          <w:szCs w:val="18"/>
          <w:color w:val="auto"/>
        </w:rPr>
        <w:t>Our Compensation Committee periodically reviews, evaluates, revises and recommends the adoption of compensation arrangements for executive and management officers and outside directors of our Company. In such matters, since 2021, the Compensation Committee has retained the international compensation consulting firm of</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AON as its advisor in this process and has also relied on our legal counsel, Greenberg Traurig, LLP.</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Compensation  Committee  recommended  and  our  Board  authorized,  that  the  following  annual</w:t>
      </w:r>
    </w:p>
    <w:p>
      <w:pPr>
        <w:spacing w:after="0" w:line="2" w:lineRule="exact"/>
        <w:rPr>
          <w:sz w:val="20"/>
          <w:szCs w:val="20"/>
          <w:color w:val="auto"/>
        </w:rPr>
      </w:pPr>
    </w:p>
    <w:p>
      <w:pPr>
        <w:jc w:val="both"/>
        <w:ind w:left="180" w:right="740"/>
        <w:spacing w:after="0" w:line="226" w:lineRule="auto"/>
        <w:rPr>
          <w:sz w:val="20"/>
          <w:szCs w:val="20"/>
          <w:color w:val="auto"/>
        </w:rPr>
      </w:pPr>
      <w:r>
        <w:rPr>
          <w:rFonts w:ascii="Times New Roman" w:cs="Times New Roman" w:eastAsia="Times New Roman" w:hAnsi="Times New Roman"/>
          <w:sz w:val="18"/>
          <w:szCs w:val="18"/>
          <w:color w:val="auto"/>
        </w:rPr>
        <w:t>compensation for our non-employee directors for 2023 through the director terms commencing on December 7, 2023, the date of our 2023 Annual Meeting:</w:t>
      </w:r>
    </w:p>
    <w:p>
      <w:pPr>
        <w:spacing w:after="0" w:line="130" w:lineRule="exact"/>
        <w:rPr>
          <w:sz w:val="20"/>
          <w:szCs w:val="20"/>
          <w:color w:val="auto"/>
        </w:rPr>
      </w:pPr>
    </w:p>
    <w:p>
      <w:pPr>
        <w:ind w:left="2120" w:hanging="316"/>
        <w:spacing w:after="0"/>
        <w:tabs>
          <w:tab w:leader="none" w:pos="2120" w:val="left"/>
        </w:tabs>
        <w:numPr>
          <w:ilvl w:val="0"/>
          <w:numId w:val="1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Board Base Director fee was $50,000.</w:t>
      </w:r>
    </w:p>
    <w:p>
      <w:pPr>
        <w:spacing w:after="0" w:line="142" w:lineRule="exact"/>
        <w:rPr>
          <w:rFonts w:ascii="Courier New" w:cs="Courier New" w:eastAsia="Courier New" w:hAnsi="Courier New"/>
          <w:sz w:val="18"/>
          <w:szCs w:val="18"/>
          <w:color w:val="auto"/>
        </w:rPr>
      </w:pPr>
    </w:p>
    <w:p>
      <w:pPr>
        <w:ind w:left="2120" w:right="740" w:hanging="316"/>
        <w:spacing w:after="0" w:line="229" w:lineRule="auto"/>
        <w:tabs>
          <w:tab w:leader="none" w:pos="2120" w:val="left"/>
        </w:tabs>
        <w:numPr>
          <w:ilvl w:val="0"/>
          <w:numId w:val="1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Committee Chair retainers were $20,000 for our Audit Committee, $22,500 for our Compensation Committee and $2,000 per meeting fee for our Executive Committee.</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4" w:lineRule="exact"/>
        <w:rPr>
          <w:sz w:val="20"/>
          <w:szCs w:val="20"/>
          <w:color w:val="auto"/>
        </w:rPr>
      </w:pPr>
    </w:p>
    <w:p>
      <w:pPr>
        <w:ind w:left="260" w:hanging="76"/>
        <w:spacing w:after="0"/>
        <w:tabs>
          <w:tab w:leader="none" w:pos="26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There is no Chair or Vice-Chair Director fee where the position is held by an Executive Officer of the Company.</w:t>
      </w:r>
    </w:p>
    <w:p>
      <w:pPr>
        <w:spacing w:after="0" w:line="1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80"/>
          </w:cols>
          <w:pgMar w:left="1440" w:top="274" w:right="979" w:bottom="1440" w:gutter="0" w:footer="0" w:header="0"/>
        </w:sectPr>
      </w:pPr>
    </w:p>
    <w:bookmarkStart w:id="22" w:name="page23"/>
    <w:bookmarkEnd w:id="22"/>
    <w:p>
      <w:pPr>
        <w:ind w:left="1800"/>
        <w:spacing w:after="0"/>
        <w:tabs>
          <w:tab w:leader="none" w:pos="2100" w:val="left"/>
          <w:tab w:leader="none" w:pos="5800" w:val="left"/>
          <w:tab w:leader="none" w:pos="6140" w:val="left"/>
          <w:tab w:leader="none" w:pos="6540" w:val="left"/>
          <w:tab w:leader="none" w:pos="7080" w:val="left"/>
          <w:tab w:leader="none" w:pos="822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Times New Roman" w:cs="Times New Roman" w:eastAsia="Times New Roman" w:hAnsi="Times New Roman"/>
          <w:sz w:val="18"/>
          <w:szCs w:val="18"/>
          <w:color w:val="auto"/>
        </w:rPr>
        <w:t>The  committee  member  fees  were  $10,000</w:t>
        <w:tab/>
        <w:t>for</w:t>
        <w:tab/>
        <w:t>our</w:t>
        <w:tab/>
        <w:t>Audit</w:t>
        <w:tab/>
        <w:t>Committee,</w:t>
        <w:tab/>
        <w:t>$7,500</w:t>
      </w:r>
    </w:p>
    <w:p>
      <w:pPr>
        <w:spacing w:after="0" w:line="17" w:lineRule="exact"/>
        <w:rPr>
          <w:sz w:val="20"/>
          <w:szCs w:val="20"/>
          <w:color w:val="auto"/>
        </w:rPr>
      </w:pPr>
    </w:p>
    <w:p>
      <w:pPr>
        <w:ind w:left="2120" w:right="279"/>
        <w:spacing w:after="0" w:line="226" w:lineRule="auto"/>
        <w:rPr>
          <w:sz w:val="20"/>
          <w:szCs w:val="20"/>
          <w:color w:val="auto"/>
        </w:rPr>
      </w:pPr>
      <w:r>
        <w:rPr>
          <w:rFonts w:ascii="Times New Roman" w:cs="Times New Roman" w:eastAsia="Times New Roman" w:hAnsi="Times New Roman"/>
          <w:sz w:val="18"/>
          <w:szCs w:val="18"/>
          <w:color w:val="auto"/>
        </w:rPr>
        <w:t>Compensation Committee and a $1,500 per meeting fee for our Executive Committee and Special Independent Committee.</w:t>
      </w:r>
    </w:p>
    <w:p>
      <w:pPr>
        <w:spacing w:after="0" w:line="117" w:lineRule="exact"/>
        <w:rPr>
          <w:sz w:val="20"/>
          <w:szCs w:val="20"/>
          <w:color w:val="auto"/>
        </w:rPr>
      </w:pPr>
    </w:p>
    <w:p>
      <w:pPr>
        <w:ind w:left="2120" w:hanging="316"/>
        <w:spacing w:after="0"/>
        <w:tabs>
          <w:tab w:leader="none" w:pos="2120" w:val="left"/>
        </w:tabs>
        <w:numPr>
          <w:ilvl w:val="0"/>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Lead Independent Director fee was $5,000.</w:t>
      </w:r>
    </w:p>
    <w:p>
      <w:pPr>
        <w:spacing w:after="0" w:line="142"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Lead Technology and Cyber Risk Director fee was $15,000.</w:t>
      </w:r>
    </w:p>
    <w:p>
      <w:pPr>
        <w:spacing w:after="0" w:line="134"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Vote Required</w:t>
      </w:r>
    </w:p>
    <w:p>
      <w:pPr>
        <w:spacing w:after="0" w:line="127" w:lineRule="exact"/>
        <w:rPr>
          <w:sz w:val="20"/>
          <w:szCs w:val="20"/>
          <w:color w:val="auto"/>
        </w:rPr>
      </w:pPr>
    </w:p>
    <w:p>
      <w:pPr>
        <w:jc w:val="both"/>
        <w:ind w:left="180" w:right="279" w:firstLine="648"/>
        <w:spacing w:after="0" w:line="250" w:lineRule="auto"/>
        <w:rPr>
          <w:sz w:val="20"/>
          <w:szCs w:val="20"/>
          <w:color w:val="auto"/>
        </w:rPr>
      </w:pPr>
      <w:r>
        <w:rPr>
          <w:rFonts w:ascii="Times New Roman" w:cs="Times New Roman" w:eastAsia="Times New Roman" w:hAnsi="Times New Roman"/>
          <w:sz w:val="18"/>
          <w:szCs w:val="18"/>
          <w:color w:val="auto"/>
        </w:rPr>
        <w:t>The five (5) nominees receiving the greatest number of votes cast at our Annual Meeting will be elected to the Board.</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Board has nominated each of the nominees discussed above to hold office until our 2025 Annual</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Meeting of stockholders and thereafter until his or her respective successor has been duly elected and qualified. Each nominee has agreed to be nominated and, if elected, to serve as a director of our Company. The Board has no reason to believe that any nominee will be unable or to serve and all nominees named have consented to serve if elected.</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Chair Margaret Cotter and Vice-Chair Ellen Cotter, who hold, in the aggregate, voting control over 1,208,988 shares, or approximately 72% of our outstanding Class B Stock, have informed the Board that they intend to vote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these shares in favor of the nominees named in this Proxy Statement for election to the Board discussed under Proposal 1 (the Election of Directors).</w:t>
      </w:r>
    </w:p>
    <w:p>
      <w:pPr>
        <w:spacing w:after="0" w:line="121"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Recommendaton of the Board</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DIRECTOR</w:t>
      </w:r>
    </w:p>
    <w:p>
      <w:pPr>
        <w:spacing w:after="0" w:line="6"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65"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23" w:name="page24"/>
    <w:bookmarkEnd w:id="23"/>
    <w:p>
      <w:pPr>
        <w:ind w:left="216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w:t>
      </w:r>
    </w:p>
    <w:p>
      <w:pPr>
        <w:ind w:left="19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38" w:lineRule="exact"/>
        <w:rPr>
          <w:sz w:val="20"/>
          <w:szCs w:val="20"/>
          <w:color w:val="auto"/>
        </w:rPr>
      </w:pPr>
    </w:p>
    <w:p>
      <w:pPr>
        <w:jc w:val="both"/>
        <w:ind w:left="180" w:right="279" w:firstLine="324"/>
        <w:spacing w:after="0" w:line="222" w:lineRule="auto"/>
        <w:rPr>
          <w:sz w:val="20"/>
          <w:szCs w:val="20"/>
          <w:color w:val="auto"/>
        </w:rPr>
      </w:pPr>
      <w:r>
        <w:rPr>
          <w:rFonts w:ascii="Times New Roman" w:cs="Times New Roman" w:eastAsia="Times New Roman" w:hAnsi="Times New Roman"/>
          <w:sz w:val="18"/>
          <w:szCs w:val="18"/>
          <w:color w:val="auto"/>
        </w:rPr>
        <w:t>The Audit Committee has appointed Grant Thornton LLP (“Grant Thornton”) as our Company’s independent registered public accounting firm to audit the consolidated financial statements and internal control over financial</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reporting of our Company for the year ending December 31, 2024. Grant Thornton was engaged as our independent registered public accounting firm for the years ended December 31, 2011 thru December 31, 2024. Our Company is seeking stockholder ratification of the appointment of Grant Thornton as our independent registered public accounting</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firm for year ending December 31, 2024.</w:t>
      </w:r>
    </w:p>
    <w:p>
      <w:pPr>
        <w:spacing w:after="0" w:line="124" w:lineRule="exact"/>
        <w:rPr>
          <w:sz w:val="20"/>
          <w:szCs w:val="20"/>
          <w:color w:val="auto"/>
        </w:rPr>
      </w:pPr>
    </w:p>
    <w:p>
      <w:pPr>
        <w:ind w:left="500"/>
        <w:spacing w:after="0"/>
        <w:tabs>
          <w:tab w:leader="none" w:pos="1500" w:val="left"/>
          <w:tab w:leader="none" w:pos="2440" w:val="left"/>
          <w:tab w:leader="none" w:pos="2740" w:val="left"/>
          <w:tab w:leader="none" w:pos="3100" w:val="left"/>
          <w:tab w:leader="none" w:pos="4140" w:val="left"/>
          <w:tab w:leader="none" w:pos="4440" w:val="left"/>
          <w:tab w:leader="none" w:pos="5000" w:val="left"/>
          <w:tab w:leader="none" w:pos="5820" w:val="left"/>
          <w:tab w:leader="none" w:pos="6080" w:val="left"/>
          <w:tab w:leader="none" w:pos="6460" w:val="left"/>
          <w:tab w:leader="none" w:pos="7200" w:val="left"/>
          <w:tab w:leader="none" w:pos="7520" w:val="left"/>
          <w:tab w:leader="none" w:pos="7920" w:val="left"/>
          <w:tab w:leader="none" w:pos="8580" w:val="left"/>
        </w:tabs>
        <w:rPr>
          <w:sz w:val="20"/>
          <w:szCs w:val="20"/>
          <w:color w:val="auto"/>
        </w:rPr>
      </w:pPr>
      <w:r>
        <w:rPr>
          <w:rFonts w:ascii="Times New Roman" w:cs="Times New Roman" w:eastAsia="Times New Roman" w:hAnsi="Times New Roman"/>
          <w:sz w:val="18"/>
          <w:szCs w:val="18"/>
          <w:color w:val="auto"/>
        </w:rPr>
        <w:t>Stockholder</w:t>
        <w:tab/>
        <w:t>ratification</w:t>
        <w:tab/>
        <w:t>of</w:t>
        <w:tab/>
        <w:t>the</w:t>
        <w:tab/>
        <w:t>appointment</w:t>
        <w:tab/>
        <w:t>of</w:t>
        <w:tab/>
        <w:t>Grant</w:t>
        <w:tab/>
        <w:t>Thornton</w:t>
        <w:tab/>
        <w:t>is</w:t>
        <w:tab/>
        <w:t>not</w:t>
        <w:tab/>
        <w:t>required</w:t>
        <w:tab/>
        <w:t>by</w:t>
        <w:tab/>
        <w:t>our</w:t>
        <w:tab/>
        <w:t>bylaws</w:t>
      </w:r>
      <w:r>
        <w:rPr>
          <w:sz w:val="20"/>
          <w:szCs w:val="20"/>
          <w:color w:val="auto"/>
        </w:rPr>
        <w:tab/>
      </w:r>
      <w:r>
        <w:rPr>
          <w:rFonts w:ascii="Times New Roman" w:cs="Times New Roman" w:eastAsia="Times New Roman" w:hAnsi="Times New Roman"/>
          <w:sz w:val="16"/>
          <w:szCs w:val="16"/>
          <w:color w:val="auto"/>
        </w:rPr>
        <w:t>or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direct the appointment of a different independent registered public accounting firm at any time during the year if it determines that such a change would be in the best interest of our Company and stockholders.</w:t>
      </w:r>
    </w:p>
    <w:p>
      <w:pPr>
        <w:spacing w:after="0" w:line="148"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Vote Required</w:t>
      </w:r>
    </w:p>
    <w:p>
      <w:pPr>
        <w:spacing w:after="0" w:line="140" w:lineRule="exact"/>
        <w:rPr>
          <w:sz w:val="20"/>
          <w:szCs w:val="20"/>
          <w:color w:val="auto"/>
        </w:rPr>
      </w:pPr>
    </w:p>
    <w:p>
      <w:pPr>
        <w:jc w:val="both"/>
        <w:ind w:left="180" w:right="279" w:firstLine="324"/>
        <w:spacing w:after="0" w:line="267" w:lineRule="auto"/>
        <w:rPr>
          <w:sz w:val="20"/>
          <w:szCs w:val="20"/>
          <w:color w:val="auto"/>
        </w:rPr>
      </w:pPr>
      <w:r>
        <w:rPr>
          <w:rFonts w:ascii="Times New Roman" w:cs="Times New Roman" w:eastAsia="Times New Roman" w:hAnsi="Times New Roman"/>
          <w:sz w:val="18"/>
          <w:szCs w:val="18"/>
          <w:color w:val="auto"/>
        </w:rPr>
        <w:t>The approval of this proposal requires the number of votes cast in favor of this proposal to exceed the number of votes cast in opposition to this proposal</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jc w:val="both"/>
        <w:ind w:left="180" w:right="279" w:firstLine="324"/>
        <w:spacing w:after="0" w:line="222" w:lineRule="auto"/>
        <w:rPr>
          <w:sz w:val="20"/>
          <w:szCs w:val="20"/>
          <w:color w:val="auto"/>
        </w:rPr>
      </w:pPr>
      <w:r>
        <w:rPr>
          <w:rFonts w:ascii="Times New Roman" w:cs="Times New Roman" w:eastAsia="Times New Roman" w:hAnsi="Times New Roman"/>
          <w:sz w:val="18"/>
          <w:szCs w:val="18"/>
          <w:color w:val="auto"/>
        </w:rPr>
        <w:t>Chair Margaret Cotter and Vice-Chair Ellen Cotter, who hold, in the aggregate, voting control over 1,208,988 shares, or approximately 72% of our outstanding Class B Stock, have informed the Board that they intend to vote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these shares in favor of the ratification of appointment of Grant Thornton as our Company’s registered independent public accounting firm discussed under Proposal 2 (the Independent Auditor Ratification Proposal).</w:t>
      </w:r>
    </w:p>
    <w:p>
      <w:pPr>
        <w:spacing w:after="0" w:line="121"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Recommendaton of the Board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INDEPENDENT</w:t>
      </w:r>
    </w:p>
    <w:p>
      <w:pPr>
        <w:ind w:left="2820"/>
        <w:spacing w:after="0"/>
        <w:rPr>
          <w:sz w:val="20"/>
          <w:szCs w:val="20"/>
          <w:color w:val="auto"/>
        </w:rPr>
      </w:pPr>
      <w:r>
        <w:rPr>
          <w:rFonts w:ascii="Times New Roman" w:cs="Times New Roman" w:eastAsia="Times New Roman" w:hAnsi="Times New Roman"/>
          <w:sz w:val="18"/>
          <w:szCs w:val="18"/>
          <w:b w:val="1"/>
          <w:bCs w:val="1"/>
          <w:color w:val="auto"/>
        </w:rPr>
        <w:t>AUDITOR RATIFICATION PROPOSAL.</w:t>
      </w:r>
    </w:p>
    <w:p>
      <w:pPr>
        <w:spacing w:after="0" w:line="1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20" w:right="1440" w:bottom="1440" w:gutter="0" w:footer="0" w:header="0"/>
        </w:sectPr>
      </w:pPr>
    </w:p>
    <w:bookmarkStart w:id="24" w:name="page25"/>
    <w:bookmarkEnd w:id="2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OFFICER COMPENSATION</w:t>
      </w:r>
    </w:p>
    <w:p>
      <w:pPr>
        <w:spacing w:after="0" w:line="94" w:lineRule="exact"/>
        <w:rPr>
          <w:sz w:val="20"/>
          <w:szCs w:val="20"/>
          <w:color w:val="auto"/>
        </w:rPr>
      </w:pPr>
    </w:p>
    <w:p>
      <w:pPr>
        <w:jc w:val="both"/>
        <w:ind w:left="180" w:right="279" w:firstLine="324"/>
        <w:spacing w:after="0" w:line="21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these individuals is set out below under the heading, “Executive Compensation.”</w:t>
      </w:r>
    </w:p>
    <w:p>
      <w:pPr>
        <w:spacing w:after="0" w:line="57" w:lineRule="exact"/>
        <w:rPr>
          <w:sz w:val="20"/>
          <w:szCs w:val="20"/>
          <w:color w:val="auto"/>
        </w:rPr>
      </w:pPr>
    </w:p>
    <w:p>
      <w:pPr>
        <w:jc w:val="both"/>
        <w:ind w:left="180" w:right="279" w:firstLine="324"/>
        <w:spacing w:after="0" w:line="222" w:lineRule="auto"/>
        <w:rPr>
          <w:sz w:val="20"/>
          <w:szCs w:val="20"/>
          <w:color w:val="auto"/>
        </w:rPr>
      </w:pPr>
      <w:r>
        <w:rPr>
          <w:rFonts w:ascii="Times New Roman" w:cs="Times New Roman" w:eastAsia="Times New Roman" w:hAnsi="Times New Roman"/>
          <w:sz w:val="18"/>
          <w:szCs w:val="18"/>
          <w:color w:val="auto"/>
        </w:rPr>
        <w:t>We believe that our compensation policies for the named executive officers are designed to attract, motivate, and retain talented executive officers and are aligned with the long-term interests of our stockholders. This advisory</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stockholder vote, commonly referred to as a “say-on-pay” vote, gives our stockholders the opportunity to approve or not approve the compensation of each of the named executive officers that is disclosed in this Proxy Statement by voting for or against the following resolution (or by abstaining with respect to the resolution).</w:t>
      </w:r>
    </w:p>
    <w:p>
      <w:pPr>
        <w:spacing w:after="0" w:line="64" w:lineRule="exact"/>
        <w:rPr>
          <w:sz w:val="20"/>
          <w:szCs w:val="20"/>
          <w:color w:val="auto"/>
        </w:rPr>
      </w:pPr>
    </w:p>
    <w:p>
      <w:pPr>
        <w:jc w:val="both"/>
        <w:ind w:left="180" w:right="279" w:firstLine="324"/>
        <w:spacing w:after="0" w:line="216" w:lineRule="auto"/>
        <w:rPr>
          <w:sz w:val="20"/>
          <w:szCs w:val="20"/>
          <w:color w:val="auto"/>
        </w:rPr>
      </w:pPr>
      <w:r>
        <w:rPr>
          <w:rFonts w:ascii="Times New Roman" w:cs="Times New Roman" w:eastAsia="Times New Roman" w:hAnsi="Times New Roman"/>
          <w:sz w:val="18"/>
          <w:szCs w:val="18"/>
          <w:color w:val="auto"/>
        </w:rPr>
        <w:t>At our Annual Meeting of stockholders held on December 7, 2023, we held an advisory vote on executive compensation. Our stockholders voted in favor of our Company’s executive compensation. Our Board and our Compensation Committee reviewed the results of the advisory vote on executive compensation in 2023 and, as the</w:t>
      </w:r>
    </w:p>
    <w:p>
      <w:pPr>
        <w:spacing w:after="0" w:line="1"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vote approved our executive compensation for 2023, we did not make any changes to our compensation based on the results of the vote.</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required by Section 14A of the Securities Exchange Act of 1934, this proposal seeks a stockholder advisory</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vote on the compensation of our named executive officers as disclosed pursuant to Item 402 of Regulation S-K through the following resolution:</w:t>
      </w:r>
    </w:p>
    <w:p>
      <w:pPr>
        <w:spacing w:after="0" w:line="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“RESOLVED, that the holders of the Company’s Class B Stock approve, on an advisory</w:t>
      </w:r>
    </w:p>
    <w:p>
      <w:pPr>
        <w:spacing w:after="0" w:line="2" w:lineRule="exact"/>
        <w:rPr>
          <w:sz w:val="20"/>
          <w:szCs w:val="20"/>
          <w:color w:val="auto"/>
        </w:rPr>
      </w:pPr>
    </w:p>
    <w:p>
      <w:pPr>
        <w:jc w:val="both"/>
        <w:ind w:left="1160" w:right="1179"/>
        <w:spacing w:after="0" w:line="218" w:lineRule="auto"/>
        <w:rPr>
          <w:sz w:val="20"/>
          <w:szCs w:val="20"/>
          <w:color w:val="auto"/>
        </w:rPr>
      </w:pPr>
      <w:r>
        <w:rPr>
          <w:rFonts w:ascii="Times New Roman" w:cs="Times New Roman" w:eastAsia="Times New Roman" w:hAnsi="Times New Roman"/>
          <w:sz w:val="18"/>
          <w:szCs w:val="18"/>
          <w:color w:val="auto"/>
        </w:rPr>
        <w:t>basis, the compensation paid to the Company’s named executive officers, as disclosed in the Company’s Proxy Statement for the 2024 Annual Meeting of stockholders pursuant to Item 402 of Regulation S-K, including the compensation tables and related narrative disclosures.”</w:t>
      </w:r>
    </w:p>
    <w:p>
      <w:pPr>
        <w:spacing w:after="0" w:line="64" w:lineRule="exact"/>
        <w:rPr>
          <w:sz w:val="20"/>
          <w:szCs w:val="20"/>
          <w:color w:val="auto"/>
        </w:rPr>
      </w:pPr>
    </w:p>
    <w:p>
      <w:pPr>
        <w:jc w:val="both"/>
        <w:ind w:left="180" w:right="279" w:firstLine="324"/>
        <w:spacing w:after="0" w:line="216" w:lineRule="auto"/>
        <w:rPr>
          <w:sz w:val="20"/>
          <w:szCs w:val="20"/>
          <w:color w:val="auto"/>
        </w:rPr>
      </w:pPr>
      <w:r>
        <w:rPr>
          <w:rFonts w:ascii="Times New Roman" w:cs="Times New Roman" w:eastAsia="Times New Roman" w:hAnsi="Times New Roman"/>
          <w:sz w:val="18"/>
          <w:szCs w:val="18"/>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w:t>
      </w:r>
    </w:p>
    <w:p>
      <w:pPr>
        <w:spacing w:after="0" w:line="1"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vote is not intended to address any specific item of compensation, but rather the overall compensation of our “named executive officers” and our general compensation policies and practices.</w:t>
      </w:r>
    </w:p>
    <w:p>
      <w:pPr>
        <w:spacing w:after="0" w:line="40"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Vote Required</w:t>
      </w:r>
    </w:p>
    <w:p>
      <w:pPr>
        <w:spacing w:after="0" w:line="140" w:lineRule="exact"/>
        <w:rPr>
          <w:sz w:val="20"/>
          <w:szCs w:val="20"/>
          <w:color w:val="auto"/>
        </w:rPr>
      </w:pPr>
    </w:p>
    <w:p>
      <w:pPr>
        <w:jc w:val="both"/>
        <w:ind w:left="180" w:right="279" w:firstLine="324"/>
        <w:spacing w:after="0" w:line="267" w:lineRule="auto"/>
        <w:rPr>
          <w:sz w:val="20"/>
          <w:szCs w:val="20"/>
          <w:color w:val="auto"/>
        </w:rPr>
      </w:pPr>
      <w:r>
        <w:rPr>
          <w:rFonts w:ascii="Times New Roman" w:cs="Times New Roman" w:eastAsia="Times New Roman" w:hAnsi="Times New Roman"/>
          <w:sz w:val="18"/>
          <w:szCs w:val="18"/>
          <w:color w:val="auto"/>
        </w:rPr>
        <w:t>The approval of this proposal requires the number of votes cast in favor of this proposal to exceed the number of votes cast in opposition to this proposal</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jc w:val="both"/>
        <w:ind w:left="180" w:right="279" w:firstLine="324"/>
        <w:spacing w:after="0" w:line="222" w:lineRule="auto"/>
        <w:rPr>
          <w:sz w:val="20"/>
          <w:szCs w:val="20"/>
          <w:color w:val="auto"/>
        </w:rPr>
      </w:pPr>
      <w:r>
        <w:rPr>
          <w:rFonts w:ascii="Times New Roman" w:cs="Times New Roman" w:eastAsia="Times New Roman" w:hAnsi="Times New Roman"/>
          <w:sz w:val="18"/>
          <w:szCs w:val="18"/>
          <w:color w:val="auto"/>
        </w:rPr>
        <w:t>Chair Margaret Cotter and Vice-Chair Ellen Cotter, who hold, in the aggregate, voting control over an aggregate of 1,208,988 shares, or approximately 72% of our outstanding Class B Stock, have informed the Board that they</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intend to vote these shares in favor of the advisory vote on the “say on pay” for our “named executive officers” discussed under Proposal 3 (the Advisory Vote on Executive Officer Compensation Proposal).</w:t>
      </w:r>
    </w:p>
    <w:p>
      <w:pPr>
        <w:spacing w:after="0" w:line="121"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Recommendaton of the Board</w:t>
      </w:r>
    </w:p>
    <w:p>
      <w:pPr>
        <w:spacing w:after="0" w:line="136" w:lineRule="exact"/>
        <w:rPr>
          <w:sz w:val="20"/>
          <w:szCs w:val="20"/>
          <w:color w:val="auto"/>
        </w:rPr>
      </w:pPr>
    </w:p>
    <w:p>
      <w:pPr>
        <w:jc w:val="center"/>
        <w:ind w:left="180" w:right="279"/>
        <w:spacing w:after="0" w:line="30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ADVISORY VOTE ON EXECUTIVE OFFICER COMPENSATION PROPOSAL.</w:t>
      </w:r>
    </w:p>
    <w:p>
      <w:pPr>
        <w:spacing w:after="0" w:line="1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25" w:name="page26"/>
    <w:bookmarkEnd w:id="25"/>
    <w:p>
      <w:pPr>
        <w:ind w:left="420" w:right="820" w:firstLine="247"/>
        <w:spacing w:after="0" w:line="255" w:lineRule="auto"/>
        <w:rPr>
          <w:sz w:val="20"/>
          <w:szCs w:val="20"/>
          <w:color w:val="auto"/>
        </w:rPr>
      </w:pPr>
      <w:r>
        <w:rPr>
          <w:rFonts w:ascii="Times New Roman" w:cs="Times New Roman" w:eastAsia="Times New Roman" w:hAnsi="Times New Roman"/>
          <w:sz w:val="17"/>
          <w:szCs w:val="17"/>
          <w:b w:val="1"/>
          <w:bCs w:val="1"/>
          <w:color w:val="auto"/>
        </w:rPr>
        <w:t>PROPOSAL 4: APPROVAL OF AN AMENDMENT TO THE READING INTERNATIONAL, INC. 2020 STOCK INCENTIVE PLAN TO INCREASE THE NUMBER OF SHARES OF CLASS A COMMON</w:t>
      </w:r>
    </w:p>
    <w:p>
      <w:pPr>
        <w:ind w:left="2380"/>
        <w:spacing w:after="0"/>
        <w:rPr>
          <w:sz w:val="20"/>
          <w:szCs w:val="20"/>
          <w:color w:val="auto"/>
        </w:rPr>
      </w:pPr>
      <w:r>
        <w:rPr>
          <w:rFonts w:ascii="Times New Roman" w:cs="Times New Roman" w:eastAsia="Times New Roman" w:hAnsi="Times New Roman"/>
          <w:sz w:val="18"/>
          <w:szCs w:val="18"/>
          <w:b w:val="1"/>
          <w:bCs w:val="1"/>
          <w:color w:val="auto"/>
        </w:rPr>
        <w:t>STOCK RESERVED FOR ISSUANCE THEREUNDER</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jc w:val="both"/>
        <w:ind w:left="180" w:right="600" w:firstLine="648"/>
        <w:spacing w:after="0" w:line="236" w:lineRule="auto"/>
        <w:rPr>
          <w:sz w:val="20"/>
          <w:szCs w:val="20"/>
          <w:color w:val="auto"/>
        </w:rPr>
      </w:pPr>
      <w:r>
        <w:rPr>
          <w:rFonts w:ascii="Times New Roman" w:cs="Times New Roman" w:eastAsia="Times New Roman" w:hAnsi="Times New Roman"/>
          <w:sz w:val="18"/>
          <w:szCs w:val="18"/>
          <w:color w:val="auto"/>
        </w:rPr>
        <w:t>At the Annual Meeting, our Class B Stockholders will be asked to approve an amendment (the “Stock Plan Amendment”) to the Reading International, Inc. 2020 Stock Incentive Plan, as amended (the “2020 Stock Incentive Plan”), to increase the number of shares of Class A Stock reserved for issuance under the 2020 Stock Incentive Plan by an additional 3,500,000 shares of Class A Stock.</w:t>
      </w:r>
    </w:p>
    <w:p>
      <w:pPr>
        <w:spacing w:after="0" w:line="104" w:lineRule="exact"/>
        <w:rPr>
          <w:sz w:val="20"/>
          <w:szCs w:val="20"/>
          <w:color w:val="auto"/>
        </w:rPr>
      </w:pPr>
    </w:p>
    <w:p>
      <w:pPr>
        <w:jc w:val="both"/>
        <w:ind w:left="180" w:right="600" w:firstLine="648"/>
        <w:spacing w:after="0" w:line="254" w:lineRule="auto"/>
        <w:rPr>
          <w:sz w:val="20"/>
          <w:szCs w:val="20"/>
          <w:color w:val="auto"/>
        </w:rPr>
      </w:pPr>
      <w:r>
        <w:rPr>
          <w:rFonts w:ascii="Times New Roman" w:cs="Times New Roman" w:eastAsia="Times New Roman" w:hAnsi="Times New Roman"/>
          <w:sz w:val="18"/>
          <w:szCs w:val="18"/>
          <w:color w:val="auto"/>
        </w:rPr>
        <w:t>At the present time, our Company has outstanding options, RSUs and PRSUs that, if exercised or vested, as applicable, will utilize all but 15,048 shares of the Class A Stock authorized for issuance under our 2020 Stock Incentive Plan. Our Board currently expects that this reserve will be sufficient for approximately five (5) years to cover grants over the period 2024 through 2029. As discussed in our Executive Compensation disclosure below, equity awards are an essential compensation component to retain talent, and unless the Stock Plan Amendment is approved, the Company will not have any shares of Class A Stock available for issuance to fund the Company’s grants beyond 2024 which will negatively impact our executive compensation equity grant practices. Given our current liquidity challenges, we believe that the increase in Class A Stock available for issuance under the 2020 Stock Incentive Plan allows our Company to incentivize and retain our employees, consultants and directors and to use available cash for other business purposes.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New Plan Benefits</w:t>
      </w:r>
    </w:p>
    <w:p>
      <w:pPr>
        <w:spacing w:after="0" w:line="162" w:lineRule="exact"/>
        <w:rPr>
          <w:sz w:val="20"/>
          <w:szCs w:val="20"/>
          <w:color w:val="auto"/>
        </w:rPr>
      </w:pPr>
    </w:p>
    <w:p>
      <w:pPr>
        <w:jc w:val="both"/>
        <w:ind w:left="180" w:right="600" w:firstLine="324"/>
        <w:spacing w:after="0" w:line="253" w:lineRule="auto"/>
        <w:rPr>
          <w:sz w:val="20"/>
          <w:szCs w:val="20"/>
          <w:color w:val="auto"/>
        </w:rPr>
      </w:pPr>
      <w:r>
        <w:rPr>
          <w:rFonts w:ascii="Times New Roman" w:cs="Times New Roman" w:eastAsia="Times New Roman" w:hAnsi="Times New Roman"/>
          <w:sz w:val="18"/>
          <w:szCs w:val="18"/>
          <w:color w:val="auto"/>
        </w:rPr>
        <w:t>Awards granted under the 2020 Stock Incentive Plan, as amended by the Stock Plan Amendment, will be subject to our Board’s discretion, and our Board has not determined future awards or who might receive them. As a result, as of the Record Date, the benefits that will be awarded or paid under the 2020 Stock Incentive Plan, as amended by the Stock Plan Amendment, are not determinable. The purpose of the amendment is to ensure that we will continue to have a sufficient reserve of Class A Stock available under the 2020 Stock Incentive Plan so that our Company is able to attract and retain employees, consultants and directors who will contribute to our Company’s long-term success, and to bind the interests of such persons more closely to our Company’s own interests. Subject to the approval of stockholders, our Board adopted the amendment to the 2020 Stock Incentive Plan on October 18, 2024, to increase the number of shares of Class A Stock remaining available for issuance under the 2020 Stock Incentive Plan by 3,500,000 shares of Class A Stock.</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Burn Rate and Overhang</w:t>
      </w:r>
    </w:p>
    <w:p>
      <w:pPr>
        <w:spacing w:after="0" w:line="135" w:lineRule="exact"/>
        <w:rPr>
          <w:sz w:val="20"/>
          <w:szCs w:val="20"/>
          <w:color w:val="auto"/>
        </w:rPr>
      </w:pPr>
    </w:p>
    <w:p>
      <w:pPr>
        <w:jc w:val="both"/>
        <w:ind w:left="180" w:right="600" w:firstLine="648"/>
        <w:spacing w:after="0" w:line="236" w:lineRule="auto"/>
        <w:rPr>
          <w:sz w:val="20"/>
          <w:szCs w:val="20"/>
          <w:color w:val="auto"/>
        </w:rPr>
      </w:pPr>
      <w:r>
        <w:rPr>
          <w:rFonts w:ascii="Times New Roman" w:cs="Times New Roman" w:eastAsia="Times New Roman" w:hAnsi="Times New Roman"/>
          <w:sz w:val="18"/>
          <w:szCs w:val="18"/>
          <w:color w:val="auto"/>
        </w:rPr>
        <w:t>Our stock-based compensation model, including the broad-based participation of our employees and directors, and the portion of equity compensation paid to our senior executives, results in a “burn rate,” or share utilization rate, presented in the table below. The table summarizes the number of awards granted and the burn rate for each of our last three fiscal years.</w:t>
      </w:r>
    </w:p>
    <w:p>
      <w:pPr>
        <w:spacing w:after="0" w:line="200" w:lineRule="exact"/>
        <w:rPr>
          <w:sz w:val="20"/>
          <w:szCs w:val="20"/>
          <w:color w:val="auto"/>
        </w:rPr>
      </w:pPr>
    </w:p>
    <w:p>
      <w:pPr>
        <w:spacing w:after="0" w:line="241" w:lineRule="exact"/>
        <w:rPr>
          <w:sz w:val="20"/>
          <w:szCs w:val="20"/>
          <w:color w:val="auto"/>
        </w:rPr>
      </w:pPr>
    </w:p>
    <w:tbl>
      <w:tblPr>
        <w:tblLayout w:type="fixed"/>
        <w:tblInd w:w="190" w:type="dxa"/>
        <w:tblCellMar>
          <w:top w:w="0" w:type="dxa"/>
          <w:left w:w="0" w:type="dxa"/>
          <w:bottom w:w="0" w:type="dxa"/>
          <w:right w:w="0" w:type="dxa"/>
        </w:tblCellMar>
      </w:tblPr>
      <w:tr>
        <w:trPr>
          <w:trHeight w:val="32"/>
        </w:trPr>
        <w:tc>
          <w:tcPr>
            <w:tcW w:w="40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0" w:type="dxa"/>
            <w:vAlign w:val="bottom"/>
            <w:vMerge w:val="continue"/>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FY 2021</w:t>
            </w:r>
          </w:p>
        </w:tc>
        <w:tc>
          <w:tcPr>
            <w:tcW w:w="166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FY 2022</w:t>
            </w:r>
          </w:p>
        </w:tc>
        <w:tc>
          <w:tcPr>
            <w:tcW w:w="158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0" w:type="dxa"/>
            <w:vAlign w:val="bottom"/>
          </w:tcPr>
          <w:p>
            <w:pPr>
              <w:spacing w:after="0"/>
              <w:rPr>
                <w:sz w:val="1"/>
                <w:szCs w:val="1"/>
                <w:color w:val="auto"/>
              </w:rPr>
            </w:pPr>
          </w:p>
        </w:tc>
      </w:tr>
      <w:tr>
        <w:trPr>
          <w:trHeight w:val="99"/>
        </w:trPr>
        <w:tc>
          <w:tcPr>
            <w:tcW w:w="400" w:type="dxa"/>
            <w:vAlign w:val="bottom"/>
            <w:tcBorders>
              <w:bottom w:val="single" w:sz="8" w:color="auto"/>
            </w:tcBorders>
          </w:tcPr>
          <w:p>
            <w:pPr>
              <w:spacing w:after="0"/>
              <w:rPr>
                <w:sz w:val="8"/>
                <w:szCs w:val="8"/>
                <w:color w:val="auto"/>
              </w:rPr>
            </w:pPr>
          </w:p>
        </w:tc>
        <w:tc>
          <w:tcPr>
            <w:tcW w:w="402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020" w:type="dxa"/>
            <w:vAlign w:val="bottom"/>
            <w:tcBorders>
              <w:right w:val="single" w:sz="8" w:color="auto"/>
            </w:tcBorders>
            <w:shd w:val="clear" w:color="auto" w:fill="DEEAF6"/>
          </w:tcPr>
          <w:p>
            <w:pPr>
              <w:ind w:left="100"/>
              <w:spacing w:after="0"/>
              <w:rPr>
                <w:sz w:val="20"/>
                <w:szCs w:val="20"/>
                <w:color w:val="auto"/>
              </w:rPr>
            </w:pPr>
            <w:r>
              <w:rPr>
                <w:rFonts w:ascii="Times New Roman" w:cs="Times New Roman" w:eastAsia="Times New Roman" w:hAnsi="Times New Roman"/>
                <w:sz w:val="18"/>
                <w:szCs w:val="18"/>
                <w:color w:val="auto"/>
              </w:rPr>
              <w:t>Stock Options Granted</w:t>
            </w:r>
          </w:p>
        </w:tc>
        <w:tc>
          <w:tcPr>
            <w:tcW w:w="1660" w:type="dxa"/>
            <w:vAlign w:val="bottom"/>
            <w:tcBorders>
              <w:right w:val="single" w:sz="8" w:color="auto"/>
            </w:tcBorders>
            <w:shd w:val="clear" w:color="auto" w:fill="DEEAF6"/>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shd w:val="clear" w:color="auto" w:fill="DEEAF6"/>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8"/>
                <w:szCs w:val="18"/>
                <w:color w:val="auto"/>
              </w:rPr>
              <w:t>207,657</w:t>
            </w:r>
          </w:p>
        </w:tc>
        <w:tc>
          <w:tcPr>
            <w:tcW w:w="0" w:type="dxa"/>
            <w:vAlign w:val="bottom"/>
          </w:tcPr>
          <w:p>
            <w:pPr>
              <w:spacing w:after="0"/>
              <w:rPr>
                <w:sz w:val="1"/>
                <w:szCs w:val="1"/>
                <w:color w:val="auto"/>
              </w:rPr>
            </w:pPr>
          </w:p>
        </w:tc>
      </w:tr>
      <w:tr>
        <w:trPr>
          <w:trHeight w:val="103"/>
        </w:trPr>
        <w:tc>
          <w:tcPr>
            <w:tcW w:w="4420" w:type="dxa"/>
            <w:vAlign w:val="bottom"/>
            <w:tcBorders>
              <w:left w:val="single" w:sz="8" w:color="auto"/>
              <w:bottom w:val="single" w:sz="8" w:color="auto"/>
              <w:right w:val="single" w:sz="8" w:color="auto"/>
            </w:tcBorders>
            <w:gridSpan w:val="2"/>
            <w:shd w:val="clear" w:color="auto" w:fill="DEEAF6"/>
          </w:tcPr>
          <w:p>
            <w:pPr>
              <w:spacing w:after="0"/>
              <w:rPr>
                <w:sz w:val="8"/>
                <w:szCs w:val="8"/>
                <w:color w:val="auto"/>
              </w:rPr>
            </w:pPr>
          </w:p>
        </w:tc>
        <w:tc>
          <w:tcPr>
            <w:tcW w:w="1660" w:type="dxa"/>
            <w:vAlign w:val="bottom"/>
            <w:tcBorders>
              <w:bottom w:val="single" w:sz="8" w:color="auto"/>
              <w:right w:val="single" w:sz="8" w:color="auto"/>
            </w:tcBorders>
            <w:shd w:val="clear" w:color="auto" w:fill="DEEAF6"/>
          </w:tcPr>
          <w:p>
            <w:pPr>
              <w:spacing w:after="0"/>
              <w:rPr>
                <w:sz w:val="8"/>
                <w:szCs w:val="8"/>
                <w:color w:val="auto"/>
              </w:rPr>
            </w:pPr>
          </w:p>
        </w:tc>
        <w:tc>
          <w:tcPr>
            <w:tcW w:w="1660" w:type="dxa"/>
            <w:vAlign w:val="bottom"/>
            <w:tcBorders>
              <w:bottom w:val="single" w:sz="8" w:color="auto"/>
              <w:right w:val="single" w:sz="8" w:color="auto"/>
            </w:tcBorders>
            <w:shd w:val="clear" w:color="auto" w:fill="DEEAF6"/>
          </w:tcPr>
          <w:p>
            <w:pPr>
              <w:spacing w:after="0"/>
              <w:rPr>
                <w:sz w:val="8"/>
                <w:szCs w:val="8"/>
                <w:color w:val="auto"/>
              </w:rPr>
            </w:pPr>
          </w:p>
        </w:tc>
        <w:tc>
          <w:tcPr>
            <w:tcW w:w="1580" w:type="dxa"/>
            <w:vAlign w:val="bottom"/>
            <w:tcBorders>
              <w:bottom w:val="single" w:sz="8" w:color="auto"/>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42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  Time-based restricted stock units granted</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280,358</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377,728</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512,091</w:t>
            </w:r>
          </w:p>
        </w:tc>
        <w:tc>
          <w:tcPr>
            <w:tcW w:w="0" w:type="dxa"/>
            <w:vAlign w:val="bottom"/>
          </w:tcPr>
          <w:p>
            <w:pPr>
              <w:spacing w:after="0"/>
              <w:rPr>
                <w:sz w:val="1"/>
                <w:szCs w:val="1"/>
                <w:color w:val="auto"/>
              </w:rPr>
            </w:pPr>
          </w:p>
        </w:tc>
      </w:tr>
      <w:tr>
        <w:trPr>
          <w:trHeight w:val="103"/>
        </w:trPr>
        <w:tc>
          <w:tcPr>
            <w:tcW w:w="4420" w:type="dxa"/>
            <w:vAlign w:val="bottom"/>
            <w:tcBorders>
              <w:left w:val="single" w:sz="8" w:color="auto"/>
              <w:bottom w:val="single" w:sz="8" w:color="auto"/>
              <w:right w:val="single" w:sz="8" w:color="auto"/>
            </w:tcBorders>
            <w:gridSpan w:val="2"/>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4420" w:type="dxa"/>
            <w:vAlign w:val="bottom"/>
            <w:tcBorders>
              <w:left w:val="single" w:sz="8" w:color="auto"/>
              <w:right w:val="single" w:sz="8" w:color="auto"/>
            </w:tcBorders>
            <w:gridSpan w:val="2"/>
            <w:shd w:val="clear" w:color="auto" w:fill="DEEAF6"/>
          </w:tcPr>
          <w:p>
            <w:pPr>
              <w:ind w:left="140"/>
              <w:spacing w:after="0" w:line="156" w:lineRule="exact"/>
              <w:rPr>
                <w:sz w:val="20"/>
                <w:szCs w:val="20"/>
                <w:color w:val="auto"/>
              </w:rPr>
            </w:pPr>
            <w:r>
              <w:rPr>
                <w:rFonts w:ascii="Times New Roman" w:cs="Times New Roman" w:eastAsia="Times New Roman" w:hAnsi="Times New Roman"/>
                <w:sz w:val="18"/>
                <w:szCs w:val="18"/>
                <w:color w:val="auto"/>
              </w:rPr>
              <w:t>(c)  Performance-based  restricted  stock  units</w:t>
            </w:r>
          </w:p>
        </w:tc>
        <w:tc>
          <w:tcPr>
            <w:tcW w:w="166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81,235</w:t>
            </w:r>
          </w:p>
        </w:tc>
        <w:tc>
          <w:tcPr>
            <w:tcW w:w="166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124,854</w:t>
            </w:r>
          </w:p>
        </w:tc>
        <w:tc>
          <w:tcPr>
            <w:tcW w:w="158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159,591</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shd w:val="clear" w:color="auto" w:fill="DEEAF6"/>
          </w:tcPr>
          <w:p>
            <w:pPr>
              <w:spacing w:after="0"/>
              <w:rPr>
                <w:sz w:val="20"/>
                <w:szCs w:val="20"/>
                <w:color w:val="auto"/>
              </w:rPr>
            </w:pPr>
          </w:p>
        </w:tc>
        <w:tc>
          <w:tcPr>
            <w:tcW w:w="4020" w:type="dxa"/>
            <w:vAlign w:val="bottom"/>
            <w:tcBorders>
              <w:right w:val="single" w:sz="8" w:color="auto"/>
            </w:tcBorders>
            <w:shd w:val="clear" w:color="auto" w:fill="DEEAF6"/>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Borders>
              <w:right w:val="single" w:sz="8" w:color="auto"/>
            </w:tcBorders>
            <w:shd w:val="clear" w:color="auto" w:fill="DEEAF6"/>
          </w:tcPr>
          <w:p>
            <w:pPr>
              <w:spacing w:after="0"/>
              <w:rPr>
                <w:sz w:val="20"/>
                <w:szCs w:val="20"/>
                <w:color w:val="auto"/>
              </w:rPr>
            </w:pPr>
          </w:p>
        </w:tc>
        <w:tc>
          <w:tcPr>
            <w:tcW w:w="1660" w:type="dxa"/>
            <w:vAlign w:val="bottom"/>
            <w:tcBorders>
              <w:right w:val="single" w:sz="8" w:color="auto"/>
            </w:tcBorders>
            <w:shd w:val="clear" w:color="auto" w:fill="DEEAF6"/>
          </w:tcPr>
          <w:p>
            <w:pPr>
              <w:spacing w:after="0"/>
              <w:rPr>
                <w:sz w:val="20"/>
                <w:szCs w:val="20"/>
                <w:color w:val="auto"/>
              </w:rPr>
            </w:pPr>
          </w:p>
        </w:tc>
        <w:tc>
          <w:tcPr>
            <w:tcW w:w="1580" w:type="dxa"/>
            <w:vAlign w:val="bottom"/>
            <w:tcBorders>
              <w:right w:val="single" w:sz="8" w:color="auto"/>
            </w:tcBorders>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00" w:type="dxa"/>
            <w:vAlign w:val="bottom"/>
            <w:tcBorders>
              <w:left w:val="single" w:sz="8" w:color="auto"/>
              <w:bottom w:val="single" w:sz="8" w:color="auto"/>
            </w:tcBorders>
            <w:shd w:val="clear" w:color="auto" w:fill="DEEAF6"/>
          </w:tcPr>
          <w:p>
            <w:pPr>
              <w:spacing w:after="0"/>
              <w:rPr>
                <w:sz w:val="11"/>
                <w:szCs w:val="11"/>
                <w:color w:val="auto"/>
              </w:rPr>
            </w:pPr>
          </w:p>
        </w:tc>
        <w:tc>
          <w:tcPr>
            <w:tcW w:w="4020" w:type="dxa"/>
            <w:vAlign w:val="bottom"/>
            <w:tcBorders>
              <w:bottom w:val="single" w:sz="8" w:color="auto"/>
              <w:right w:val="single" w:sz="8" w:color="auto"/>
            </w:tcBorders>
            <w:shd w:val="clear" w:color="auto" w:fill="DEEAF6"/>
          </w:tcPr>
          <w:p>
            <w:pPr>
              <w:spacing w:after="0"/>
              <w:rPr>
                <w:sz w:val="11"/>
                <w:szCs w:val="11"/>
                <w:color w:val="auto"/>
              </w:rPr>
            </w:pPr>
          </w:p>
        </w:tc>
        <w:tc>
          <w:tcPr>
            <w:tcW w:w="1660" w:type="dxa"/>
            <w:vAlign w:val="bottom"/>
            <w:tcBorders>
              <w:bottom w:val="single" w:sz="8" w:color="auto"/>
              <w:right w:val="single" w:sz="8" w:color="auto"/>
            </w:tcBorders>
            <w:shd w:val="clear" w:color="auto" w:fill="DEEAF6"/>
          </w:tcPr>
          <w:p>
            <w:pPr>
              <w:spacing w:after="0"/>
              <w:rPr>
                <w:sz w:val="11"/>
                <w:szCs w:val="11"/>
                <w:color w:val="auto"/>
              </w:rPr>
            </w:pPr>
          </w:p>
        </w:tc>
        <w:tc>
          <w:tcPr>
            <w:tcW w:w="1660" w:type="dxa"/>
            <w:vAlign w:val="bottom"/>
            <w:tcBorders>
              <w:bottom w:val="single" w:sz="8" w:color="auto"/>
              <w:right w:val="single" w:sz="8" w:color="auto"/>
            </w:tcBorders>
            <w:shd w:val="clear" w:color="auto" w:fill="DEEAF6"/>
          </w:tcPr>
          <w:p>
            <w:pPr>
              <w:spacing w:after="0"/>
              <w:rPr>
                <w:sz w:val="11"/>
                <w:szCs w:val="11"/>
                <w:color w:val="auto"/>
              </w:rPr>
            </w:pPr>
          </w:p>
        </w:tc>
        <w:tc>
          <w:tcPr>
            <w:tcW w:w="1580" w:type="dxa"/>
            <w:vAlign w:val="bottom"/>
            <w:tcBorders>
              <w:bottom w:val="single" w:sz="8" w:color="auto"/>
              <w:right w:val="single" w:sz="8" w:color="auto"/>
            </w:tcBorders>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0" w:type="dxa"/>
            <w:vAlign w:val="bottom"/>
            <w:tcBorders>
              <w:lef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(d)</w:t>
            </w:r>
          </w:p>
        </w:tc>
        <w:tc>
          <w:tcPr>
            <w:tcW w:w="402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8"/>
                <w:szCs w:val="18"/>
                <w:color w:val="auto"/>
              </w:rPr>
              <w:t>Increase in diluted shares due to equity</w:t>
            </w:r>
          </w:p>
        </w:tc>
        <w:tc>
          <w:tcPr>
            <w:tcW w:w="166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361,593</w:t>
            </w:r>
          </w:p>
        </w:tc>
        <w:tc>
          <w:tcPr>
            <w:tcW w:w="166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502,582</w:t>
            </w:r>
          </w:p>
        </w:tc>
        <w:tc>
          <w:tcPr>
            <w:tcW w:w="158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879,339</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award (a+b+c)</w:t>
            </w:r>
          </w:p>
        </w:tc>
        <w:tc>
          <w:tcPr>
            <w:tcW w:w="16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42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420" w:type="dxa"/>
            <w:vAlign w:val="bottom"/>
            <w:tcBorders>
              <w:left w:val="single" w:sz="8" w:color="auto"/>
              <w:right w:val="single" w:sz="8" w:color="auto"/>
            </w:tcBorders>
            <w:gridSpan w:val="2"/>
            <w:shd w:val="clear" w:color="auto" w:fill="DEEAF6"/>
          </w:tcPr>
          <w:p>
            <w:pPr>
              <w:ind w:left="140"/>
              <w:spacing w:after="0" w:line="156" w:lineRule="exact"/>
              <w:rPr>
                <w:sz w:val="20"/>
                <w:szCs w:val="20"/>
                <w:color w:val="auto"/>
              </w:rPr>
            </w:pPr>
            <w:r>
              <w:rPr>
                <w:rFonts w:ascii="Times New Roman" w:cs="Times New Roman" w:eastAsia="Times New Roman" w:hAnsi="Times New Roman"/>
                <w:sz w:val="18"/>
                <w:szCs w:val="18"/>
                <w:color w:val="auto"/>
              </w:rPr>
              <w:t>(e)  Weighted average common shares</w:t>
            </w:r>
          </w:p>
        </w:tc>
        <w:tc>
          <w:tcPr>
            <w:tcW w:w="166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20,121,129</w:t>
            </w:r>
          </w:p>
        </w:tc>
        <w:tc>
          <w:tcPr>
            <w:tcW w:w="166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20,340,331</w:t>
            </w:r>
          </w:p>
        </w:tc>
        <w:tc>
          <w:tcPr>
            <w:tcW w:w="158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20,542,045</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shd w:val="clear" w:color="auto" w:fill="DEEAF6"/>
          </w:tcPr>
          <w:p>
            <w:pPr>
              <w:spacing w:after="0"/>
              <w:rPr>
                <w:sz w:val="20"/>
                <w:szCs w:val="20"/>
                <w:color w:val="auto"/>
              </w:rPr>
            </w:pPr>
          </w:p>
        </w:tc>
        <w:tc>
          <w:tcPr>
            <w:tcW w:w="4020" w:type="dxa"/>
            <w:vAlign w:val="bottom"/>
            <w:tcBorders>
              <w:right w:val="single" w:sz="8" w:color="auto"/>
            </w:tcBorders>
            <w:shd w:val="clear" w:color="auto" w:fill="DEEAF6"/>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1660" w:type="dxa"/>
            <w:vAlign w:val="bottom"/>
            <w:tcBorders>
              <w:right w:val="single" w:sz="8" w:color="auto"/>
            </w:tcBorders>
            <w:shd w:val="clear" w:color="auto" w:fill="DEEAF6"/>
          </w:tcPr>
          <w:p>
            <w:pPr>
              <w:spacing w:after="0"/>
              <w:rPr>
                <w:sz w:val="20"/>
                <w:szCs w:val="20"/>
                <w:color w:val="auto"/>
              </w:rPr>
            </w:pPr>
          </w:p>
        </w:tc>
        <w:tc>
          <w:tcPr>
            <w:tcW w:w="1660" w:type="dxa"/>
            <w:vAlign w:val="bottom"/>
            <w:tcBorders>
              <w:right w:val="single" w:sz="8" w:color="auto"/>
            </w:tcBorders>
            <w:shd w:val="clear" w:color="auto" w:fill="DEEAF6"/>
          </w:tcPr>
          <w:p>
            <w:pPr>
              <w:spacing w:after="0"/>
              <w:rPr>
                <w:sz w:val="20"/>
                <w:szCs w:val="20"/>
                <w:color w:val="auto"/>
              </w:rPr>
            </w:pPr>
          </w:p>
        </w:tc>
        <w:tc>
          <w:tcPr>
            <w:tcW w:w="1580" w:type="dxa"/>
            <w:vAlign w:val="bottom"/>
            <w:tcBorders>
              <w:right w:val="single" w:sz="8" w:color="auto"/>
            </w:tcBorders>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00" w:type="dxa"/>
            <w:vAlign w:val="bottom"/>
            <w:tcBorders>
              <w:left w:val="single" w:sz="8" w:color="auto"/>
              <w:bottom w:val="single" w:sz="8" w:color="auto"/>
            </w:tcBorders>
            <w:shd w:val="clear" w:color="auto" w:fill="DEEAF6"/>
          </w:tcPr>
          <w:p>
            <w:pPr>
              <w:spacing w:after="0"/>
              <w:rPr>
                <w:sz w:val="11"/>
                <w:szCs w:val="11"/>
                <w:color w:val="auto"/>
              </w:rPr>
            </w:pPr>
          </w:p>
        </w:tc>
        <w:tc>
          <w:tcPr>
            <w:tcW w:w="4020" w:type="dxa"/>
            <w:vAlign w:val="bottom"/>
            <w:tcBorders>
              <w:bottom w:val="single" w:sz="8" w:color="auto"/>
              <w:right w:val="single" w:sz="8" w:color="auto"/>
            </w:tcBorders>
            <w:shd w:val="clear" w:color="auto" w:fill="DEEAF6"/>
          </w:tcPr>
          <w:p>
            <w:pPr>
              <w:spacing w:after="0"/>
              <w:rPr>
                <w:sz w:val="11"/>
                <w:szCs w:val="11"/>
                <w:color w:val="auto"/>
              </w:rPr>
            </w:pPr>
          </w:p>
        </w:tc>
        <w:tc>
          <w:tcPr>
            <w:tcW w:w="1660" w:type="dxa"/>
            <w:vAlign w:val="bottom"/>
            <w:tcBorders>
              <w:bottom w:val="single" w:sz="8" w:color="auto"/>
              <w:right w:val="single" w:sz="8" w:color="auto"/>
            </w:tcBorders>
            <w:shd w:val="clear" w:color="auto" w:fill="DEEAF6"/>
          </w:tcPr>
          <w:p>
            <w:pPr>
              <w:spacing w:after="0"/>
              <w:rPr>
                <w:sz w:val="11"/>
                <w:szCs w:val="11"/>
                <w:color w:val="auto"/>
              </w:rPr>
            </w:pPr>
          </w:p>
        </w:tc>
        <w:tc>
          <w:tcPr>
            <w:tcW w:w="1660" w:type="dxa"/>
            <w:vAlign w:val="bottom"/>
            <w:tcBorders>
              <w:bottom w:val="single" w:sz="8" w:color="auto"/>
              <w:right w:val="single" w:sz="8" w:color="auto"/>
            </w:tcBorders>
            <w:shd w:val="clear" w:color="auto" w:fill="DEEAF6"/>
          </w:tcPr>
          <w:p>
            <w:pPr>
              <w:spacing w:after="0"/>
              <w:rPr>
                <w:sz w:val="11"/>
                <w:szCs w:val="11"/>
                <w:color w:val="auto"/>
              </w:rPr>
            </w:pPr>
          </w:p>
        </w:tc>
        <w:tc>
          <w:tcPr>
            <w:tcW w:w="1580" w:type="dxa"/>
            <w:vAlign w:val="bottom"/>
            <w:tcBorders>
              <w:bottom w:val="single" w:sz="8" w:color="auto"/>
              <w:right w:val="single" w:sz="8" w:color="auto"/>
            </w:tcBorders>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4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Burn Rate (d/e)</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03"/>
        </w:trPr>
        <w:tc>
          <w:tcPr>
            <w:tcW w:w="400" w:type="dxa"/>
            <w:vAlign w:val="bottom"/>
            <w:tcBorders>
              <w:left w:val="single" w:sz="8" w:color="auto"/>
              <w:bottom w:val="single" w:sz="8" w:color="auto"/>
            </w:tcBorders>
          </w:tcPr>
          <w:p>
            <w:pPr>
              <w:spacing w:after="0"/>
              <w:rPr>
                <w:sz w:val="8"/>
                <w:szCs w:val="8"/>
                <w:color w:val="auto"/>
              </w:rPr>
            </w:pPr>
          </w:p>
        </w:tc>
        <w:tc>
          <w:tcPr>
            <w:tcW w:w="402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8"/>
        </w:trPr>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EEEEEE"/>
            </w:tcBorders>
          </w:tcPr>
          <w:p>
            <w:pPr>
              <w:spacing w:after="0" w:line="20" w:lineRule="exact"/>
              <w:rPr>
                <w:sz w:val="1"/>
                <w:szCs w:val="1"/>
                <w:color w:val="auto"/>
              </w:rPr>
            </w:pPr>
          </w:p>
        </w:tc>
        <w:tc>
          <w:tcPr>
            <w:tcW w:w="402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-38100</wp:posOffset>
            </wp:positionV>
            <wp:extent cx="3365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440" w:top="279" w:right="959" w:bottom="1440" w:gutter="0" w:footer="0" w:header="0"/>
        </w:sectPr>
      </w:pPr>
    </w:p>
    <w:bookmarkStart w:id="26" w:name="page27"/>
    <w:bookmarkEnd w:id="26"/>
    <w:p>
      <w:pPr>
        <w:jc w:val="both"/>
        <w:ind w:left="180" w:right="580" w:firstLine="648"/>
        <w:spacing w:after="0" w:line="231" w:lineRule="auto"/>
        <w:rPr>
          <w:sz w:val="20"/>
          <w:szCs w:val="20"/>
          <w:color w:val="auto"/>
        </w:rPr>
      </w:pPr>
      <w:r>
        <w:rPr>
          <w:rFonts w:ascii="Times New Roman" w:cs="Times New Roman" w:eastAsia="Times New Roman" w:hAnsi="Times New Roman"/>
          <w:sz w:val="18"/>
          <w:szCs w:val="18"/>
          <w:color w:val="auto"/>
        </w:rPr>
        <w:t>Our Company recognizes that, as commonly calculated, the potential dilution from the increase in authorized shares of Class A Stock under the 2020 Stock Incentive Plan, as amended by the Stock Plan Amendment, would be 27.6% for Class A Stock and 11.9% for Class B shares. Including grants currently outstanding under the 2020 Stock Incentive Plan, the total potential dilution of “overhang” from the increase in the number of shares of Class A Stock reserved for issuance under the 2020 Stock Incentive Plan would be 35.7% for Class A Stock and 11.9% for Class B shares. The total overhang included 1,689,463 Class A Stock allocated to existing option and stock awards granted under the 2020 Stock Incentive Plan that are outstanding as of the Record Date.</w:t>
      </w:r>
    </w:p>
    <w:p>
      <w:pPr>
        <w:spacing w:after="0" w:line="200" w:lineRule="exact"/>
        <w:rPr>
          <w:sz w:val="20"/>
          <w:szCs w:val="20"/>
          <w:color w:val="auto"/>
        </w:rPr>
      </w:pPr>
    </w:p>
    <w:p>
      <w:pPr>
        <w:spacing w:after="0" w:line="241" w:lineRule="exact"/>
        <w:rPr>
          <w:sz w:val="20"/>
          <w:szCs w:val="20"/>
          <w:color w:val="auto"/>
        </w:rPr>
      </w:pPr>
    </w:p>
    <w:tbl>
      <w:tblPr>
        <w:tblLayout w:type="fixed"/>
        <w:tblInd w:w="190" w:type="dxa"/>
        <w:tblCellMar>
          <w:top w:w="0" w:type="dxa"/>
          <w:left w:w="0" w:type="dxa"/>
          <w:bottom w:w="0" w:type="dxa"/>
          <w:right w:w="0" w:type="dxa"/>
        </w:tblCellMar>
      </w:tblPr>
      <w:tr>
        <w:trPr>
          <w:trHeight w:val="32"/>
        </w:trPr>
        <w:tc>
          <w:tcPr>
            <w:tcW w:w="5560" w:type="dxa"/>
            <w:vAlign w:val="bottom"/>
            <w:vMerge w:val="restart"/>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560" w:type="dxa"/>
            <w:vAlign w:val="bottom"/>
            <w:vMerge w:val="continue"/>
          </w:tcPr>
          <w:p>
            <w:pPr>
              <w:spacing w:after="0"/>
              <w:rPr>
                <w:sz w:val="20"/>
                <w:szCs w:val="20"/>
                <w:color w:val="auto"/>
              </w:rPr>
            </w:pPr>
          </w:p>
        </w:tc>
        <w:tc>
          <w:tcPr>
            <w:tcW w:w="192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Class A Shares</w:t>
            </w:r>
          </w:p>
        </w:tc>
        <w:tc>
          <w:tcPr>
            <w:tcW w:w="184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Class B Shares</w:t>
            </w:r>
          </w:p>
        </w:tc>
        <w:tc>
          <w:tcPr>
            <w:tcW w:w="0" w:type="dxa"/>
            <w:vAlign w:val="bottom"/>
          </w:tcPr>
          <w:p>
            <w:pPr>
              <w:spacing w:after="0"/>
              <w:rPr>
                <w:sz w:val="1"/>
                <w:szCs w:val="1"/>
                <w:color w:val="auto"/>
              </w:rPr>
            </w:pPr>
          </w:p>
        </w:tc>
      </w:tr>
      <w:tr>
        <w:trPr>
          <w:trHeight w:val="99"/>
        </w:trPr>
        <w:tc>
          <w:tcPr>
            <w:tcW w:w="5560" w:type="dxa"/>
            <w:vAlign w:val="bottom"/>
            <w:tcBorders>
              <w:bottom w:val="single" w:sz="8" w:color="auto"/>
            </w:tcBorders>
          </w:tcPr>
          <w:p>
            <w:pPr>
              <w:spacing w:after="0"/>
              <w:rPr>
                <w:sz w:val="8"/>
                <w:szCs w:val="8"/>
                <w:color w:val="auto"/>
              </w:rPr>
            </w:pPr>
          </w:p>
        </w:tc>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5560" w:type="dxa"/>
            <w:vAlign w:val="bottom"/>
            <w:tcBorders>
              <w:left w:val="single" w:sz="8" w:color="auto"/>
            </w:tcBorders>
            <w:shd w:val="clear" w:color="auto" w:fill="DEEAF6"/>
          </w:tcPr>
          <w:p>
            <w:pPr>
              <w:ind w:left="140"/>
              <w:spacing w:after="0" w:line="156" w:lineRule="exact"/>
              <w:rPr>
                <w:sz w:val="20"/>
                <w:szCs w:val="20"/>
                <w:color w:val="auto"/>
              </w:rPr>
            </w:pPr>
            <w:r>
              <w:rPr>
                <w:rFonts w:ascii="Times New Roman" w:cs="Times New Roman" w:eastAsia="Times New Roman" w:hAnsi="Times New Roman"/>
                <w:sz w:val="18"/>
                <w:szCs w:val="18"/>
                <w:color w:val="auto"/>
              </w:rPr>
              <w:t>(a)  Total shares authorized under the 2020 Stock Incentive Plan,</w:t>
            </w:r>
          </w:p>
        </w:tc>
        <w:tc>
          <w:tcPr>
            <w:tcW w:w="1920" w:type="dxa"/>
            <w:vAlign w:val="bottom"/>
            <w:tcBorders>
              <w:left w:val="single" w:sz="8" w:color="auto"/>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5,721,807</w:t>
            </w:r>
          </w:p>
        </w:tc>
        <w:tc>
          <w:tcPr>
            <w:tcW w:w="1840" w:type="dxa"/>
            <w:vAlign w:val="bottom"/>
            <w:tcBorders>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34"/>
        </w:trPr>
        <w:tc>
          <w:tcPr>
            <w:tcW w:w="5560" w:type="dxa"/>
            <w:vAlign w:val="bottom"/>
            <w:tcBorders>
              <w:left w:val="single" w:sz="8" w:color="auto"/>
            </w:tcBorders>
            <w:shd w:val="clear" w:color="auto" w:fill="DEEAF6"/>
          </w:tcPr>
          <w:p>
            <w:pPr>
              <w:ind w:left="460"/>
              <w:spacing w:after="0"/>
              <w:rPr>
                <w:sz w:val="20"/>
                <w:szCs w:val="20"/>
                <w:color w:val="auto"/>
              </w:rPr>
            </w:pPr>
            <w:r>
              <w:rPr>
                <w:rFonts w:ascii="Times New Roman" w:cs="Times New Roman" w:eastAsia="Times New Roman" w:hAnsi="Times New Roman"/>
                <w:sz w:val="18"/>
                <w:szCs w:val="18"/>
                <w:color w:val="auto"/>
              </w:rPr>
              <w:t>as amended by the Stock Plan Amendment</w:t>
            </w:r>
          </w:p>
        </w:tc>
        <w:tc>
          <w:tcPr>
            <w:tcW w:w="1920" w:type="dxa"/>
            <w:vAlign w:val="bottom"/>
            <w:tcBorders>
              <w:left w:val="single" w:sz="8" w:color="auto"/>
              <w:right w:val="single" w:sz="8" w:color="auto"/>
            </w:tcBorders>
            <w:shd w:val="clear" w:color="auto" w:fill="DEEAF6"/>
          </w:tcPr>
          <w:p>
            <w:pPr>
              <w:spacing w:after="0"/>
              <w:rPr>
                <w:sz w:val="20"/>
                <w:szCs w:val="20"/>
                <w:color w:val="auto"/>
              </w:rPr>
            </w:pPr>
          </w:p>
        </w:tc>
        <w:tc>
          <w:tcPr>
            <w:tcW w:w="1840" w:type="dxa"/>
            <w:vAlign w:val="bottom"/>
            <w:tcBorders>
              <w:right w:val="single" w:sz="8" w:color="auto"/>
            </w:tcBorders>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5560" w:type="dxa"/>
            <w:vAlign w:val="bottom"/>
            <w:tcBorders>
              <w:left w:val="single" w:sz="8" w:color="auto"/>
              <w:bottom w:val="single" w:sz="8" w:color="auto"/>
            </w:tcBorders>
            <w:shd w:val="clear" w:color="auto" w:fill="DEEAF6"/>
          </w:tcPr>
          <w:p>
            <w:pPr>
              <w:spacing w:after="0"/>
              <w:rPr>
                <w:sz w:val="11"/>
                <w:szCs w:val="11"/>
                <w:color w:val="auto"/>
              </w:rPr>
            </w:pPr>
          </w:p>
        </w:tc>
        <w:tc>
          <w:tcPr>
            <w:tcW w:w="1920" w:type="dxa"/>
            <w:vAlign w:val="bottom"/>
            <w:tcBorders>
              <w:left w:val="single" w:sz="8" w:color="auto"/>
              <w:bottom w:val="single" w:sz="8" w:color="auto"/>
              <w:right w:val="single" w:sz="8" w:color="auto"/>
            </w:tcBorders>
            <w:shd w:val="clear" w:color="auto" w:fill="DEEAF6"/>
          </w:tcPr>
          <w:p>
            <w:pPr>
              <w:spacing w:after="0"/>
              <w:rPr>
                <w:sz w:val="11"/>
                <w:szCs w:val="11"/>
                <w:color w:val="auto"/>
              </w:rPr>
            </w:pPr>
          </w:p>
        </w:tc>
        <w:tc>
          <w:tcPr>
            <w:tcW w:w="1840" w:type="dxa"/>
            <w:vAlign w:val="bottom"/>
            <w:tcBorders>
              <w:bottom w:val="single" w:sz="8" w:color="auto"/>
              <w:right w:val="single" w:sz="8" w:color="auto"/>
            </w:tcBorders>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60" w:type="dxa"/>
            <w:vAlign w:val="bottom"/>
            <w:tcBorders>
              <w:lef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Shares underlying previously granted outstanding stock awards</w:t>
            </w:r>
          </w:p>
        </w:tc>
        <w:tc>
          <w:tcPr>
            <w:tcW w:w="1920" w:type="dxa"/>
            <w:vAlign w:val="bottom"/>
            <w:tcBorders>
              <w:left w:val="single" w:sz="8" w:color="auto"/>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1,650,660</w:t>
            </w:r>
          </w:p>
        </w:tc>
        <w:tc>
          <w:tcPr>
            <w:tcW w:w="1840" w:type="dxa"/>
            <w:vAlign w:val="bottom"/>
            <w:tcBorders>
              <w:right w:val="single" w:sz="8" w:color="auto"/>
            </w:tcBorders>
          </w:tcPr>
          <w:p>
            <w:pPr>
              <w:jc w:val="right"/>
              <w:ind w:right="350"/>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under the 2020 Stock Incentive Plan</w:t>
            </w:r>
          </w:p>
        </w:tc>
        <w:tc>
          <w:tcPr>
            <w:tcW w:w="1920" w:type="dxa"/>
            <w:vAlign w:val="bottom"/>
            <w:tcBorders>
              <w:left w:val="single" w:sz="8" w:color="auto"/>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5560" w:type="dxa"/>
            <w:vAlign w:val="bottom"/>
            <w:tcBorders>
              <w:left w:val="single" w:sz="8" w:color="auto"/>
              <w:bottom w:val="single" w:sz="8" w:color="auto"/>
            </w:tcBorders>
          </w:tcPr>
          <w:p>
            <w:pPr>
              <w:spacing w:after="0"/>
              <w:rPr>
                <w:sz w:val="11"/>
                <w:szCs w:val="11"/>
                <w:color w:val="auto"/>
              </w:rPr>
            </w:pPr>
          </w:p>
        </w:tc>
        <w:tc>
          <w:tcPr>
            <w:tcW w:w="1920" w:type="dxa"/>
            <w:vAlign w:val="bottom"/>
            <w:tcBorders>
              <w:left w:val="single" w:sz="8" w:color="auto"/>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60" w:type="dxa"/>
            <w:vAlign w:val="bottom"/>
            <w:tcBorders>
              <w:left w:val="single" w:sz="8" w:color="auto"/>
            </w:tcBorders>
            <w:shd w:val="clear" w:color="auto" w:fill="DEEAF6"/>
          </w:tcPr>
          <w:p>
            <w:pPr>
              <w:ind w:left="140"/>
              <w:spacing w:after="0" w:line="156" w:lineRule="exact"/>
              <w:rPr>
                <w:sz w:val="20"/>
                <w:szCs w:val="20"/>
                <w:color w:val="auto"/>
              </w:rPr>
            </w:pPr>
            <w:r>
              <w:rPr>
                <w:rFonts w:ascii="Times New Roman" w:cs="Times New Roman" w:eastAsia="Times New Roman" w:hAnsi="Times New Roman"/>
                <w:sz w:val="18"/>
                <w:szCs w:val="18"/>
                <w:color w:val="auto"/>
              </w:rPr>
              <w:t>Shares underlying previously granted outstanding stock options</w:t>
            </w:r>
          </w:p>
        </w:tc>
        <w:tc>
          <w:tcPr>
            <w:tcW w:w="1920" w:type="dxa"/>
            <w:vAlign w:val="bottom"/>
            <w:tcBorders>
              <w:left w:val="single" w:sz="8" w:color="auto"/>
              <w:right w:val="single" w:sz="8" w:color="auto"/>
            </w:tcBorders>
            <w:shd w:val="clear" w:color="auto" w:fill="DEEAF6"/>
          </w:tcPr>
          <w:p>
            <w:pPr>
              <w:jc w:val="right"/>
              <w:spacing w:after="0" w:line="156" w:lineRule="exact"/>
              <w:rPr>
                <w:sz w:val="20"/>
                <w:szCs w:val="20"/>
                <w:color w:val="auto"/>
              </w:rPr>
            </w:pPr>
            <w:r>
              <w:rPr>
                <w:rFonts w:ascii="Times New Roman" w:cs="Times New Roman" w:eastAsia="Times New Roman" w:hAnsi="Times New Roman"/>
                <w:sz w:val="18"/>
                <w:szCs w:val="18"/>
                <w:color w:val="auto"/>
              </w:rPr>
              <w:t>38,803</w:t>
            </w:r>
          </w:p>
        </w:tc>
        <w:tc>
          <w:tcPr>
            <w:tcW w:w="1840" w:type="dxa"/>
            <w:vAlign w:val="bottom"/>
            <w:tcBorders>
              <w:right w:val="single" w:sz="8" w:color="auto"/>
            </w:tcBorders>
            <w:shd w:val="clear" w:color="auto" w:fill="DEEAF6"/>
          </w:tcPr>
          <w:p>
            <w:pPr>
              <w:jc w:val="right"/>
              <w:ind w:right="350"/>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60" w:type="dxa"/>
            <w:vAlign w:val="bottom"/>
            <w:tcBorders>
              <w:lef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 xml:space="preserve">under the 2020 Stock Incentive Plan </w:t>
            </w:r>
            <w:r>
              <w:rPr>
                <w:rFonts w:ascii="Times New Roman" w:cs="Times New Roman" w:eastAsia="Times New Roman" w:hAnsi="Times New Roman"/>
                <w:sz w:val="8"/>
                <w:szCs w:val="8"/>
                <w:color w:val="auto"/>
              </w:rPr>
              <w:t>(1)</w:t>
            </w:r>
          </w:p>
        </w:tc>
        <w:tc>
          <w:tcPr>
            <w:tcW w:w="1920" w:type="dxa"/>
            <w:vAlign w:val="bottom"/>
            <w:tcBorders>
              <w:left w:val="single" w:sz="8" w:color="auto"/>
              <w:right w:val="single" w:sz="8" w:color="auto"/>
            </w:tcBorders>
            <w:shd w:val="clear" w:color="auto" w:fill="DEEAF6"/>
          </w:tcPr>
          <w:p>
            <w:pPr>
              <w:spacing w:after="0"/>
              <w:rPr>
                <w:sz w:val="20"/>
                <w:szCs w:val="20"/>
                <w:color w:val="auto"/>
              </w:rPr>
            </w:pPr>
          </w:p>
        </w:tc>
        <w:tc>
          <w:tcPr>
            <w:tcW w:w="1840" w:type="dxa"/>
            <w:vAlign w:val="bottom"/>
            <w:tcBorders>
              <w:right w:val="single" w:sz="8" w:color="auto"/>
            </w:tcBorders>
            <w:shd w:val="clear" w:color="auto" w:fill="DEEAF6"/>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5560" w:type="dxa"/>
            <w:vAlign w:val="bottom"/>
            <w:tcBorders>
              <w:left w:val="single" w:sz="8" w:color="auto"/>
              <w:bottom w:val="single" w:sz="8" w:color="auto"/>
            </w:tcBorders>
            <w:shd w:val="clear" w:color="auto" w:fill="DEEAF6"/>
          </w:tcPr>
          <w:p>
            <w:pPr>
              <w:spacing w:after="0"/>
              <w:rPr>
                <w:sz w:val="11"/>
                <w:szCs w:val="11"/>
                <w:color w:val="auto"/>
              </w:rPr>
            </w:pPr>
          </w:p>
        </w:tc>
        <w:tc>
          <w:tcPr>
            <w:tcW w:w="1920" w:type="dxa"/>
            <w:vAlign w:val="bottom"/>
            <w:tcBorders>
              <w:left w:val="single" w:sz="8" w:color="auto"/>
              <w:bottom w:val="single" w:sz="8" w:color="auto"/>
              <w:right w:val="single" w:sz="8" w:color="auto"/>
            </w:tcBorders>
            <w:shd w:val="clear" w:color="auto" w:fill="DEEAF6"/>
          </w:tcPr>
          <w:p>
            <w:pPr>
              <w:spacing w:after="0"/>
              <w:rPr>
                <w:sz w:val="11"/>
                <w:szCs w:val="11"/>
                <w:color w:val="auto"/>
              </w:rPr>
            </w:pPr>
          </w:p>
        </w:tc>
        <w:tc>
          <w:tcPr>
            <w:tcW w:w="1840" w:type="dxa"/>
            <w:vAlign w:val="bottom"/>
            <w:tcBorders>
              <w:bottom w:val="single" w:sz="8" w:color="auto"/>
              <w:right w:val="single" w:sz="8" w:color="auto"/>
            </w:tcBorders>
            <w:shd w:val="clear" w:color="auto" w:fill="DEEAF6"/>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  Total outstanding stock awards and stock options</w:t>
            </w:r>
          </w:p>
        </w:tc>
        <w:tc>
          <w:tcPr>
            <w:tcW w:w="19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1,689,463</w:t>
            </w:r>
          </w:p>
        </w:tc>
        <w:tc>
          <w:tcPr>
            <w:tcW w:w="184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5560" w:type="dxa"/>
            <w:vAlign w:val="bottom"/>
            <w:tcBorders>
              <w:left w:val="single" w:sz="8" w:color="auto"/>
              <w:bottom w:val="single" w:sz="8" w:color="auto"/>
            </w:tcBorders>
          </w:tcPr>
          <w:p>
            <w:pPr>
              <w:spacing w:after="0"/>
              <w:rPr>
                <w:sz w:val="8"/>
                <w:szCs w:val="8"/>
                <w:color w:val="auto"/>
              </w:rPr>
            </w:pPr>
          </w:p>
        </w:tc>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560" w:type="dxa"/>
            <w:vAlign w:val="bottom"/>
            <w:tcBorders>
              <w:lef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(c)  Common shares outstanding</w:t>
            </w:r>
          </w:p>
        </w:tc>
        <w:tc>
          <w:tcPr>
            <w:tcW w:w="1920" w:type="dxa"/>
            <w:vAlign w:val="bottom"/>
            <w:tcBorders>
              <w:left w:val="single" w:sz="8" w:color="auto"/>
              <w:right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8"/>
                <w:szCs w:val="18"/>
                <w:color w:val="auto"/>
              </w:rPr>
              <w:t>20,745,594</w:t>
            </w:r>
          </w:p>
        </w:tc>
        <w:tc>
          <w:tcPr>
            <w:tcW w:w="1840" w:type="dxa"/>
            <w:vAlign w:val="bottom"/>
            <w:tcBorders>
              <w:right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8"/>
                <w:szCs w:val="18"/>
                <w:color w:val="auto"/>
              </w:rPr>
              <w:t>1,680,590</w:t>
            </w:r>
          </w:p>
        </w:tc>
        <w:tc>
          <w:tcPr>
            <w:tcW w:w="0" w:type="dxa"/>
            <w:vAlign w:val="bottom"/>
          </w:tcPr>
          <w:p>
            <w:pPr>
              <w:spacing w:after="0"/>
              <w:rPr>
                <w:sz w:val="1"/>
                <w:szCs w:val="1"/>
                <w:color w:val="auto"/>
              </w:rPr>
            </w:pPr>
          </w:p>
        </w:tc>
      </w:tr>
      <w:tr>
        <w:trPr>
          <w:trHeight w:val="103"/>
        </w:trPr>
        <w:tc>
          <w:tcPr>
            <w:tcW w:w="5560" w:type="dxa"/>
            <w:vAlign w:val="bottom"/>
            <w:tcBorders>
              <w:left w:val="single" w:sz="8" w:color="auto"/>
              <w:bottom w:val="single" w:sz="8" w:color="auto"/>
            </w:tcBorders>
            <w:shd w:val="clear" w:color="auto" w:fill="DEEAF6"/>
          </w:tcPr>
          <w:p>
            <w:pPr>
              <w:spacing w:after="0"/>
              <w:rPr>
                <w:sz w:val="8"/>
                <w:szCs w:val="8"/>
                <w:color w:val="auto"/>
              </w:rPr>
            </w:pPr>
          </w:p>
        </w:tc>
        <w:tc>
          <w:tcPr>
            <w:tcW w:w="1920" w:type="dxa"/>
            <w:vAlign w:val="bottom"/>
            <w:tcBorders>
              <w:left w:val="single" w:sz="8" w:color="auto"/>
              <w:bottom w:val="single" w:sz="8" w:color="auto"/>
              <w:right w:val="single" w:sz="8" w:color="auto"/>
            </w:tcBorders>
            <w:shd w:val="clear" w:color="auto" w:fill="DEEAF6"/>
          </w:tcPr>
          <w:p>
            <w:pPr>
              <w:spacing w:after="0"/>
              <w:rPr>
                <w:sz w:val="8"/>
                <w:szCs w:val="8"/>
                <w:color w:val="auto"/>
              </w:rPr>
            </w:pPr>
          </w:p>
        </w:tc>
        <w:tc>
          <w:tcPr>
            <w:tcW w:w="1840" w:type="dxa"/>
            <w:vAlign w:val="bottom"/>
            <w:tcBorders>
              <w:bottom w:val="single" w:sz="8" w:color="auto"/>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Dilution (a/c)</w:t>
            </w:r>
          </w:p>
        </w:tc>
        <w:tc>
          <w:tcPr>
            <w:tcW w:w="19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03"/>
        </w:trPr>
        <w:tc>
          <w:tcPr>
            <w:tcW w:w="5560" w:type="dxa"/>
            <w:vAlign w:val="bottom"/>
            <w:tcBorders>
              <w:left w:val="single" w:sz="8" w:color="auto"/>
              <w:bottom w:val="single" w:sz="8" w:color="auto"/>
            </w:tcBorders>
          </w:tcPr>
          <w:p>
            <w:pPr>
              <w:spacing w:after="0"/>
              <w:rPr>
                <w:sz w:val="8"/>
                <w:szCs w:val="8"/>
                <w:color w:val="auto"/>
              </w:rPr>
            </w:pPr>
          </w:p>
        </w:tc>
        <w:tc>
          <w:tcPr>
            <w:tcW w:w="192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560" w:type="dxa"/>
            <w:vAlign w:val="bottom"/>
            <w:tcBorders>
              <w:left w:val="single" w:sz="8" w:color="auto"/>
            </w:tcBorders>
            <w:shd w:val="clear" w:color="auto" w:fill="DEEAF6"/>
          </w:tcPr>
          <w:p>
            <w:pPr>
              <w:ind w:left="140"/>
              <w:spacing w:after="0"/>
              <w:rPr>
                <w:sz w:val="20"/>
                <w:szCs w:val="20"/>
                <w:color w:val="auto"/>
              </w:rPr>
            </w:pPr>
            <w:r>
              <w:rPr>
                <w:rFonts w:ascii="Times New Roman" w:cs="Times New Roman" w:eastAsia="Times New Roman" w:hAnsi="Times New Roman"/>
                <w:sz w:val="18"/>
                <w:szCs w:val="18"/>
                <w:color w:val="auto"/>
              </w:rPr>
              <w:t>Overhang ((a+b)/c)</w:t>
            </w:r>
          </w:p>
        </w:tc>
        <w:tc>
          <w:tcPr>
            <w:tcW w:w="1920" w:type="dxa"/>
            <w:vAlign w:val="bottom"/>
            <w:tcBorders>
              <w:left w:val="single" w:sz="8" w:color="auto"/>
              <w:right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40" w:type="dxa"/>
            <w:vAlign w:val="bottom"/>
            <w:tcBorders>
              <w:right w:val="single" w:sz="8" w:color="auto"/>
            </w:tcBorders>
            <w:shd w:val="clear" w:color="auto" w:fill="DEEAF6"/>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03"/>
        </w:trPr>
        <w:tc>
          <w:tcPr>
            <w:tcW w:w="5560" w:type="dxa"/>
            <w:vAlign w:val="bottom"/>
            <w:tcBorders>
              <w:left w:val="single" w:sz="8" w:color="auto"/>
              <w:bottom w:val="single" w:sz="8" w:color="auto"/>
            </w:tcBorders>
            <w:shd w:val="clear" w:color="auto" w:fill="DEEAF6"/>
          </w:tcPr>
          <w:p>
            <w:pPr>
              <w:spacing w:after="0"/>
              <w:rPr>
                <w:sz w:val="8"/>
                <w:szCs w:val="8"/>
                <w:color w:val="auto"/>
              </w:rPr>
            </w:pPr>
          </w:p>
        </w:tc>
        <w:tc>
          <w:tcPr>
            <w:tcW w:w="1920" w:type="dxa"/>
            <w:vAlign w:val="bottom"/>
            <w:tcBorders>
              <w:left w:val="single" w:sz="8" w:color="auto"/>
              <w:bottom w:val="single" w:sz="8" w:color="auto"/>
              <w:right w:val="single" w:sz="8" w:color="auto"/>
            </w:tcBorders>
            <w:shd w:val="clear" w:color="auto" w:fill="DEEAF6"/>
          </w:tcPr>
          <w:p>
            <w:pPr>
              <w:spacing w:after="0"/>
              <w:rPr>
                <w:sz w:val="8"/>
                <w:szCs w:val="8"/>
                <w:color w:val="auto"/>
              </w:rPr>
            </w:pPr>
          </w:p>
        </w:tc>
        <w:tc>
          <w:tcPr>
            <w:tcW w:w="1840" w:type="dxa"/>
            <w:vAlign w:val="bottom"/>
            <w:tcBorders>
              <w:bottom w:val="single" w:sz="8" w:color="auto"/>
              <w:right w:val="single" w:sz="8" w:color="auto"/>
            </w:tcBorders>
            <w:shd w:val="clear" w:color="auto" w:fill="DEEAF6"/>
          </w:tcPr>
          <w:p>
            <w:pPr>
              <w:spacing w:after="0"/>
              <w:rPr>
                <w:sz w:val="8"/>
                <w:szCs w:val="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6"/>
          <w:szCs w:val="16"/>
          <w:color w:val="auto"/>
        </w:rPr>
        <w:t>(1)</w:t>
        <w:tab/>
        <w:t>Weighted average exercise price for Class A shares is $4.66. Not applicable for Class B shares.</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2020 STOCK INCENTIVE PLAN, AS AMENDED BY THE STOCK PLAN AMENDMENT</w:t>
      </w:r>
    </w:p>
    <w:p>
      <w:pPr>
        <w:spacing w:after="0" w:line="135" w:lineRule="exact"/>
        <w:rPr>
          <w:sz w:val="20"/>
          <w:szCs w:val="20"/>
          <w:color w:val="auto"/>
        </w:rPr>
      </w:pPr>
    </w:p>
    <w:p>
      <w:pPr>
        <w:jc w:val="both"/>
        <w:ind w:left="180" w:right="580" w:firstLine="648"/>
        <w:spacing w:after="0" w:line="228" w:lineRule="auto"/>
        <w:rPr>
          <w:sz w:val="20"/>
          <w:szCs w:val="20"/>
          <w:color w:val="auto"/>
        </w:rPr>
      </w:pPr>
      <w:r>
        <w:rPr>
          <w:rFonts w:ascii="Times New Roman" w:cs="Times New Roman" w:eastAsia="Times New Roman" w:hAnsi="Times New Roman"/>
          <w:sz w:val="18"/>
          <w:szCs w:val="18"/>
          <w:color w:val="auto"/>
        </w:rPr>
        <w:t>The 2020 Stock Incentive Plan was adopted by the Board on November 4, 2020, and approved by the stockholders at the 2020 Annual Meeting. A First Amendment to the 2020 Stock Incentive Plan was adopted by the Board on October 26, 2023, and approved by the Class B Stockholders on December 7, 2023, increasing the number of shares of Class A Stock reserved for issuance under the 2020 Stock Incentive Plan by an additional 971,807 shares (“First Amendment”). The following is a summary of the material features of the 2020 Stock Incentive Plan, as amended by the Stock Plan Amendment, which does not purport to be complete and is qualified in its entirety by the specific provisions of the 2020 Stock Incentive Plan and the Stock Plan Amendment. A copy of the 2020 Stock Incentive Plan is included as Appendix A to the Company’s Proxy Statement filed with the Securities and Exchange Commission (“SEC”) on November 6, 2020. A copy of the First Amendment to the 2020 Stock Incentive Plan is included as Appendix A to the Company’s Proxy Statement filed the SEC on October 27, 2023. Please also see Appendix A to this Proxy Statement for a copy of the Stock Plan Amendment.</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jc w:val="both"/>
        <w:ind w:left="180" w:right="580" w:firstLine="648"/>
        <w:spacing w:after="0" w:line="227" w:lineRule="auto"/>
        <w:rPr>
          <w:sz w:val="20"/>
          <w:szCs w:val="20"/>
          <w:color w:val="auto"/>
        </w:rPr>
      </w:pPr>
      <w:r>
        <w:rPr>
          <w:rFonts w:ascii="Times New Roman" w:cs="Times New Roman" w:eastAsia="Times New Roman" w:hAnsi="Times New Roman"/>
          <w:sz w:val="18"/>
          <w:szCs w:val="18"/>
          <w:color w:val="auto"/>
        </w:rPr>
        <w:t>The 2020 Stock Incentive Plan provides for awards of incentive stock options, nonstatutory stock options, stock bonuses, rights to acquire restricted stock, stock appreciation rights (“SARs”) and restricted stock units (“RSUs”). Incentive stock options granted under the 2020 Stock Incentive Plan are intended to qualify as “incentive stock options” within the meaning of Section 422 of the Internal Revenue Code of 1986, as amended (the “Code”). Nonstatutory stock options granted under the 2020 Stock Incentive Plan are not intended to qualify as incentive stock options under the Code. RSUs under the 2020 Stock Incentive Plan may be earned upon the passage of time or the attainment of performance criteria established by our Board. See “Federal Income Tax Information” for a discussion of the principal federal income tax consequences of awards under the 2020 Stock Incentive Plan.</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80"/>
          </w:cols>
          <w:pgMar w:left="1440" w:top="283" w:right="979"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35" w:lineRule="exact"/>
        <w:rPr>
          <w:sz w:val="20"/>
          <w:szCs w:val="20"/>
          <w:color w:val="auto"/>
        </w:rPr>
      </w:pPr>
    </w:p>
    <w:p>
      <w:pPr>
        <w:jc w:val="both"/>
        <w:ind w:left="180" w:right="119" w:firstLine="648"/>
        <w:spacing w:after="0" w:line="233" w:lineRule="auto"/>
        <w:rPr>
          <w:sz w:val="20"/>
          <w:szCs w:val="20"/>
          <w:color w:val="auto"/>
        </w:rPr>
      </w:pPr>
      <w:r>
        <w:rPr>
          <w:rFonts w:ascii="Times New Roman" w:cs="Times New Roman" w:eastAsia="Times New Roman" w:hAnsi="Times New Roman"/>
          <w:sz w:val="18"/>
          <w:szCs w:val="18"/>
          <w:color w:val="auto"/>
        </w:rPr>
        <w:t>Our Board adopted the 2020 Stock Incentive Plan to provide a means by which employees, directors and consultants of our Company and its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Incentive Plan.</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jc w:val="both"/>
        <w:ind w:left="180" w:right="119" w:firstLine="648"/>
        <w:spacing w:after="0" w:line="227" w:lineRule="auto"/>
        <w:rPr>
          <w:sz w:val="20"/>
          <w:szCs w:val="20"/>
          <w:color w:val="auto"/>
        </w:rPr>
      </w:pPr>
      <w:r>
        <w:rPr>
          <w:rFonts w:ascii="Times New Roman" w:cs="Times New Roman" w:eastAsia="Times New Roman" w:hAnsi="Times New Roman"/>
          <w:sz w:val="18"/>
          <w:szCs w:val="18"/>
          <w:color w:val="auto"/>
        </w:rPr>
        <w:t>Unless it delegates administration to a committee as described below, our Board will administer the 2020 Stock Incentive Plan. Subject to the provisions of the 2020 Stock Incentive Plan, our Board has the power to construe and interpret the 2020 Stock Incentive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 Our Board has the power to delegate administration of the 2020 Stock Incentive Plan to a committee. In the discretion of our Board, a committee may consist solely of two or more “Non-Employee Directors” (as such terms are defined in the 2020 Stock Incentive Plan). Within the scope of such authority, the committee may delegate to the Chairperson of the Board the authority to grant awards to eligible persons who are not then subject to Section 16 of the Securities Exchange Act of 1934 and are not “covered employees” as defined in the 2020 Stock Incentive Plan.</w:t>
      </w:r>
    </w:p>
    <w:p>
      <w:pPr>
        <w:spacing w:after="0" w:line="108" w:lineRule="exact"/>
        <w:rPr>
          <w:sz w:val="20"/>
          <w:szCs w:val="20"/>
          <w:color w:val="auto"/>
        </w:rPr>
      </w:pPr>
    </w:p>
    <w:p>
      <w:pPr>
        <w:jc w:val="both"/>
        <w:ind w:left="180" w:right="119" w:firstLine="648"/>
        <w:spacing w:after="0" w:line="233" w:lineRule="auto"/>
        <w:rPr>
          <w:sz w:val="20"/>
          <w:szCs w:val="20"/>
          <w:color w:val="auto"/>
        </w:rPr>
      </w:pPr>
      <w:r>
        <w:rPr>
          <w:rFonts w:ascii="Times New Roman" w:cs="Times New Roman" w:eastAsia="Times New Roman" w:hAnsi="Times New Roman"/>
          <w:sz w:val="18"/>
          <w:szCs w:val="18"/>
          <w:color w:val="auto"/>
        </w:rPr>
        <w:t>Our Board has delegated administration of the 2020 Stock Incentive Plan to the Compensation and Stock Options Committee of our Board and has delegated to our Chairperson the authority to grant awards to eligible persons who are not then subject to Section 16 of the Securities and Exchange Act of 1934 and are not “covered employees” as defined in the 2020 Stock Incentive Plan. As used in this section with respect to the 2020 Stock Incentive Plan, references to our Board include the Compensation and Stock Options Committee of our Board or any other committee to which our Board has delegated administration of the 2020 Stock Incentive Plan.</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 Subject to the 2020 Stock Incentive Plan</w:t>
      </w:r>
    </w:p>
    <w:p>
      <w:pPr>
        <w:spacing w:after="0" w:line="121" w:lineRule="exact"/>
        <w:rPr>
          <w:sz w:val="20"/>
          <w:szCs w:val="20"/>
          <w:color w:val="auto"/>
        </w:rPr>
      </w:pPr>
    </w:p>
    <w:p>
      <w:pPr>
        <w:jc w:val="both"/>
        <w:ind w:left="180" w:right="119" w:firstLine="648"/>
        <w:spacing w:after="0" w:line="226" w:lineRule="auto"/>
        <w:rPr>
          <w:sz w:val="20"/>
          <w:szCs w:val="20"/>
          <w:color w:val="auto"/>
        </w:rPr>
      </w:pPr>
      <w:r>
        <w:rPr>
          <w:rFonts w:ascii="Times New Roman" w:cs="Times New Roman" w:eastAsia="Times New Roman" w:hAnsi="Times New Roman"/>
          <w:sz w:val="18"/>
          <w:szCs w:val="18"/>
          <w:color w:val="auto"/>
        </w:rPr>
        <w:t>Subject to the provisions of subsection 11(a) of the 2020 Stock Incentive Plan relating to adjustments upon changes in common stock, an aggregate of 5,721,807 shares of Class A Stock and 200,000 shares of Class B Stock will be reserved for issuance under the 2020 Stock Incentive Plan as amended by the Stock Plan Amendment. If any awards that were outstanding under the now expired 2010 Stock Incentive Plan as of the day before the date on which the Board approved the 2020 Stock Incentive Plan are subsequently forfeited or if the related shares are repurchased, as a corresponding number of shares will automatically become available for issuance under the 2020 Stock Incentive Plan, thus resulting in an increase in the number of shares available for issuance under the 2020 Stock Incentive Plan, thus resulting in an increase in the number of shares available for issuance under the 2020 Stock Incentive Plan. Accordingly, a total of 834,246 shares of Class A Stock are reserved for issuance under the 2020 Stock Incentive Plan as a result of the forfeiture of options issued under our Company’s now expired 2010 Stock Incentive Plan, for a total of 6,556,053 shares of Class A Stock that may be issued pursuant to stock awards under the 2020 Stock Incentive Plan. If awards granted under the 2020 Stock Incentive Plan expire or otherwise terminate without being exercised in full, the shares of Common Stock not acquired pursuant to such awards will again become available for issuance under the 2020 Stock Incentive Plan. If shares of Common Stock issued pursuant to awards under the 2020 Stock Incentive Plan are forfeited to or repurchased by us, the forfeited or repurchased stock will again become available for issuance under the 2020 Stock Incentive Plan. If shares of Common Stock subject to an award under the 2020 Stock Incentive Plan are not delivered to a participant because such shares are withheld for payment of taxes incurred in connection with the exercise of an award, or because the award is exercised through a reduction of shares subject to the award (“net exercised”), the undelivered shares will no longer be available for issuance under the 2020 Stock Incentive Plan. The maximum number of shares that may be issued upon the exercise of Incentive Stock Options shall not exceed 6,556,053 shares of Class A Stock and 200,000 shares of Class B Stock.</w:t>
      </w:r>
    </w:p>
    <w:p>
      <w:pPr>
        <w:spacing w:after="0" w:line="17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28" w:name="page29"/>
    <w:bookmarkEnd w:id="28"/>
    <w:p>
      <w:pPr>
        <w:ind w:left="18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35" w:lineRule="exact"/>
        <w:rPr>
          <w:sz w:val="20"/>
          <w:szCs w:val="20"/>
          <w:color w:val="auto"/>
        </w:rPr>
      </w:pPr>
    </w:p>
    <w:p>
      <w:pPr>
        <w:jc w:val="both"/>
        <w:ind w:left="180" w:right="119" w:firstLine="648"/>
        <w:spacing w:after="0" w:line="227" w:lineRule="auto"/>
        <w:rPr>
          <w:sz w:val="20"/>
          <w:szCs w:val="20"/>
          <w:color w:val="auto"/>
        </w:rPr>
      </w:pPr>
      <w:r>
        <w:rPr>
          <w:rFonts w:ascii="Times New Roman" w:cs="Times New Roman" w:eastAsia="Times New Roman" w:hAnsi="Times New Roman"/>
          <w:sz w:val="18"/>
          <w:szCs w:val="18"/>
          <w:color w:val="auto"/>
        </w:rPr>
        <w:t>Incentive stock options may be granted under the 2020 Stock Incentive Plan only to employees of our Company and its affiliates. Employees, directors and consultants of our Company and its affiliates are eligible to receive all other types of awards under the 2020 Stock Incentive Plan. No incentive stock option may be granted under the 2020 Stock Incentive Plan to any person who, at the time of the grant, owns (or is deemed to own) stock possessing more than 10% of the total combined voting power of our Company or any affiliate of our Company, unless the exercise price is at least 110% of the fair market value of the stock subject to the option on the date of grant and the term of the option does not exceed five years from the date of grant. In addition, to the extent the aggregate fair market value, determined at the time of grant, of the shares of Common Stock with respect to which incentive stock options are exercisable for the first time by any option holder during any calendar year (under the 2020 Stock Incentive Plan and any other such plans of the Company and its affiliates) exceeds $100,000, then the options which exceed such limit are treated as nonstatutory stock options. As of the record date, our Company and its subsidiaries had approximately 2,000 employees, and 3 non-employee directors.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Terms of Options</w:t>
      </w:r>
    </w:p>
    <w:p>
      <w:pPr>
        <w:spacing w:after="0" w:line="135" w:lineRule="exact"/>
        <w:rPr>
          <w:sz w:val="20"/>
          <w:szCs w:val="20"/>
          <w:color w:val="auto"/>
        </w:rPr>
      </w:pPr>
    </w:p>
    <w:p>
      <w:pPr>
        <w:jc w:val="both"/>
        <w:ind w:left="180" w:right="119" w:firstLine="648"/>
        <w:spacing w:after="0" w:line="242" w:lineRule="auto"/>
        <w:rPr>
          <w:sz w:val="20"/>
          <w:szCs w:val="20"/>
          <w:color w:val="auto"/>
        </w:rPr>
      </w:pPr>
      <w:r>
        <w:rPr>
          <w:rFonts w:ascii="Times New Roman" w:cs="Times New Roman" w:eastAsia="Times New Roman" w:hAnsi="Times New Roman"/>
          <w:sz w:val="18"/>
          <w:szCs w:val="18"/>
          <w:color w:val="auto"/>
        </w:rPr>
        <w:t>Options may be granted under the 2020 Stock Incentive Plan pursuant to stock option agreements. The following is a description of the permissible terms of options under the 2020 Stock Incentive Plan. Individual option grants may be more restrictive as to any or all of the permissible terms described below.</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Exercise Price; Payment</w:t>
      </w:r>
    </w:p>
    <w:p>
      <w:pPr>
        <w:spacing w:after="0" w:line="135" w:lineRule="exact"/>
        <w:rPr>
          <w:sz w:val="20"/>
          <w:szCs w:val="20"/>
          <w:color w:val="auto"/>
        </w:rPr>
      </w:pPr>
    </w:p>
    <w:p>
      <w:pPr>
        <w:jc w:val="both"/>
        <w:ind w:left="180" w:right="119" w:firstLine="648"/>
        <w:spacing w:after="0" w:line="231" w:lineRule="auto"/>
        <w:rPr>
          <w:sz w:val="20"/>
          <w:szCs w:val="20"/>
          <w:color w:val="auto"/>
        </w:rPr>
      </w:pPr>
      <w:r>
        <w:rPr>
          <w:rFonts w:ascii="Times New Roman" w:cs="Times New Roman" w:eastAsia="Times New Roman" w:hAnsi="Times New Roman"/>
          <w:sz w:val="18"/>
          <w:szCs w:val="18"/>
          <w:color w:val="auto"/>
        </w:rPr>
        <w:t>The exercise price of incentive stock options may not be less than the fair market value of the Common Stock subject to the option on the date of the grant and, in some cases (see “Eligibility” above), may not be less than 110% of such fair market value. The exercise price of nonstatutory options may not be less than the fair market value of the Common Stock on the date of grant. The exercise price of options granted under the 2020 Stock Incentive Plan must be paid, at the election of the option holder, either (i) in cash at the time the option is exercised, (ii) by delivery of other Common Stock, (iii) pursuant to a net exercise arrangement, (iv) pursuant to a cashless exercise, or (v) in any other form of legal consideration acceptable to our Board.</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135" w:lineRule="exact"/>
        <w:rPr>
          <w:sz w:val="20"/>
          <w:szCs w:val="20"/>
          <w:color w:val="auto"/>
        </w:rPr>
      </w:pPr>
    </w:p>
    <w:p>
      <w:pPr>
        <w:jc w:val="both"/>
        <w:ind w:left="180" w:right="119" w:firstLine="648"/>
        <w:spacing w:after="0" w:line="236" w:lineRule="auto"/>
        <w:rPr>
          <w:sz w:val="20"/>
          <w:szCs w:val="20"/>
          <w:color w:val="auto"/>
        </w:rPr>
      </w:pPr>
      <w:r>
        <w:rPr>
          <w:rFonts w:ascii="Times New Roman" w:cs="Times New Roman" w:eastAsia="Times New Roman" w:hAnsi="Times New Roman"/>
          <w:sz w:val="18"/>
          <w:szCs w:val="18"/>
          <w:color w:val="auto"/>
        </w:rPr>
        <w:t>Options granted under the 2020 Stock Incentive Plan may become exercisable in cumulative increments, or “vest,” as determined by our Board. Our Board has the power to accelerate the time as of which an option may vest or be exercised.</w:t>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Withholding</w:t>
      </w:r>
    </w:p>
    <w:p>
      <w:pPr>
        <w:spacing w:after="0" w:line="135" w:lineRule="exact"/>
        <w:rPr>
          <w:sz w:val="20"/>
          <w:szCs w:val="20"/>
          <w:color w:val="auto"/>
        </w:rPr>
      </w:pPr>
    </w:p>
    <w:p>
      <w:pPr>
        <w:jc w:val="both"/>
        <w:ind w:left="180" w:right="119" w:firstLine="648"/>
        <w:spacing w:after="0" w:line="236" w:lineRule="auto"/>
        <w:rPr>
          <w:sz w:val="20"/>
          <w:szCs w:val="20"/>
          <w:color w:val="auto"/>
        </w:rPr>
      </w:pPr>
      <w:r>
        <w:rPr>
          <w:rFonts w:ascii="Times New Roman" w:cs="Times New Roman" w:eastAsia="Times New Roman" w:hAnsi="Times New Roman"/>
          <w:sz w:val="18"/>
          <w:szCs w:val="18"/>
          <w:color w:val="auto"/>
        </w:rPr>
        <w:t>To the extent provided by the terms of an option, a participant may satisfy any federal, state or local tax withholding obligation relating to the exercise of such option by a cash payment upon exercise, by authorizing our Company to withhold a portion of the stock otherwise issuable to the participant, by delivering already-owned Common Stock or by a combination of these means.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35" w:lineRule="exact"/>
        <w:rPr>
          <w:sz w:val="20"/>
          <w:szCs w:val="20"/>
          <w:color w:val="auto"/>
        </w:rPr>
      </w:pPr>
    </w:p>
    <w:p>
      <w:pPr>
        <w:jc w:val="both"/>
        <w:ind w:left="180" w:right="119" w:firstLine="648"/>
        <w:spacing w:after="0" w:line="226" w:lineRule="auto"/>
        <w:rPr>
          <w:sz w:val="20"/>
          <w:szCs w:val="20"/>
          <w:color w:val="auto"/>
        </w:rPr>
      </w:pPr>
      <w:r>
        <w:rPr>
          <w:rFonts w:ascii="Times New Roman" w:cs="Times New Roman" w:eastAsia="Times New Roman" w:hAnsi="Times New Roman"/>
          <w:sz w:val="18"/>
          <w:szCs w:val="18"/>
          <w:color w:val="auto"/>
        </w:rPr>
        <w:t>The maximum term of options under the 2020 Stock Incentive Plan is ten years, except that in certain cases (see “Eligibility”) the maximum term is five years. Options awarded under the 2020 Stock Incentive Plan generally will terminate three months after termination of the participant’s service unless: (i) such termination is due to the participant’s permanent and total disability (as defined in the Code), in which case the option may, but need not, provide that it may be exercised (to the extent the option was exercisable at the time of the termination of service) at any time within 12 months of such termination; (ii) the participant dies before the participant's service has terminated or within the period (if any) specified in the stock option agreement after termination of such service for a reason other than death, in which case the option may, but need not, provide that it may be exercised (to the extent the option was exercisable at the time of the participant’s death) within 12 months following the participant’s death by the person or persons to whom the rights to such option pass by will or by the laws of descent and distribution; or (iii) the option, by its terms, specifically provides otherwise. A participant may designate a beneficiary who may exercise the option following the participant’s death. Individual option grants by their terms may provide for exercise within a longer period of time following termination of service. A participant’s option agreement may provide that if the exercise of</w:t>
      </w:r>
    </w:p>
    <w:p>
      <w:pPr>
        <w:spacing w:after="0" w:line="1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29" w:name="page30"/>
    <w:bookmarkEnd w:id="29"/>
    <w:p>
      <w:pPr>
        <w:jc w:val="both"/>
        <w:ind w:left="180" w:right="119"/>
        <w:spacing w:after="0" w:line="236" w:lineRule="auto"/>
        <w:rPr>
          <w:sz w:val="20"/>
          <w:szCs w:val="20"/>
          <w:color w:val="auto"/>
        </w:rPr>
      </w:pPr>
      <w:r>
        <w:rPr>
          <w:rFonts w:ascii="Times New Roman" w:cs="Times New Roman" w:eastAsia="Times New Roman" w:hAnsi="Times New Roman"/>
          <w:sz w:val="18"/>
          <w:szCs w:val="18"/>
          <w:color w:val="auto"/>
        </w:rPr>
        <w:t>the option following the termination of the participant’s service would be prohibited because the issuance of stock would violate the registration requirements under the Securities Act of 1933, then the option will terminate on the earlier of (i) the expiration of the term of the option or (ii) three months after the first date on which the exercise of the option would not be in violation of such registration requirements.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35" w:lineRule="exact"/>
        <w:rPr>
          <w:sz w:val="20"/>
          <w:szCs w:val="20"/>
          <w:color w:val="auto"/>
        </w:rPr>
      </w:pPr>
    </w:p>
    <w:p>
      <w:pPr>
        <w:jc w:val="both"/>
        <w:ind w:left="180" w:right="119" w:firstLine="648"/>
        <w:spacing w:after="0" w:line="242" w:lineRule="auto"/>
        <w:rPr>
          <w:sz w:val="20"/>
          <w:szCs w:val="20"/>
          <w:color w:val="auto"/>
        </w:rPr>
      </w:pPr>
      <w:r>
        <w:rPr>
          <w:rFonts w:ascii="Times New Roman" w:cs="Times New Roman" w:eastAsia="Times New Roman" w:hAnsi="Times New Roman"/>
          <w:sz w:val="18"/>
          <w:szCs w:val="18"/>
          <w:color w:val="auto"/>
        </w:rPr>
        <w:t>The participant may not transfer an incentive stock option otherwise than by will or by the laws of descent and distribution. During the lifetime of the participant, only the participant may exercise an incentive stock option. The Board may grant nonstatutory stock options that are transferable to the extent provided in the stock option agreement.</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Terms of Stock Bonus Awards, Restricted Stock Awards, SARs, and RSUs</w:t>
      </w:r>
    </w:p>
    <w:p>
      <w:pPr>
        <w:spacing w:after="0" w:line="135" w:lineRule="exact"/>
        <w:rPr>
          <w:sz w:val="20"/>
          <w:szCs w:val="20"/>
          <w:color w:val="auto"/>
        </w:rPr>
      </w:pPr>
    </w:p>
    <w:p>
      <w:pPr>
        <w:jc w:val="both"/>
        <w:ind w:left="180" w:right="119" w:firstLine="648"/>
        <w:spacing w:after="0" w:line="236" w:lineRule="auto"/>
        <w:rPr>
          <w:sz w:val="20"/>
          <w:szCs w:val="20"/>
          <w:color w:val="auto"/>
        </w:rPr>
      </w:pPr>
      <w:r>
        <w:rPr>
          <w:rFonts w:ascii="Times New Roman" w:cs="Times New Roman" w:eastAsia="Times New Roman" w:hAnsi="Times New Roman"/>
          <w:sz w:val="18"/>
          <w:szCs w:val="18"/>
          <w:color w:val="auto"/>
        </w:rPr>
        <w:t>Stock bonus awards may be granted under the 2020 Stock Incentive Plan pursuant to stock bonus agreements. Restricted stock awards may be granted under the 2020 Stock Incentive Plan pursuant to restricted stock purchase agreements. SARs may be granted under the 2020 Stock Incentive Plan pursuant to stock appreciation right agreements. RSUs may be granted under the 2020 Stock Incentive Plan pursuant to restricted stock unit agreements.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35" w:lineRule="exact"/>
        <w:rPr>
          <w:sz w:val="20"/>
          <w:szCs w:val="20"/>
          <w:color w:val="auto"/>
        </w:rPr>
      </w:pPr>
    </w:p>
    <w:p>
      <w:pPr>
        <w:jc w:val="both"/>
        <w:ind w:left="180" w:right="119" w:firstLine="648"/>
        <w:spacing w:after="0" w:line="228" w:lineRule="auto"/>
        <w:rPr>
          <w:sz w:val="20"/>
          <w:szCs w:val="20"/>
          <w:color w:val="auto"/>
        </w:rPr>
      </w:pPr>
      <w:r>
        <w:rPr>
          <w:rFonts w:ascii="Times New Roman" w:cs="Times New Roman" w:eastAsia="Times New Roman" w:hAnsi="Times New Roman"/>
          <w:sz w:val="18"/>
          <w:szCs w:val="18"/>
          <w:color w:val="auto"/>
        </w:rPr>
        <w:t>Our Board determines the purchase price under a restricted stock purchase agreement, but the purchase price may not be less than the par value, if any, of the Common Stock on the date such award is made or at the time the purchase is consummated. Our Board may award stock bonuses in consideration of past services without a purchase payment. The purchase price of SARs must be at a “strike price” of not less than the fair market value of the stock on the date the SAR is awarded. The purchase price of stock acquired pursuant to a restricted stock purchase agreement or SARs under the 2020 Stock Incentive Plan must be paid either in cash at the time of purchase, in shares of Common Stock or in any other form of legal consideration acceptable to our Board. An RSU may be awarded upon the passage of time, the attainment of performance criteria or the satisfaction or occurrence of such other events established by our Board.</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35" w:lineRule="exact"/>
        <w:rPr>
          <w:sz w:val="20"/>
          <w:szCs w:val="20"/>
          <w:color w:val="auto"/>
        </w:rPr>
      </w:pPr>
    </w:p>
    <w:p>
      <w:pPr>
        <w:jc w:val="both"/>
        <w:ind w:left="180" w:right="119" w:firstLine="648"/>
        <w:spacing w:after="0" w:line="231" w:lineRule="auto"/>
        <w:rPr>
          <w:sz w:val="20"/>
          <w:szCs w:val="20"/>
          <w:color w:val="auto"/>
        </w:rPr>
      </w:pPr>
      <w:r>
        <w:rPr>
          <w:rFonts w:ascii="Times New Roman" w:cs="Times New Roman" w:eastAsia="Times New Roman" w:hAnsi="Times New Roman"/>
          <w:sz w:val="18"/>
          <w:szCs w:val="18"/>
          <w:color w:val="auto"/>
        </w:rPr>
        <w:t>Shares of stock awarded under a stock bonus agreement may, but need not, be subject to a repurchase option in favor of our Company in accordance with a vesting schedule as determined by our Board. Unless the stock bonus agreement provides otherwise, all shares subject to the agreement will become fully vested upon the occurrence of a “Corporate Transaction” (as such term is defined in the 2020 Stock Incentive Plan) pursuant to subsection 11(c) of the 2020 Stock Incentive Plan. Shares of stock acquired under the restricted stock purchase agreement may, but need not, be subject to forfeiture to our Company or be subject to other restrictions that will lapse in accordance with a vesting schedule to be determined by the Board. SARs and RSUs may be subject to vesting at the discretion of our Board.</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Termination of Service</w:t>
      </w:r>
    </w:p>
    <w:p>
      <w:pPr>
        <w:spacing w:after="0" w:line="135" w:lineRule="exact"/>
        <w:rPr>
          <w:sz w:val="20"/>
          <w:szCs w:val="20"/>
          <w:color w:val="auto"/>
        </w:rPr>
      </w:pPr>
    </w:p>
    <w:p>
      <w:pPr>
        <w:jc w:val="both"/>
        <w:ind w:left="180" w:right="119" w:firstLine="648"/>
        <w:spacing w:after="0" w:line="226" w:lineRule="auto"/>
        <w:rPr>
          <w:sz w:val="20"/>
          <w:szCs w:val="20"/>
          <w:color w:val="auto"/>
        </w:rPr>
      </w:pPr>
      <w:r>
        <w:rPr>
          <w:rFonts w:ascii="Times New Roman" w:cs="Times New Roman" w:eastAsia="Times New Roman" w:hAnsi="Times New Roman"/>
          <w:sz w:val="18"/>
          <w:szCs w:val="18"/>
          <w:color w:val="auto"/>
        </w:rPr>
        <w:t>Upon termination of a participant’s service, our Company may reacquire any shares of stock that have not vested as of such termination under the terms of the stock bonus agreement. Our Company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 Upon termination of a participant’s service, any or all of the shares of Common Stock held by the participant that have not vested as of the date of termination under the terms of a restricted stock purchase agreement will be forfeited to our Company in accordance with the restricted stock purchase agreement. Upon termination of a participant’s service, any SARs that have not vested as of the date of termination will be forfeited. SARs awarded under the 2020 Stock Incentive Plan generally will terminate three months after termination of the participant’s service unless: (i) such termination is due to the participant’s permanent and total disability (as defined in the Code), in which case the SAR may, but need not, provide that it may be exercised (to the extent the SAR was exercisable at the time of the termination of service) at any time within 12 months of such termination; (ii) the participant dies before the participant's service has terminated or within the period (if any) specified in the SAR agreement after termination of such service for a reason other than death, in which case the SAR may, but need not, provide that it may be exercised (to the extent the SAR was exercisable at the time of the participant’s death) within 12 months following the participant’s death by the person or persons to whom the rights to such SAR pass by will or by the laws of descent and distribution; or (iii) the SAR, by its terms, specifically provides otherwise. A participant may</w:t>
      </w:r>
    </w:p>
    <w:p>
      <w:pPr>
        <w:spacing w:after="0" w:line="18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0" w:name="page31"/>
    <w:bookmarkEnd w:id="30"/>
    <w:p>
      <w:pPr>
        <w:jc w:val="both"/>
        <w:ind w:left="180" w:right="119"/>
        <w:spacing w:after="0" w:line="242" w:lineRule="auto"/>
        <w:rPr>
          <w:sz w:val="20"/>
          <w:szCs w:val="20"/>
          <w:color w:val="auto"/>
        </w:rPr>
      </w:pPr>
      <w:r>
        <w:rPr>
          <w:rFonts w:ascii="Times New Roman" w:cs="Times New Roman" w:eastAsia="Times New Roman" w:hAnsi="Times New Roman"/>
          <w:sz w:val="18"/>
          <w:szCs w:val="18"/>
          <w:color w:val="auto"/>
        </w:rPr>
        <w:t>designate a beneficiary who may exercise the SAR following the participant’s death. Individual SAR grants by their terms may provide for exercise within a longer period of time following termination of service. Upon termination of a participant’s service, any RSUs that have not vested as of the date of termination will be forfeited to our Company.</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35" w:lineRule="exact"/>
        <w:rPr>
          <w:sz w:val="20"/>
          <w:szCs w:val="20"/>
          <w:color w:val="auto"/>
        </w:rPr>
      </w:pPr>
    </w:p>
    <w:p>
      <w:pPr>
        <w:jc w:val="both"/>
        <w:ind w:left="180" w:right="119" w:firstLine="648"/>
        <w:spacing w:after="0" w:line="232" w:lineRule="auto"/>
        <w:rPr>
          <w:sz w:val="20"/>
          <w:szCs w:val="20"/>
          <w:color w:val="auto"/>
        </w:rPr>
      </w:pPr>
      <w:r>
        <w:rPr>
          <w:rFonts w:ascii="Times New Roman" w:cs="Times New Roman" w:eastAsia="Times New Roman" w:hAnsi="Times New Roman"/>
          <w:sz w:val="18"/>
          <w:szCs w:val="18"/>
          <w:color w:val="auto"/>
        </w:rPr>
        <w:t>Rights under a stock bonus agreement or restricted stock purchase agreement may not be transferred except where such transfer is expressly authorized by the terms of the applicable stock bonus agreement or restricted stock purchase agreement. An RSU is subject to similar transfer restrictions as awards of restricted stock, except that no shares are actually awarded to a participant who is granted RSUs on the date of grant, and such participant has no rights of a stockholder with respect to such RSUs until the restrictions set forth in the restricted stock unit agreement have lapsed.</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Adjustment Provisions</w:t>
      </w:r>
    </w:p>
    <w:p>
      <w:pPr>
        <w:spacing w:after="0" w:line="135" w:lineRule="exact"/>
        <w:rPr>
          <w:sz w:val="20"/>
          <w:szCs w:val="20"/>
          <w:color w:val="auto"/>
        </w:rPr>
      </w:pPr>
    </w:p>
    <w:p>
      <w:pPr>
        <w:jc w:val="both"/>
        <w:ind w:left="180" w:right="119" w:firstLine="648"/>
        <w:spacing w:after="0" w:line="228" w:lineRule="auto"/>
        <w:rPr>
          <w:sz w:val="20"/>
          <w:szCs w:val="20"/>
          <w:color w:val="auto"/>
        </w:rPr>
      </w:pPr>
      <w:r>
        <w:rPr>
          <w:rFonts w:ascii="Times New Roman" w:cs="Times New Roman" w:eastAsia="Times New Roman" w:hAnsi="Times New Roman"/>
          <w:sz w:val="18"/>
          <w:szCs w:val="18"/>
          <w:color w:val="auto"/>
        </w:rPr>
        <w:t>If any change is made to the outstanding shares of Common Stock without our Company’s receipt of consideration (whether through merger, consolidation, reorganization, stock dividend or stock split, or other specified change in the capital structure of our Company), appropriate adjustments will be made to the class and maximum number of shares of Common Stock subject to the 2020 Stock Incentive Plan and the class and maximum number of shares of Common Stock that may be issued upon the exercise of incentive stock options under the 2020 Stock Incentive Plan. In that event, outstanding awards will also be adjusted in the class, number of shares and price per share of Common Stock subject to such awards.</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Effect of Certain Corporate Events</w:t>
      </w:r>
    </w:p>
    <w:p>
      <w:pPr>
        <w:spacing w:after="0" w:line="135" w:lineRule="exact"/>
        <w:rPr>
          <w:sz w:val="20"/>
          <w:szCs w:val="20"/>
          <w:color w:val="auto"/>
        </w:rPr>
      </w:pPr>
    </w:p>
    <w:p>
      <w:pPr>
        <w:jc w:val="both"/>
        <w:ind w:left="180" w:right="119" w:firstLine="648"/>
        <w:spacing w:after="0" w:line="229" w:lineRule="auto"/>
        <w:rPr>
          <w:sz w:val="20"/>
          <w:szCs w:val="20"/>
          <w:color w:val="auto"/>
        </w:rPr>
      </w:pPr>
      <w:r>
        <w:rPr>
          <w:rFonts w:ascii="Times New Roman" w:cs="Times New Roman" w:eastAsia="Times New Roman" w:hAnsi="Times New Roman"/>
          <w:sz w:val="18"/>
          <w:szCs w:val="18"/>
          <w:color w:val="auto"/>
        </w:rPr>
        <w:t>In the event of a “Corporate Transaction” (as defined in the 2020 Stock Incentive Plan), any surviving or acquiring corporation may assume awards outstanding under the 2020 Stock Incentive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Incentive Plan provides that, in the event of a dissolution or liquidation of our Company, all outstanding awards under the 2020 Stock Incentive Plan will terminate prior to such event and shares of bonus stock and restricted stock subject to our Company’s repurchase option or to forfeiture may be repurchased by our Company or forfeited, notwithstanding whether the holder of such stock is still providing services to our Company.</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Duration, Amendment and Termination</w:t>
      </w:r>
    </w:p>
    <w:p>
      <w:pPr>
        <w:spacing w:after="0" w:line="135" w:lineRule="exact"/>
        <w:rPr>
          <w:sz w:val="20"/>
          <w:szCs w:val="20"/>
          <w:color w:val="auto"/>
        </w:rPr>
      </w:pPr>
    </w:p>
    <w:p>
      <w:pPr>
        <w:jc w:val="both"/>
        <w:ind w:left="180" w:right="119" w:firstLine="648"/>
        <w:spacing w:after="0" w:line="229" w:lineRule="auto"/>
        <w:rPr>
          <w:sz w:val="20"/>
          <w:szCs w:val="20"/>
          <w:color w:val="auto"/>
        </w:rPr>
      </w:pPr>
      <w:r>
        <w:rPr>
          <w:rFonts w:ascii="Times New Roman" w:cs="Times New Roman" w:eastAsia="Times New Roman" w:hAnsi="Times New Roman"/>
          <w:sz w:val="18"/>
          <w:szCs w:val="18"/>
          <w:color w:val="auto"/>
        </w:rPr>
        <w:t>Our Board may suspend or terminate the 2020 Stock Incentive Plan without stockholder approval or ratification at any time or from time to time. Unless sooner terminated, the 2020 Stock Incentive Plan will terminate on November 4, 2030. The Board may also amend the 2020 Stock Incentive Plan at any time, and from time to time. However, except as provided in Section 11 of the 2020 Stock Incentive Plan relating to adjustments upon changes in common stock, no amendment will be effective unless approved by our stockholders to the extent stockholder approval is necessary to satisfy the requirements of Section 422 of the Code, Rule 16b-3 under the Securities Exchange Act of 1934 or any securities exchange listing requirements. Our Board may submit any other amendment to the 2020 Stock Incentive Plan for stockholder approval.</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Clawback of Certain Benefits</w:t>
      </w:r>
    </w:p>
    <w:p>
      <w:pPr>
        <w:spacing w:after="0" w:line="121" w:lineRule="exact"/>
        <w:rPr>
          <w:sz w:val="20"/>
          <w:szCs w:val="20"/>
          <w:color w:val="auto"/>
        </w:rPr>
      </w:pPr>
    </w:p>
    <w:p>
      <w:pPr>
        <w:jc w:val="both"/>
        <w:ind w:left="180" w:right="119" w:firstLine="648"/>
        <w:spacing w:after="0" w:line="236" w:lineRule="auto"/>
        <w:rPr>
          <w:sz w:val="20"/>
          <w:szCs w:val="20"/>
          <w:color w:val="auto"/>
        </w:rPr>
      </w:pPr>
      <w:r>
        <w:rPr>
          <w:rFonts w:ascii="Times New Roman" w:cs="Times New Roman" w:eastAsia="Times New Roman" w:hAnsi="Times New Roman"/>
          <w:sz w:val="18"/>
          <w:szCs w:val="18"/>
          <w:color w:val="auto"/>
        </w:rPr>
        <w:t>All stock awards issued under the 2020 Stock Incentive Plan are subject to reduction, cancellation, forfeiture and recoupment to the extent necessary to comply with applicable law or the NASDAQ Listing Rules. An acceptance of a stock award under the 2020 Stock Incentive Plan is an agreement by the participant to be bound by any such laws or rules.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Federal Income Tax Information</w:t>
      </w:r>
    </w:p>
    <w:p>
      <w:pPr>
        <w:spacing w:after="0" w:line="135" w:lineRule="exact"/>
        <w:rPr>
          <w:sz w:val="20"/>
          <w:szCs w:val="20"/>
          <w:color w:val="auto"/>
        </w:rPr>
      </w:pPr>
    </w:p>
    <w:p>
      <w:pPr>
        <w:jc w:val="both"/>
        <w:ind w:left="180" w:right="119" w:firstLine="648"/>
        <w:spacing w:after="0" w:line="242"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the participant and us with respect to participation in the 2020 Stock Incentive Plan. This summary is not intended to be exhaustive, and does not discuss the income tax laws of any city, state or foreign jurisdiction in which a participant may reside.</w:t>
      </w:r>
    </w:p>
    <w:p>
      <w:pPr>
        <w:spacing w:after="0" w:line="1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1" w:name="page32"/>
    <w:bookmarkEnd w:id="3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35" w:lineRule="exact"/>
        <w:rPr>
          <w:sz w:val="20"/>
          <w:szCs w:val="20"/>
          <w:color w:val="auto"/>
        </w:rPr>
      </w:pPr>
    </w:p>
    <w:p>
      <w:pPr>
        <w:jc w:val="both"/>
        <w:ind w:left="180" w:right="119" w:firstLine="648"/>
        <w:spacing w:after="0" w:line="229" w:lineRule="auto"/>
        <w:rPr>
          <w:sz w:val="20"/>
          <w:szCs w:val="20"/>
          <w:color w:val="auto"/>
        </w:rPr>
      </w:pPr>
      <w:r>
        <w:rPr>
          <w:rFonts w:ascii="Times New Roman" w:cs="Times New Roman" w:eastAsia="Times New Roman" w:hAnsi="Times New Roman"/>
          <w:sz w:val="18"/>
          <w:szCs w:val="18"/>
          <w:color w:val="auto"/>
        </w:rPr>
        <w:t>There will be no federal income tax consequences to either us or the participant upon the grant of an incentive stock option. Upon exercise of the option, the excess of the fair market value of the stock over the exercise price, or the “spread,” will be added to the alternative minimum tax base of the participant unless a disqualifying disposition is made in the year of exercise. A disqualifying disposition is the sale of the stock prior to the expiration of two years from the date of grant of the option and one year from the date of exercise of the option. If the shares of Common Stock are disposed of in a disqualifying disposition, the participant will realize taxable ordinary income in an amount equal to the spread at the time of exercise, and we will be entitled (subject to the requirement of reasonableness, the provisions of Section 162(m) of the Code and the satisfaction of a tax reporting obligation) to a federal income tax deduction equal to such amount. If the participant sells the shares of Common Stock after the specified periods, the gain or loss on the sale of the shares will be long-term capital gain or loss and we will not be entitled to a federal income tax deduction.</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 and Restricted Stock Purchase Awards</w:t>
      </w:r>
    </w:p>
    <w:p>
      <w:pPr>
        <w:spacing w:after="0" w:line="121" w:lineRule="exact"/>
        <w:rPr>
          <w:sz w:val="20"/>
          <w:szCs w:val="20"/>
          <w:color w:val="auto"/>
        </w:rPr>
      </w:pPr>
    </w:p>
    <w:p>
      <w:pPr>
        <w:jc w:val="both"/>
        <w:ind w:left="180" w:right="119" w:firstLine="648"/>
        <w:spacing w:after="0" w:line="225" w:lineRule="auto"/>
        <w:rPr>
          <w:sz w:val="20"/>
          <w:szCs w:val="20"/>
          <w:color w:val="auto"/>
        </w:rPr>
      </w:pPr>
      <w:r>
        <w:rPr>
          <w:rFonts w:ascii="Times New Roman" w:cs="Times New Roman" w:eastAsia="Times New Roman" w:hAnsi="Times New Roman"/>
          <w:sz w:val="18"/>
          <w:szCs w:val="18"/>
          <w:color w:val="auto"/>
        </w:rPr>
        <w:t>Nonstatutory stock options and restricted stock purchase awards granted under the 2020 Stock Incentive Plan generally have the following federal income tax consequences. With respect to nonstatutory stock options, there are no tax consequences to the participant or us by reason of the grant. With respect to restricted stock purchase awards and the exercise of nonstatutory stock options, upon acquisition of the stock, the participant will recognize taxable ordinary income equal to the excess, if any, of the stock’s fair market value on the acquisition date over the purchase price. However, to the extent the stock is subject to “a substantial risk of forfeiture” (as defined in Section 83 of the Code), the taxable event will be delayed until the forfeiture provision lapses unless the participant elects to be taxed on receipt of the stock by making a Section 83(b) election within 30 days of receipt of the stock. If such election is not made, the participant generally will recognize income as and when the forfeiture provision lapses, and the income recognized will be based on the fair market value of the stock on such future date. On that date, the participant’s holding period for purposes of determining the long-term or short-term nature of any capital gain or loss recognized on a subsequent disposition of the stock will begin. If a participant makes a Section 83(b) election, the participant will recognize ordinary income upon receipt of the stock equal to the difference between the stock’s fair market value as of the date of receipt of the stock and the purchase price, if any, as of the date of receipt and the holding period for purposes of characterizing as long-term or short-term any subsequent gain or loss will begin at the date of receipt. If stock underlying an award for which an 83(b) election was made does not vest and is forfeited, the award recipient does not recognize a deduction for the loss but does recognize a capital loss in an amount equal to the ordinary income recognized as a result of the 83(b) election less any amount recouped by the participant as a result of the forfeiture.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the participant will recognize a capital gain or loss equal to the difference between the selling price and the sum of the amount paid for such stock plus any amount recognized as ordinary income upon issuance (or vesting) with respect to the stock. Such gain or loss will be long-term or short-term depending on whether the stock has been held for more than one year.</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Bonus Awards</w:t>
      </w:r>
    </w:p>
    <w:p>
      <w:pPr>
        <w:spacing w:after="0" w:line="135" w:lineRule="exact"/>
        <w:rPr>
          <w:sz w:val="20"/>
          <w:szCs w:val="20"/>
          <w:color w:val="auto"/>
        </w:rPr>
      </w:pPr>
    </w:p>
    <w:p>
      <w:pPr>
        <w:jc w:val="both"/>
        <w:ind w:left="180" w:right="119" w:firstLine="648"/>
        <w:spacing w:after="0" w:line="226" w:lineRule="auto"/>
        <w:rPr>
          <w:sz w:val="20"/>
          <w:szCs w:val="20"/>
          <w:color w:val="auto"/>
        </w:rPr>
      </w:pPr>
      <w:r>
        <w:rPr>
          <w:rFonts w:ascii="Times New Roman" w:cs="Times New Roman" w:eastAsia="Times New Roman" w:hAnsi="Times New Roman"/>
          <w:sz w:val="18"/>
          <w:szCs w:val="18"/>
          <w:color w:val="auto"/>
        </w:rPr>
        <w:t>Upon receipt of a stock bonus award, if the shares are not subject to a “substantial risk of forfeiture” the participant will recognize ordinary income equal to the excess, if any, of the fair market value of the shares on the date of issuance over the purchase price, if any, paid for those shares. We will be entitled (subject to the requirement of reasonableness, the provisions of Section 162(m) of the Code, and the satisfaction of a tax reporting obligation) to a corresponding income tax deduction in the tax year in which such ordinary income is recognized by the participant. However, if the shares issued upon the grant of a stock bonus award are subject to a “substantial risk of forfeiture”, the participant will not recognize any taxable income at the time of issuance, but will have to report as ordinary income, as and when the “substantial risk of forfeiture” lapses, in an amount equal to the excess of the fair market value of the shares on the date the risk of forfeiture lapses over the purchase price, if any, paid for the shares. The participant may, however, elect under Section 83(b) of the Code to include as ordinary income in the year of issuance an amount equal to the excess of the fair market value of the shares on the date of issuance over the purchase price, if any, paid for such shares. If the Section 83(b) election is made, the participant will not recognize any additional income, nor we will be entitled to a deduction, as and when the risk of forfeiture lapses. With respect to employees, we are generally required to withhold from regular wages or supplemental wage payments an amount based on the ordinary income recognized.</w:t>
      </w:r>
    </w:p>
    <w:p>
      <w:pPr>
        <w:spacing w:after="0" w:line="17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32" w:name="page33"/>
    <w:bookmarkEnd w:id="32"/>
    <w:p>
      <w:pPr>
        <w:jc w:val="both"/>
        <w:ind w:left="180" w:right="119"/>
        <w:spacing w:after="0" w:line="233"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acquired upon the receipt of a stock bonus award, the participant will recognize a capital gain or loss equal to the difference between the selling price and the sum of the amount paid for such stock plus any amount recognized as ordinary income upon issuance (or vesting) of the stock. Such gain or loss will be long-term or short-term depending on whether the stock was held for more than one year.</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35" w:lineRule="exact"/>
        <w:rPr>
          <w:sz w:val="20"/>
          <w:szCs w:val="20"/>
          <w:color w:val="auto"/>
        </w:rPr>
      </w:pPr>
    </w:p>
    <w:p>
      <w:pPr>
        <w:jc w:val="both"/>
        <w:ind w:left="180" w:right="119" w:firstLine="648"/>
        <w:spacing w:after="0" w:line="226" w:lineRule="auto"/>
        <w:rPr>
          <w:sz w:val="20"/>
          <w:szCs w:val="20"/>
          <w:color w:val="auto"/>
        </w:rPr>
      </w:pPr>
      <w:r>
        <w:rPr>
          <w:rFonts w:ascii="Times New Roman" w:cs="Times New Roman" w:eastAsia="Times New Roman" w:hAnsi="Times New Roman"/>
          <w:sz w:val="18"/>
          <w:szCs w:val="18"/>
          <w:color w:val="auto"/>
        </w:rPr>
        <w:t>Restricted stock unit awards granted under the 2020 Stock Incentive Plan generally have the following federal income tax consequences. There are no tax consequences to the participant or us by reason of the grant. Upon settlement of the award, the participant will recognize taxable ordinary income equal to the amount of cash received upon settlement or, if the award is settled in stock, the stock’s fair market value on the acquisition date.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any stock issued upon settlement of the award, the participant will recognize a capital gain or loss equal to the difference between the selling price and the amount recognized as ordinary income upon issuance of the stock. Such gain or loss will be long-term or short-term depending on whether the stock has been held for more than one year.</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on Company Deductions</w:t>
      </w:r>
    </w:p>
    <w:p>
      <w:pPr>
        <w:spacing w:after="0" w:line="135" w:lineRule="exact"/>
        <w:rPr>
          <w:sz w:val="20"/>
          <w:szCs w:val="20"/>
          <w:color w:val="auto"/>
        </w:rPr>
      </w:pPr>
    </w:p>
    <w:p>
      <w:pPr>
        <w:jc w:val="both"/>
        <w:ind w:left="180" w:right="119" w:firstLine="648"/>
        <w:spacing w:after="0" w:line="228" w:lineRule="auto"/>
        <w:rPr>
          <w:sz w:val="20"/>
          <w:szCs w:val="20"/>
          <w:color w:val="auto"/>
        </w:rPr>
      </w:pPr>
      <w:r>
        <w:rPr>
          <w:rFonts w:ascii="Times New Roman" w:cs="Times New Roman" w:eastAsia="Times New Roman" w:hAnsi="Times New Roman"/>
          <w:sz w:val="18"/>
          <w:szCs w:val="18"/>
          <w:color w:val="auto"/>
        </w:rPr>
        <w:t>Section 162(m) of the Code denies a deduction to any publicly held corporation for compensation paid to a covered employee in a taxable year to the extent that compensation to such covered employee exceeds $1,000,000. It is possible that compensation attributable to awards, when combined with all other types of compensation received by a covered employee from Reading, may cause this limitation to be exceeded in any particular year. A covered employee for a given taxable year is any individual who meets any of the following requirements: (i) is or was our principal executive officer or principal financial officer, or was acting in such a capacity, at any time during the taxable year, (ii) is one of our three most highly compensated officers whose compensation we are required to report to our stockholders pursuant to the Securities Exchange Act of 1934 for such year (excluding individuals described in clause (i)), or (iii) was a covered employee for any taxable year beginning after December 31, 2016.</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Parachute Payments</w:t>
      </w:r>
    </w:p>
    <w:p>
      <w:pPr>
        <w:spacing w:after="0" w:line="135" w:lineRule="exact"/>
        <w:rPr>
          <w:sz w:val="20"/>
          <w:szCs w:val="20"/>
          <w:color w:val="auto"/>
        </w:rPr>
      </w:pPr>
    </w:p>
    <w:p>
      <w:pPr>
        <w:jc w:val="both"/>
        <w:ind w:left="180" w:right="119" w:firstLine="648"/>
        <w:spacing w:after="0" w:line="229" w:lineRule="auto"/>
        <w:rPr>
          <w:sz w:val="20"/>
          <w:szCs w:val="20"/>
          <w:color w:val="auto"/>
        </w:rPr>
      </w:pPr>
      <w:r>
        <w:rPr>
          <w:rFonts w:ascii="Times New Roman" w:cs="Times New Roman" w:eastAsia="Times New Roman" w:hAnsi="Times New Roman"/>
          <w:sz w:val="18"/>
          <w:szCs w:val="18"/>
          <w:color w:val="auto"/>
        </w:rPr>
        <w:t>Section 280G of the Code and Section 4999 of the Code impose certain adverse tax consequences on payments or benefits paid to employees or other service providers that are deemed to be contingent upon a change in control of a corporation. In the event of a change in control of us, if there are any payments or benefits (including vesting) with respect to awards issuable under the 2020 Stock Incentive Plan that constitute “parachute payments” under Section 280G of the Code (which will depend upon the amount or value of such payments or vesting and the other income of the participant), the participant may be subject to an excise tax (in addition to ordinary income tax) on a portion of the compensation attributable to the awards and we may be disallowed a deduction for a portion of the compensation attributable to the awards.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35" w:lineRule="exact"/>
        <w:rPr>
          <w:sz w:val="20"/>
          <w:szCs w:val="20"/>
          <w:color w:val="auto"/>
        </w:rPr>
      </w:pPr>
    </w:p>
    <w:p>
      <w:pPr>
        <w:jc w:val="both"/>
        <w:ind w:left="180" w:right="119" w:firstLine="648"/>
        <w:spacing w:after="0" w:line="228" w:lineRule="auto"/>
        <w:rPr>
          <w:sz w:val="20"/>
          <w:szCs w:val="20"/>
          <w:color w:val="auto"/>
        </w:rPr>
      </w:pPr>
      <w:r>
        <w:rPr>
          <w:rFonts w:ascii="Times New Roman" w:cs="Times New Roman" w:eastAsia="Times New Roman" w:hAnsi="Times New Roman"/>
          <w:sz w:val="18"/>
          <w:szCs w:val="18"/>
          <w:color w:val="auto"/>
        </w:rPr>
        <w:t>Section 409A of the Code addresses the federal income tax treatment of all amounts that are nonqualified deferred compensation. The Company intends that awards granted under the 2020 Stock Incentive Plan comply with, or otherwise be exempt from, Section 409A of the Code, but makes no representation or warranty to that effect. If the 2020 Stock Incentive Plan or the terms of an award fail to meet the requirements of Section 409A with respect to an award, then such award shall remain in effect and be subject to taxation in accordance with Section 409A, which results in accelerated income recognition to the participant, an excise tax (in addition to ordinary income tax) and penalty interest tax to the participant and accelerated tax withholding and reporting obligations to us.</w:t>
      </w:r>
    </w:p>
    <w:p>
      <w:pPr>
        <w:spacing w:after="0" w:line="19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35" w:lineRule="exact"/>
        <w:rPr>
          <w:sz w:val="20"/>
          <w:szCs w:val="20"/>
          <w:color w:val="auto"/>
        </w:rPr>
      </w:pPr>
    </w:p>
    <w:p>
      <w:pPr>
        <w:jc w:val="both"/>
        <w:ind w:left="180" w:right="119" w:firstLine="648"/>
        <w:spacing w:after="0" w:line="250" w:lineRule="auto"/>
        <w:rPr>
          <w:sz w:val="20"/>
          <w:szCs w:val="20"/>
          <w:color w:val="auto"/>
        </w:rPr>
      </w:pPr>
      <w:r>
        <w:rPr>
          <w:rFonts w:ascii="Times New Roman" w:cs="Times New Roman" w:eastAsia="Times New Roman" w:hAnsi="Times New Roman"/>
          <w:sz w:val="18"/>
          <w:szCs w:val="18"/>
          <w:color w:val="auto"/>
        </w:rPr>
        <w:t>The approval of this proposal requires the number of votes cast in favor of this proposal to exceed the number of votes cast in opposition to this proposal.</w:t>
      </w:r>
    </w:p>
    <w:p>
      <w:pPr>
        <w:spacing w:after="0" w:line="95" w:lineRule="exact"/>
        <w:rPr>
          <w:sz w:val="20"/>
          <w:szCs w:val="20"/>
          <w:color w:val="auto"/>
        </w:rPr>
      </w:pPr>
    </w:p>
    <w:p>
      <w:pPr>
        <w:jc w:val="both"/>
        <w:ind w:left="180" w:right="119"/>
        <w:spacing w:after="0" w:line="236" w:lineRule="auto"/>
        <w:rPr>
          <w:sz w:val="20"/>
          <w:szCs w:val="20"/>
          <w:color w:val="auto"/>
        </w:rPr>
      </w:pPr>
      <w:r>
        <w:rPr>
          <w:rFonts w:ascii="Times New Roman" w:cs="Times New Roman" w:eastAsia="Times New Roman" w:hAnsi="Times New Roman"/>
          <w:sz w:val="18"/>
          <w:szCs w:val="18"/>
          <w:color w:val="auto"/>
        </w:rPr>
        <w:t>Chair Cotter and Vice-Chair Cotter, who hold, in the aggregate, voting control over an aggregate of 1,208,988 shares, or approximately 72% of our outstanding Class B Stock, have informed the Board that they intend to vote these shares in favor of the Stock Plan Amendment discussed under Proposal 4 (the Increase to Share Reserve under the 2020 Stock Incentive Plan Proposal).</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2020 STOCK INCENTIVE PLAN AMENDMENT.</w:t>
      </w:r>
    </w:p>
    <w:p>
      <w:pPr>
        <w:spacing w:after="0" w:line="1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34" w:name="page35"/>
    <w:bookmarkEnd w:id="34"/>
    <w:p>
      <w:pPr>
        <w:jc w:val="center"/>
        <w:ind w:right="-640"/>
        <w:spacing w:after="0"/>
        <w:rPr>
          <w:sz w:val="20"/>
          <w:szCs w:val="20"/>
          <w:color w:val="auto"/>
        </w:rPr>
      </w:pPr>
      <w:r>
        <w:rPr>
          <w:rFonts w:ascii="Calibri" w:cs="Calibri" w:eastAsia="Calibri" w:hAnsi="Calibri"/>
          <w:sz w:val="18"/>
          <w:szCs w:val="18"/>
          <w:b w:val="1"/>
          <w:bCs w:val="1"/>
          <w:color w:val="auto"/>
        </w:rPr>
        <w:t>REPORT OF THE AUDIT COMMITTEE</w:t>
      </w:r>
    </w:p>
    <w:p>
      <w:pPr>
        <w:spacing w:after="0" w:line="127" w:lineRule="exact"/>
        <w:rPr>
          <w:sz w:val="20"/>
          <w:szCs w:val="20"/>
          <w:color w:val="auto"/>
        </w:rPr>
      </w:pPr>
    </w:p>
    <w:p>
      <w:pPr>
        <w:jc w:val="both"/>
        <w:ind w:left="180" w:right="299" w:firstLine="648"/>
        <w:spacing w:after="0" w:line="250" w:lineRule="auto"/>
        <w:rPr>
          <w:sz w:val="20"/>
          <w:szCs w:val="20"/>
          <w:color w:val="auto"/>
        </w:rPr>
      </w:pPr>
      <w:r>
        <w:rPr>
          <w:rFonts w:ascii="Times New Roman" w:cs="Times New Roman" w:eastAsia="Times New Roman" w:hAnsi="Times New Roman"/>
          <w:sz w:val="18"/>
          <w:szCs w:val="18"/>
          <w:color w:val="auto"/>
        </w:rPr>
        <w:t>The following is the report of the Audit Committee of our Board with respect to our audited financial statements for the fiscal year ended December 31, 2023.</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“filed” with the</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The purpose of the Audit Committee is to assist our Board in its general oversight of our financial reporting, internal controls and audit functions. The Audit Committee operates under a written charter adopted by our</w:t>
      </w:r>
    </w:p>
    <w:p>
      <w:pPr>
        <w:spacing w:after="0" w:line="2" w:lineRule="exact"/>
        <w:rPr>
          <w:sz w:val="20"/>
          <w:szCs w:val="20"/>
          <w:color w:val="auto"/>
        </w:rPr>
      </w:pPr>
    </w:p>
    <w:p>
      <w:pPr>
        <w:jc w:val="both"/>
        <w:ind w:left="180" w:right="299"/>
        <w:spacing w:after="0" w:line="226" w:lineRule="auto"/>
        <w:rPr>
          <w:sz w:val="20"/>
          <w:szCs w:val="20"/>
          <w:color w:val="auto"/>
        </w:rPr>
      </w:pPr>
      <w:r>
        <w:rPr>
          <w:rFonts w:ascii="Times New Roman" w:cs="Times New Roman" w:eastAsia="Times New Roman" w:hAnsi="Times New Roman"/>
          <w:sz w:val="18"/>
          <w:szCs w:val="18"/>
          <w:color w:val="auto"/>
        </w:rPr>
        <w:t>Board. The charter is reviewed periodically and subject to change, as appropriate. The Audit Committee charter describes in greater detail the full responsibilities of the Audit Committee.</w:t>
      </w:r>
    </w:p>
    <w:p>
      <w:pPr>
        <w:spacing w:after="0" w:line="130" w:lineRule="exact"/>
        <w:rPr>
          <w:sz w:val="20"/>
          <w:szCs w:val="20"/>
          <w:color w:val="auto"/>
        </w:rPr>
      </w:pPr>
    </w:p>
    <w:p>
      <w:pPr>
        <w:jc w:val="both"/>
        <w:ind w:left="180" w:right="279" w:firstLine="648"/>
        <w:spacing w:after="0" w:line="213" w:lineRule="auto"/>
        <w:rPr>
          <w:sz w:val="20"/>
          <w:szCs w:val="20"/>
          <w:color w:val="auto"/>
        </w:rPr>
      </w:pPr>
      <w:r>
        <w:rPr>
          <w:rFonts w:ascii="Times New Roman" w:cs="Times New Roman" w:eastAsia="Times New Roman" w:hAnsi="Times New Roman"/>
          <w:sz w:val="18"/>
          <w:szCs w:val="18"/>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America, as well as an opinion on (i) management’s assessment of the effectiveness of internal control over financial reporting and (ii) the effectiveness of internal control over financial reporting.</w:t>
      </w:r>
    </w:p>
    <w:p>
      <w:pPr>
        <w:spacing w:after="0" w:line="130"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w:t>
      </w:r>
    </w:p>
    <w:p>
      <w:pPr>
        <w:spacing w:after="0" w:line="1"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Based on their review of the consolidated financial statements and discussions with and representations from management and Grant Thornton LLP referred to above, the Audit Committee recommended to our Board that the</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audited financial statements be included in our Annual Report on Form 10-K for the year ended December 31, 2023 for filing with the SEC.</w:t>
      </w:r>
    </w:p>
    <w:p>
      <w:pPr>
        <w:spacing w:after="0" w:line="130" w:lineRule="exact"/>
        <w:rPr>
          <w:sz w:val="20"/>
          <w:szCs w:val="20"/>
          <w:color w:val="auto"/>
        </w:rPr>
      </w:pPr>
    </w:p>
    <w:p>
      <w:pPr>
        <w:jc w:val="both"/>
        <w:ind w:left="180" w:right="279" w:firstLine="648"/>
        <w:spacing w:after="0" w:line="226" w:lineRule="auto"/>
        <w:rPr>
          <w:sz w:val="20"/>
          <w:szCs w:val="20"/>
          <w:color w:val="auto"/>
        </w:rPr>
      </w:pPr>
      <w:r>
        <w:rPr>
          <w:rFonts w:ascii="Times New Roman" w:cs="Times New Roman" w:eastAsia="Times New Roman" w:hAnsi="Times New Roman"/>
          <w:sz w:val="18"/>
          <w:szCs w:val="18"/>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In giving its recommendation to our Board, the Audit Committee relied on (1) management’s representation that such financial statements have been prepared with integrity and objectivity and in conformity with accounting</w:t>
      </w:r>
    </w:p>
    <w:p>
      <w:pPr>
        <w:spacing w:after="0" w:line="2" w:lineRule="exact"/>
        <w:rPr>
          <w:sz w:val="20"/>
          <w:szCs w:val="20"/>
          <w:color w:val="auto"/>
        </w:rPr>
      </w:pPr>
    </w:p>
    <w:p>
      <w:pPr>
        <w:jc w:val="both"/>
        <w:ind w:left="180" w:right="279"/>
        <w:spacing w:after="0" w:line="226" w:lineRule="auto"/>
        <w:rPr>
          <w:sz w:val="20"/>
          <w:szCs w:val="20"/>
          <w:color w:val="auto"/>
        </w:rPr>
      </w:pPr>
      <w:r>
        <w:rPr>
          <w:rFonts w:ascii="Times New Roman" w:cs="Times New Roman" w:eastAsia="Times New Roman" w:hAnsi="Times New Roman"/>
          <w:sz w:val="18"/>
          <w:szCs w:val="18"/>
          <w:color w:val="auto"/>
        </w:rPr>
        <w:t>principles generally accepted in the United States and (2) the report of our independent registered public accounting firm with respect to such financial statements.</w:t>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Respectfully submitted by the Audit Committee.</w:t>
      </w:r>
    </w:p>
    <w:p>
      <w:pPr>
        <w:ind w:left="4820"/>
        <w:spacing w:after="0" w:line="203" w:lineRule="auto"/>
        <w:rPr>
          <w:sz w:val="20"/>
          <w:szCs w:val="20"/>
          <w:color w:val="auto"/>
        </w:rPr>
      </w:pPr>
      <w:r>
        <w:rPr>
          <w:rFonts w:ascii="Times New Roman" w:cs="Times New Roman" w:eastAsia="Times New Roman" w:hAnsi="Times New Roman"/>
          <w:sz w:val="18"/>
          <w:szCs w:val="18"/>
          <w:color w:val="auto"/>
        </w:rPr>
        <w:t>Douglas J. McEachern, Chair</w:t>
      </w:r>
    </w:p>
    <w:p>
      <w:pPr>
        <w:ind w:left="4820"/>
        <w:spacing w:after="0" w:line="219" w:lineRule="auto"/>
        <w:rPr>
          <w:sz w:val="20"/>
          <w:szCs w:val="20"/>
          <w:color w:val="auto"/>
        </w:rPr>
      </w:pPr>
      <w:r>
        <w:rPr>
          <w:rFonts w:ascii="Times New Roman" w:cs="Times New Roman" w:eastAsia="Times New Roman" w:hAnsi="Times New Roman"/>
          <w:sz w:val="18"/>
          <w:szCs w:val="18"/>
          <w:color w:val="auto"/>
        </w:rPr>
        <w:t>Dr. Judy Codding</w:t>
      </w:r>
    </w:p>
    <w:p>
      <w:pPr>
        <w:spacing w:after="0" w:line="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Guy Adams</w:t>
      </w:r>
    </w:p>
    <w:p>
      <w:pPr>
        <w:spacing w:after="0" w:line="16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35" w:name="page36"/>
    <w:bookmarkEnd w:id="35"/>
    <w:p>
      <w:pPr>
        <w:ind w:left="258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48" w:lineRule="exact"/>
        <w:rPr>
          <w:sz w:val="20"/>
          <w:szCs w:val="20"/>
          <w:color w:val="auto"/>
        </w:rPr>
      </w:pPr>
    </w:p>
    <w:p>
      <w:pPr>
        <w:ind w:left="180" w:right="760" w:firstLine="648"/>
        <w:spacing w:after="0" w:line="250" w:lineRule="auto"/>
        <w:rPr>
          <w:sz w:val="20"/>
          <w:szCs w:val="20"/>
          <w:color w:val="auto"/>
        </w:rPr>
      </w:pPr>
      <w:r>
        <w:rPr>
          <w:rFonts w:ascii="Times New Roman" w:cs="Times New Roman" w:eastAsia="Times New Roman" w:hAnsi="Times New Roman"/>
          <w:sz w:val="18"/>
          <w:szCs w:val="18"/>
          <w:color w:val="auto"/>
        </w:rPr>
        <w:t>Except as described below, the following table sets forth the shares of Class A Stock and Class B Stock beneficially owned on the Record Date (October 15, 2024) by:</w:t>
      </w:r>
    </w:p>
    <w:p>
      <w:pPr>
        <w:spacing w:after="0" w:line="97" w:lineRule="exact"/>
        <w:rPr>
          <w:sz w:val="20"/>
          <w:szCs w:val="20"/>
          <w:color w:val="auto"/>
        </w:rPr>
      </w:pPr>
    </w:p>
    <w:p>
      <w:pPr>
        <w:ind w:left="1480" w:hanging="324"/>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ind w:left="1480" w:right="760" w:hanging="324"/>
        <w:spacing w:after="0" w:line="211"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(“NEOs”) set forth in the Summary Compensation Table of this Proxy Statement;</w:t>
      </w:r>
    </w:p>
    <w:p>
      <w:pPr>
        <w:ind w:left="1480" w:hanging="324"/>
        <w:spacing w:after="0" w:line="203"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Class B Stock; and</w:t>
      </w:r>
    </w:p>
    <w:p>
      <w:pPr>
        <w:ind w:left="1480" w:hanging="324"/>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38" w:lineRule="exact"/>
        <w:rPr>
          <w:sz w:val="20"/>
          <w:szCs w:val="20"/>
          <w:color w:val="auto"/>
        </w:rPr>
      </w:pPr>
    </w:p>
    <w:p>
      <w:pPr>
        <w:jc w:val="both"/>
        <w:ind w:left="180" w:right="760" w:firstLine="648"/>
        <w:spacing w:after="0" w:line="226" w:lineRule="auto"/>
        <w:rPr>
          <w:sz w:val="20"/>
          <w:szCs w:val="20"/>
          <w:color w:val="auto"/>
        </w:rPr>
      </w:pPr>
      <w:r>
        <w:rPr>
          <w:rFonts w:ascii="Times New Roman" w:cs="Times New Roman" w:eastAsia="Times New Roman" w:hAnsi="Times New Roman"/>
          <w:sz w:val="18"/>
          <w:szCs w:val="18"/>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200" w:lineRule="exact"/>
        <w:rPr>
          <w:sz w:val="20"/>
          <w:szCs w:val="20"/>
          <w:color w:val="auto"/>
        </w:rPr>
      </w:pPr>
    </w:p>
    <w:p>
      <w:pPr>
        <w:spacing w:after="0" w:line="294"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322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4860" w:type="dxa"/>
            <w:vAlign w:val="bottom"/>
            <w:tcBorders>
              <w:top w:val="single" w:sz="8" w:color="auto"/>
              <w:bottom w:val="single" w:sz="8" w:color="auto"/>
            </w:tcBorders>
            <w:gridSpan w:val="4"/>
          </w:tcPr>
          <w:p>
            <w:pPr>
              <w:ind w:left="124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Amount and Nature of Beneficial Ownership </w:t>
            </w:r>
            <w:r>
              <w:rPr>
                <w:rFonts w:ascii="Times New Roman" w:cs="Times New Roman" w:eastAsia="Times New Roman" w:hAnsi="Times New Roman"/>
                <w:sz w:val="8"/>
                <w:szCs w:val="8"/>
                <w:b w:val="1"/>
                <w:bCs w:val="1"/>
                <w:color w:val="auto"/>
              </w:rPr>
              <w:t>(1)</w:t>
            </w:r>
          </w:p>
        </w:tc>
        <w:tc>
          <w:tcPr>
            <w:tcW w:w="124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bottom w:val="single" w:sz="8" w:color="auto"/>
              <w:right w:val="single" w:sz="8" w:color="auto"/>
            </w:tcBorders>
          </w:tcPr>
          <w:p>
            <w:pPr>
              <w:spacing w:after="0"/>
              <w:rPr>
                <w:sz w:val="14"/>
                <w:szCs w:val="14"/>
                <w:color w:val="auto"/>
              </w:rPr>
            </w:pPr>
          </w:p>
        </w:tc>
        <w:tc>
          <w:tcPr>
            <w:tcW w:w="3280" w:type="dxa"/>
            <w:vAlign w:val="bottom"/>
            <w:tcBorders>
              <w:bottom w:val="single" w:sz="8" w:color="auto"/>
              <w:right w:val="single" w:sz="8" w:color="auto"/>
            </w:tcBorders>
            <w:gridSpan w:val="2"/>
          </w:tcPr>
          <w:p>
            <w:pPr>
              <w:jc w:val="right"/>
              <w:ind w:right="531"/>
              <w:spacing w:after="0" w:line="169" w:lineRule="exact"/>
              <w:rPr>
                <w:sz w:val="20"/>
                <w:szCs w:val="20"/>
                <w:color w:val="auto"/>
              </w:rPr>
            </w:pPr>
            <w:r>
              <w:rPr>
                <w:rFonts w:ascii="Times New Roman" w:cs="Times New Roman" w:eastAsia="Times New Roman" w:hAnsi="Times New Roman"/>
                <w:sz w:val="18"/>
                <w:szCs w:val="18"/>
                <w:b w:val="1"/>
                <w:bCs w:val="1"/>
                <w:color w:val="auto"/>
              </w:rPr>
              <w:t>Class A Stock (non-voting)</w:t>
            </w:r>
          </w:p>
        </w:tc>
        <w:tc>
          <w:tcPr>
            <w:tcW w:w="2820" w:type="dxa"/>
            <w:vAlign w:val="bottom"/>
            <w:tcBorders>
              <w:bottom w:val="single" w:sz="8" w:color="auto"/>
              <w:right w:val="single" w:sz="8" w:color="auto"/>
            </w:tcBorders>
            <w:gridSpan w:val="3"/>
          </w:tcPr>
          <w:p>
            <w:pPr>
              <w:jc w:val="right"/>
              <w:ind w:right="491"/>
              <w:spacing w:after="0" w:line="169" w:lineRule="exact"/>
              <w:rPr>
                <w:sz w:val="20"/>
                <w:szCs w:val="20"/>
                <w:color w:val="auto"/>
              </w:rPr>
            </w:pPr>
            <w:r>
              <w:rPr>
                <w:rFonts w:ascii="Times New Roman" w:cs="Times New Roman" w:eastAsia="Times New Roman" w:hAnsi="Times New Roman"/>
                <w:sz w:val="18"/>
                <w:szCs w:val="18"/>
                <w:b w:val="1"/>
                <w:bCs w:val="1"/>
                <w:color w:val="auto"/>
              </w:rPr>
              <w:t>Class B Stock (voting)</w:t>
            </w:r>
          </w:p>
        </w:tc>
        <w:tc>
          <w:tcPr>
            <w:tcW w:w="0" w:type="dxa"/>
            <w:vAlign w:val="bottom"/>
          </w:tcPr>
          <w:p>
            <w:pPr>
              <w:spacing w:after="0"/>
              <w:rPr>
                <w:sz w:val="1"/>
                <w:szCs w:val="1"/>
                <w:color w:val="auto"/>
              </w:rPr>
            </w:pPr>
          </w:p>
        </w:tc>
      </w:tr>
      <w:tr>
        <w:trPr>
          <w:trHeight w:val="142"/>
        </w:trPr>
        <w:tc>
          <w:tcPr>
            <w:tcW w:w="3220" w:type="dxa"/>
            <w:vAlign w:val="bottom"/>
            <w:tcBorders>
              <w:left w:val="single" w:sz="8" w:color="auto"/>
              <w:right w:val="single" w:sz="8" w:color="auto"/>
            </w:tcBorders>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Name and Address of</w:t>
            </w:r>
          </w:p>
        </w:tc>
        <w:tc>
          <w:tcPr>
            <w:tcW w:w="2120" w:type="dxa"/>
            <w:vAlign w:val="bottom"/>
            <w:tcBorders>
              <w:right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160" w:type="dxa"/>
            <w:vAlign w:val="bottom"/>
            <w:tcBorders>
              <w:right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460" w:type="dxa"/>
            <w:vAlign w:val="bottom"/>
            <w:tcBorders>
              <w:right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2"/>
                <w:szCs w:val="12"/>
                <w:color w:val="auto"/>
              </w:rPr>
            </w:pPr>
          </w:p>
        </w:tc>
        <w:tc>
          <w:tcPr>
            <w:tcW w:w="1240" w:type="dxa"/>
            <w:vAlign w:val="bottom"/>
            <w:tcBorders>
              <w:right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16"/>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120" w:type="dxa"/>
            <w:vAlign w:val="bottom"/>
            <w:tcBorders>
              <w:bottom w:val="single" w:sz="8" w:color="auto"/>
              <w:right w:val="single" w:sz="8" w:color="auto"/>
            </w:tcBorders>
            <w:vMerge w:val="continue"/>
          </w:tcPr>
          <w:p>
            <w:pPr>
              <w:spacing w:after="0"/>
              <w:rPr>
                <w:sz w:val="18"/>
                <w:szCs w:val="18"/>
                <w:color w:val="auto"/>
              </w:rPr>
            </w:pPr>
          </w:p>
        </w:tc>
        <w:tc>
          <w:tcPr>
            <w:tcW w:w="1160" w:type="dxa"/>
            <w:vAlign w:val="bottom"/>
            <w:tcBorders>
              <w:bottom w:val="single" w:sz="8" w:color="auto"/>
              <w:right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460" w:type="dxa"/>
            <w:vAlign w:val="bottom"/>
            <w:tcBorders>
              <w:bottom w:val="single" w:sz="8" w:color="auto"/>
              <w:right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bottom w:val="single" w:sz="8" w:color="auto"/>
              <w:right w:val="single" w:sz="8" w:color="CCEEFF"/>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Directors and NEOs</w:t>
            </w:r>
          </w:p>
        </w:tc>
        <w:tc>
          <w:tcPr>
            <w:tcW w:w="2120" w:type="dxa"/>
            <w:vAlign w:val="bottom"/>
            <w:tcBorders>
              <w:bottom w:val="single" w:sz="8" w:color="auto"/>
              <w:right w:val="single" w:sz="8" w:color="CCEEFF"/>
            </w:tcBorders>
            <w:shd w:val="clear" w:color="auto" w:fill="CCEEFF"/>
          </w:tcPr>
          <w:p>
            <w:pPr>
              <w:spacing w:after="0"/>
              <w:rPr>
                <w:sz w:val="14"/>
                <w:szCs w:val="14"/>
                <w:color w:val="auto"/>
              </w:rPr>
            </w:pPr>
          </w:p>
        </w:tc>
        <w:tc>
          <w:tcPr>
            <w:tcW w:w="1160" w:type="dxa"/>
            <w:vAlign w:val="bottom"/>
            <w:tcBorders>
              <w:bottom w:val="single" w:sz="8" w:color="auto"/>
              <w:right w:val="single" w:sz="8" w:color="CCEEFF"/>
            </w:tcBorders>
            <w:shd w:val="clear" w:color="auto" w:fill="CCEEFF"/>
          </w:tcPr>
          <w:p>
            <w:pPr>
              <w:spacing w:after="0"/>
              <w:rPr>
                <w:sz w:val="14"/>
                <w:szCs w:val="14"/>
                <w:color w:val="auto"/>
              </w:rPr>
            </w:pPr>
          </w:p>
        </w:tc>
        <w:tc>
          <w:tcPr>
            <w:tcW w:w="146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Margaret Cotter (2) (5)</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2,517,008</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1,158,988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9"/>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Ellen M. Cotter (3) (5)</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2,574,099</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457,166</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9"/>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Guy W. Adams (6)</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147,367</w:t>
            </w:r>
          </w:p>
        </w:tc>
        <w:tc>
          <w:tcPr>
            <w:tcW w:w="116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 Judy Codding (7)</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131,849</w:t>
            </w:r>
          </w:p>
        </w:tc>
        <w:tc>
          <w:tcPr>
            <w:tcW w:w="116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Douglas J. McEachern (8)</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137,224</w:t>
            </w:r>
          </w:p>
        </w:tc>
        <w:tc>
          <w:tcPr>
            <w:tcW w:w="116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 Craig Tompkins (4)</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127,595</w:t>
            </w:r>
          </w:p>
        </w:tc>
        <w:tc>
          <w:tcPr>
            <w:tcW w:w="116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bottom w:val="single" w:sz="8" w:color="auto"/>
              <w:right w:val="single" w:sz="8" w:color="CCEEFF"/>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20" w:type="dxa"/>
            <w:vAlign w:val="bottom"/>
            <w:tcBorders>
              <w:bottom w:val="single" w:sz="8" w:color="auto"/>
              <w:right w:val="single" w:sz="8" w:color="CCEEFF"/>
            </w:tcBorders>
            <w:shd w:val="clear" w:color="auto" w:fill="CCEEFF"/>
          </w:tcPr>
          <w:p>
            <w:pPr>
              <w:spacing w:after="0"/>
              <w:rPr>
                <w:sz w:val="14"/>
                <w:szCs w:val="14"/>
                <w:color w:val="auto"/>
              </w:rPr>
            </w:pPr>
          </w:p>
        </w:tc>
        <w:tc>
          <w:tcPr>
            <w:tcW w:w="1160" w:type="dxa"/>
            <w:vAlign w:val="bottom"/>
            <w:tcBorders>
              <w:bottom w:val="single" w:sz="8" w:color="auto"/>
              <w:right w:val="single" w:sz="8" w:color="CCEEFF"/>
            </w:tcBorders>
            <w:shd w:val="clear" w:color="auto" w:fill="CCEEFF"/>
          </w:tcPr>
          <w:p>
            <w:pPr>
              <w:spacing w:after="0"/>
              <w:rPr>
                <w:sz w:val="14"/>
                <w:szCs w:val="14"/>
                <w:color w:val="auto"/>
              </w:rPr>
            </w:pPr>
          </w:p>
        </w:tc>
        <w:tc>
          <w:tcPr>
            <w:tcW w:w="146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Borders>
              <w:left w:val="single" w:sz="8" w:color="auto"/>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James J. Cotter Living Trust (5)</w:t>
            </w:r>
          </w:p>
        </w:tc>
        <w:tc>
          <w:tcPr>
            <w:tcW w:w="212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1,163,649</w:t>
            </w:r>
          </w:p>
        </w:tc>
        <w:tc>
          <w:tcPr>
            <w:tcW w:w="116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5.6%</w:t>
            </w:r>
          </w:p>
        </w:tc>
        <w:tc>
          <w:tcPr>
            <w:tcW w:w="1460" w:type="dxa"/>
            <w:vAlign w:val="bottom"/>
            <w:tcBorders>
              <w:right w:val="single" w:sz="8" w:color="auto"/>
            </w:tcBorders>
          </w:tcPr>
          <w:p>
            <w:pPr>
              <w:jc w:val="right"/>
              <w:ind w:right="51"/>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1240" w:type="dxa"/>
            <w:vAlign w:val="bottom"/>
            <w:tcBorders>
              <w:right w:val="single" w:sz="8" w:color="auto"/>
            </w:tcBorders>
          </w:tcPr>
          <w:p>
            <w:pPr>
              <w:jc w:val="right"/>
              <w:ind w:right="51"/>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220" w:type="dxa"/>
            <w:vAlign w:val="bottom"/>
            <w:tcBorders>
              <w:left w:val="single" w:sz="8" w:color="auto"/>
              <w:right w:val="single" w:sz="8" w:color="auto"/>
            </w:tcBorders>
          </w:tcPr>
          <w:p>
            <w:pPr>
              <w:ind w:left="140"/>
              <w:spacing w:after="0" w:line="170" w:lineRule="exact"/>
              <w:rPr>
                <w:sz w:val="20"/>
                <w:szCs w:val="20"/>
                <w:color w:val="auto"/>
              </w:rPr>
            </w:pPr>
            <w:r>
              <w:rPr>
                <w:rFonts w:ascii="Times New Roman" w:cs="Times New Roman" w:eastAsia="Times New Roman" w:hAnsi="Times New Roman"/>
                <w:sz w:val="18"/>
                <w:szCs w:val="18"/>
                <w:color w:val="auto"/>
              </w:rPr>
              <w:t>c/o Reading International, Inc.</w:t>
            </w:r>
          </w:p>
        </w:tc>
        <w:tc>
          <w:tcPr>
            <w:tcW w:w="21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189 Second Avenue</w:t>
            </w:r>
          </w:p>
        </w:tc>
        <w:tc>
          <w:tcPr>
            <w:tcW w:w="21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Suite 2S</w:t>
            </w:r>
          </w:p>
        </w:tc>
        <w:tc>
          <w:tcPr>
            <w:tcW w:w="21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New York, New York 10003</w:t>
            </w:r>
          </w:p>
        </w:tc>
        <w:tc>
          <w:tcPr>
            <w:tcW w:w="21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Estate of James J. Cotter, Sr. (Deceased)</w:t>
            </w:r>
          </w:p>
        </w:tc>
        <w:tc>
          <w:tcPr>
            <w:tcW w:w="212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326,800</w:t>
            </w:r>
          </w:p>
        </w:tc>
        <w:tc>
          <w:tcPr>
            <w:tcW w:w="11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14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71"/>
        </w:trPr>
        <w:tc>
          <w:tcPr>
            <w:tcW w:w="3220" w:type="dxa"/>
            <w:vAlign w:val="bottom"/>
            <w:tcBorders>
              <w:left w:val="single" w:sz="8" w:color="auto"/>
              <w:right w:val="single" w:sz="8" w:color="auto"/>
            </w:tcBorders>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rPr>
              <w:t>(5)</w:t>
            </w:r>
          </w:p>
        </w:tc>
        <w:tc>
          <w:tcPr>
            <w:tcW w:w="2120" w:type="dxa"/>
            <w:vAlign w:val="bottom"/>
            <w:tcBorders>
              <w:right w:val="single" w:sz="8" w:color="auto"/>
            </w:tcBorders>
            <w:shd w:val="clear" w:color="auto" w:fill="CCEEFF"/>
          </w:tcPr>
          <w:p>
            <w:pPr>
              <w:spacing w:after="0"/>
              <w:rPr>
                <w:sz w:val="14"/>
                <w:szCs w:val="14"/>
                <w:color w:val="auto"/>
              </w:rPr>
            </w:pPr>
          </w:p>
        </w:tc>
        <w:tc>
          <w:tcPr>
            <w:tcW w:w="1160" w:type="dxa"/>
            <w:vAlign w:val="bottom"/>
            <w:tcBorders>
              <w:right w:val="single" w:sz="8" w:color="auto"/>
            </w:tcBorders>
            <w:shd w:val="clear" w:color="auto" w:fill="CCEEFF"/>
          </w:tcPr>
          <w:p>
            <w:pPr>
              <w:spacing w:after="0"/>
              <w:rPr>
                <w:sz w:val="14"/>
                <w:szCs w:val="14"/>
                <w:color w:val="auto"/>
              </w:rPr>
            </w:pPr>
          </w:p>
        </w:tc>
        <w:tc>
          <w:tcPr>
            <w:tcW w:w="14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tcBorders>
              <w:left w:val="single" w:sz="8" w:color="auto"/>
              <w:right w:val="single" w:sz="8" w:color="auto"/>
            </w:tcBorders>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c/o Reading International, Inc.</w:t>
            </w:r>
          </w:p>
        </w:tc>
        <w:tc>
          <w:tcPr>
            <w:tcW w:w="212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4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Borders>
              <w:left w:val="single" w:sz="8" w:color="auto"/>
              <w:right w:val="single" w:sz="8" w:color="auto"/>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189 Second Avenue</w:t>
            </w:r>
          </w:p>
        </w:tc>
        <w:tc>
          <w:tcPr>
            <w:tcW w:w="212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4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Borders>
              <w:left w:val="single" w:sz="8" w:color="auto"/>
              <w:right w:val="single" w:sz="8" w:color="auto"/>
            </w:tcBorders>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Suite 2S</w:t>
            </w:r>
          </w:p>
        </w:tc>
        <w:tc>
          <w:tcPr>
            <w:tcW w:w="2120" w:type="dxa"/>
            <w:vAlign w:val="bottom"/>
            <w:tcBorders>
              <w:right w:val="single" w:sz="8" w:color="auto"/>
            </w:tcBorders>
            <w:shd w:val="clear" w:color="auto" w:fill="CCEEFF"/>
          </w:tcPr>
          <w:p>
            <w:pPr>
              <w:spacing w:after="0"/>
              <w:rPr>
                <w:sz w:val="16"/>
                <w:szCs w:val="16"/>
                <w:color w:val="auto"/>
              </w:rPr>
            </w:pPr>
          </w:p>
        </w:tc>
        <w:tc>
          <w:tcPr>
            <w:tcW w:w="1160" w:type="dxa"/>
            <w:vAlign w:val="bottom"/>
            <w:tcBorders>
              <w:right w:val="single" w:sz="8" w:color="auto"/>
            </w:tcBorders>
            <w:shd w:val="clear" w:color="auto" w:fill="CCEEFF"/>
          </w:tcPr>
          <w:p>
            <w:pPr>
              <w:spacing w:after="0"/>
              <w:rPr>
                <w:sz w:val="16"/>
                <w:szCs w:val="16"/>
                <w:color w:val="auto"/>
              </w:rPr>
            </w:pPr>
          </w:p>
        </w:tc>
        <w:tc>
          <w:tcPr>
            <w:tcW w:w="14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 New York 10003</w:t>
            </w:r>
          </w:p>
        </w:tc>
        <w:tc>
          <w:tcPr>
            <w:tcW w:w="2120" w:type="dxa"/>
            <w:vAlign w:val="bottom"/>
            <w:tcBorders>
              <w:bottom w:val="single" w:sz="8" w:color="auto"/>
              <w:right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Mark Cuban (9)</w:t>
            </w:r>
          </w:p>
        </w:tc>
        <w:tc>
          <w:tcPr>
            <w:tcW w:w="2120" w:type="dxa"/>
            <w:vAlign w:val="bottom"/>
            <w:tcBorders>
              <w:right w:val="single" w:sz="8" w:color="auto"/>
            </w:tcBorders>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71"/>
              <w:spacing w:after="0" w:line="15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172,355</w:t>
            </w:r>
          </w:p>
        </w:tc>
        <w:tc>
          <w:tcPr>
            <w:tcW w:w="120" w:type="dxa"/>
            <w:vAlign w:val="bottom"/>
          </w:tcPr>
          <w:p>
            <w:pPr>
              <w:spacing w:after="0"/>
              <w:rPr>
                <w:sz w:val="13"/>
                <w:szCs w:val="13"/>
                <w:color w:val="auto"/>
              </w:rPr>
            </w:pPr>
          </w:p>
        </w:tc>
        <w:tc>
          <w:tcPr>
            <w:tcW w:w="124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71"/>
        </w:trPr>
        <w:tc>
          <w:tcPr>
            <w:tcW w:w="3220" w:type="dxa"/>
            <w:vAlign w:val="bottom"/>
            <w:tcBorders>
              <w:left w:val="single" w:sz="8" w:color="auto"/>
              <w:right w:val="single" w:sz="8" w:color="auto"/>
            </w:tcBorders>
          </w:tcPr>
          <w:p>
            <w:pPr>
              <w:ind w:left="140"/>
              <w:spacing w:after="0" w:line="170" w:lineRule="exact"/>
              <w:rPr>
                <w:sz w:val="20"/>
                <w:szCs w:val="20"/>
                <w:color w:val="auto"/>
              </w:rPr>
            </w:pPr>
            <w:r>
              <w:rPr>
                <w:rFonts w:ascii="Times New Roman" w:cs="Times New Roman" w:eastAsia="Times New Roman" w:hAnsi="Times New Roman"/>
                <w:sz w:val="18"/>
                <w:szCs w:val="18"/>
                <w:color w:val="auto"/>
              </w:rPr>
              <w:t>1229 Slocum Street</w:t>
            </w:r>
          </w:p>
        </w:tc>
        <w:tc>
          <w:tcPr>
            <w:tcW w:w="21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Dallas, Texas 75207</w:t>
            </w:r>
          </w:p>
        </w:tc>
        <w:tc>
          <w:tcPr>
            <w:tcW w:w="21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GAMCO (10)</w:t>
            </w:r>
          </w:p>
        </w:tc>
        <w:tc>
          <w:tcPr>
            <w:tcW w:w="212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505,900</w:t>
            </w:r>
          </w:p>
        </w:tc>
        <w:tc>
          <w:tcPr>
            <w:tcW w:w="11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2.4%</w:t>
            </w:r>
          </w:p>
        </w:tc>
        <w:tc>
          <w:tcPr>
            <w:tcW w:w="146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106,435</w:t>
            </w:r>
          </w:p>
        </w:tc>
        <w:tc>
          <w:tcPr>
            <w:tcW w:w="120" w:type="dxa"/>
            <w:vAlign w:val="bottom"/>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1"/>
        </w:trPr>
        <w:tc>
          <w:tcPr>
            <w:tcW w:w="3220" w:type="dxa"/>
            <w:vAlign w:val="bottom"/>
            <w:tcBorders>
              <w:left w:val="single" w:sz="8" w:color="auto"/>
              <w:right w:val="single" w:sz="8" w:color="auto"/>
            </w:tcBorders>
            <w:shd w:val="clear" w:color="auto" w:fill="CCEEFF"/>
          </w:tcPr>
          <w:p>
            <w:pPr>
              <w:ind w:left="140"/>
              <w:spacing w:after="0" w:line="170" w:lineRule="exact"/>
              <w:rPr>
                <w:sz w:val="20"/>
                <w:szCs w:val="20"/>
                <w:color w:val="auto"/>
              </w:rPr>
            </w:pPr>
            <w:r>
              <w:rPr>
                <w:rFonts w:ascii="Times New Roman" w:cs="Times New Roman" w:eastAsia="Times New Roman" w:hAnsi="Times New Roman"/>
                <w:sz w:val="18"/>
                <w:szCs w:val="18"/>
                <w:color w:val="auto"/>
              </w:rPr>
              <w:t>One Corporate Center</w:t>
            </w:r>
          </w:p>
        </w:tc>
        <w:tc>
          <w:tcPr>
            <w:tcW w:w="2120" w:type="dxa"/>
            <w:vAlign w:val="bottom"/>
            <w:tcBorders>
              <w:right w:val="single" w:sz="8" w:color="auto"/>
            </w:tcBorders>
            <w:shd w:val="clear" w:color="auto" w:fill="CCEEFF"/>
          </w:tcPr>
          <w:p>
            <w:pPr>
              <w:spacing w:after="0"/>
              <w:rPr>
                <w:sz w:val="14"/>
                <w:szCs w:val="14"/>
                <w:color w:val="auto"/>
              </w:rPr>
            </w:pPr>
          </w:p>
        </w:tc>
        <w:tc>
          <w:tcPr>
            <w:tcW w:w="1160" w:type="dxa"/>
            <w:vAlign w:val="bottom"/>
            <w:tcBorders>
              <w:right w:val="single" w:sz="8" w:color="auto"/>
            </w:tcBorders>
            <w:shd w:val="clear" w:color="auto" w:fill="CCEEFF"/>
          </w:tcPr>
          <w:p>
            <w:pPr>
              <w:spacing w:after="0"/>
              <w:rPr>
                <w:sz w:val="14"/>
                <w:szCs w:val="14"/>
                <w:color w:val="auto"/>
              </w:rPr>
            </w:pPr>
          </w:p>
        </w:tc>
        <w:tc>
          <w:tcPr>
            <w:tcW w:w="14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Rye, New York 10580</w:t>
            </w:r>
          </w:p>
        </w:tc>
        <w:tc>
          <w:tcPr>
            <w:tcW w:w="2120" w:type="dxa"/>
            <w:vAlign w:val="bottom"/>
            <w:tcBorders>
              <w:bottom w:val="single" w:sz="8" w:color="auto"/>
              <w:right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212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4,544,600</w:t>
            </w:r>
          </w:p>
        </w:tc>
        <w:tc>
          <w:tcPr>
            <w:tcW w:w="116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21.7%</w:t>
            </w:r>
          </w:p>
        </w:tc>
        <w:tc>
          <w:tcPr>
            <w:tcW w:w="146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1,208,988</w:t>
            </w:r>
          </w:p>
        </w:tc>
        <w:tc>
          <w:tcPr>
            <w:tcW w:w="120" w:type="dxa"/>
            <w:vAlign w:val="bottom"/>
          </w:tcPr>
          <w:p>
            <w:pPr>
              <w:spacing w:after="0"/>
              <w:rPr>
                <w:sz w:val="13"/>
                <w:szCs w:val="13"/>
                <w:color w:val="auto"/>
              </w:rPr>
            </w:pPr>
          </w:p>
        </w:tc>
        <w:tc>
          <w:tcPr>
            <w:tcW w:w="124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bottom w:val="single" w:sz="8" w:color="auto"/>
              <w:right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color w:val="auto"/>
              </w:rPr>
              <w:t>group (15 persons) (11)</w:t>
            </w:r>
          </w:p>
        </w:tc>
        <w:tc>
          <w:tcPr>
            <w:tcW w:w="2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-37465</wp:posOffset>
            </wp:positionV>
            <wp:extent cx="3365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500"/>
          </w:cols>
          <w:pgMar w:left="1440" w:top="468" w:right="959" w:bottom="1440" w:gutter="0" w:footer="0" w:header="0"/>
        </w:sectPr>
      </w:pPr>
    </w:p>
    <w:bookmarkStart w:id="36" w:name="page37"/>
    <w:bookmarkEnd w:id="36"/>
    <w:p>
      <w:pPr>
        <w:jc w:val="both"/>
        <w:ind w:left="420" w:right="279" w:hanging="236"/>
        <w:spacing w:after="0" w:line="276" w:lineRule="auto"/>
        <w:tabs>
          <w:tab w:leader="none" w:pos="40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ownership is determined based on 20,745,594 shares of Class A Stock and 1,680,590 shares of Class B stock outstanding as of October 15, 2024. Beneficial ownership has been determined in accordance with SEC rules. Shares subject to options, RSUs or PRSUs that are currently exercisable or that have vested, or that will become exercisable or have vested within 60 days, following the date as of which this information is provided, are deemed to be beneficially owned by the person holding the options, RSUs or PRSUs and are deemed to be outstanding in computing the percentage ownership of that person, but not in computing the percentage ownership of any other person.</w:t>
      </w:r>
    </w:p>
    <w:p>
      <w:pPr>
        <w:spacing w:after="0" w:line="127" w:lineRule="exact"/>
        <w:rPr>
          <w:rFonts w:ascii="Times New Roman" w:cs="Times New Roman" w:eastAsia="Times New Roman" w:hAnsi="Times New Roman"/>
          <w:sz w:val="14"/>
          <w:szCs w:val="14"/>
          <w:color w:val="auto"/>
        </w:rPr>
      </w:pPr>
    </w:p>
    <w:p>
      <w:pPr>
        <w:jc w:val="both"/>
        <w:ind w:left="420" w:right="279" w:hanging="236"/>
        <w:spacing w:after="0" w:line="221" w:lineRule="auto"/>
        <w:tabs>
          <w:tab w:leader="none" w:pos="38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Stock shown includes 838,852 shares held directly. The Class A Stock shown also includes 84,956 shares held by the James J. Cotter Education Trust #1. Margaret Cotter is sole Trustee of the James J. Cotter Education Trust #1 and, as such, is deemed to beneficially own such shares. The Class A Stock shown includes 326,800 shares of Class A Stock that are part of the Cotter Estate. As Co-Executors of the Cotter Estate, Margaret. Cotter and Ellen M. Cotter are each deemed to beneficially own such shares. The shares of Class A Stock shown includes 1,163,649 shares held by the Cotter Living Trust. See footnote 5 to this table for information regarding beneficial ownership of the shares held by the Cotter Estate and/or the Cotter Living Trust. As Co-Trustees of the Living Trust, Margaret Cotter and Ellen Cotter are each deemed to beneficially own such shares. The Class A Stock shown also includes 102,751 shares held by the Cotter Foundation, of which Margaret Cotter and Ellen M. Cotter are Co-Trustees and accordingly each deemed a beneficial owner.</w:t>
      </w:r>
    </w:p>
    <w:p>
      <w:pPr>
        <w:spacing w:after="0" w:line="137" w:lineRule="exact"/>
        <w:rPr>
          <w:sz w:val="20"/>
          <w:szCs w:val="20"/>
          <w:color w:val="auto"/>
        </w:rPr>
      </w:pPr>
    </w:p>
    <w:p>
      <w:pPr>
        <w:ind w:left="420" w:right="279"/>
        <w:spacing w:after="0" w:line="233" w:lineRule="auto"/>
        <w:rPr>
          <w:sz w:val="20"/>
          <w:szCs w:val="20"/>
          <w:color w:val="auto"/>
        </w:rPr>
      </w:pPr>
      <w:r>
        <w:rPr>
          <w:rFonts w:ascii="Times New Roman" w:cs="Times New Roman" w:eastAsia="Times New Roman" w:hAnsi="Times New Roman"/>
          <w:sz w:val="14"/>
          <w:szCs w:val="14"/>
          <w:color w:val="auto"/>
        </w:rPr>
        <w:t>The Class B Stock shown include 342,266 shares owned directly by Margaret Cotter, 100,000 of shares of Class B stock held by the Cotter Estate, 307,166 shares owned by Ellen M. Cotter but as to which Ellen M. Cotter has granted sole voting power and, pending negotiation and</w:t>
      </w:r>
    </w:p>
    <w:p>
      <w:pPr>
        <w:ind w:left="420" w:right="279"/>
        <w:spacing w:after="0" w:line="211" w:lineRule="auto"/>
        <w:rPr>
          <w:sz w:val="20"/>
          <w:szCs w:val="20"/>
          <w:color w:val="auto"/>
        </w:rPr>
      </w:pPr>
      <w:r>
        <w:rPr>
          <w:rFonts w:ascii="Times New Roman" w:cs="Times New Roman" w:eastAsia="Times New Roman" w:hAnsi="Times New Roman"/>
          <w:sz w:val="14"/>
          <w:szCs w:val="14"/>
          <w:color w:val="auto"/>
        </w:rPr>
        <w:t>execution of a definitive stockholders agreement between them, shared dispositive power to Margaret Cotter, and 409,552 shares held of record by the Cotter Estate and/or the Cotter Living Trust, approved for distribution to a to-be-formed trust for the benefit of the children of Margaret</w:t>
      </w:r>
    </w:p>
    <w:p>
      <w:pPr>
        <w:ind w:left="420" w:right="279"/>
        <w:spacing w:after="0" w:line="211" w:lineRule="auto"/>
        <w:rPr>
          <w:sz w:val="20"/>
          <w:szCs w:val="20"/>
          <w:color w:val="auto"/>
        </w:rPr>
      </w:pPr>
      <w:r>
        <w:rPr>
          <w:rFonts w:ascii="Times New Roman" w:cs="Times New Roman" w:eastAsia="Times New Roman" w:hAnsi="Times New Roman"/>
          <w:sz w:val="14"/>
          <w:szCs w:val="14"/>
          <w:color w:val="auto"/>
        </w:rPr>
        <w:t>Cotter and over which Margaret Cotter has sole voting and dispositive power. Margaret Cotter disclaims beneficial ownership of the shares held by the James J. Cotter Education Trust #1, the Cotter Foundation, the Cotter Estate and the Cotter Living Trust, except to the extent of her</w:t>
      </w:r>
    </w:p>
    <w:p>
      <w:pPr>
        <w:ind w:left="420"/>
        <w:spacing w:after="0"/>
        <w:rPr>
          <w:sz w:val="20"/>
          <w:szCs w:val="20"/>
          <w:color w:val="auto"/>
        </w:rPr>
      </w:pPr>
      <w:r>
        <w:rPr>
          <w:rFonts w:ascii="Times New Roman" w:cs="Times New Roman" w:eastAsia="Times New Roman" w:hAnsi="Times New Roman"/>
          <w:sz w:val="14"/>
          <w:szCs w:val="14"/>
          <w:color w:val="auto"/>
        </w:rPr>
        <w:t>pecuniary interest, if any, in such shares.</w:t>
      </w:r>
    </w:p>
    <w:p>
      <w:pPr>
        <w:spacing w:after="0" w:line="147" w:lineRule="exact"/>
        <w:rPr>
          <w:sz w:val="20"/>
          <w:szCs w:val="20"/>
          <w:color w:val="auto"/>
        </w:rPr>
      </w:pPr>
    </w:p>
    <w:p>
      <w:pPr>
        <w:jc w:val="both"/>
        <w:ind w:left="380" w:right="279" w:hanging="183"/>
        <w:spacing w:after="0" w:line="224"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Stock shown includes 980,899 shares held directly. The Class A Stock shown also includes 102,751 shares held by the Cotter Foundation of which Ellen M. Cotter and Margaret Cotter are Co-Trustees and accordingly, are each deemed to own such shares. The Class A Stock shown also includes 326,800 shares that are part of the Cotter Estate. As Co-Executors of the Cotter Estate, Ellen M. Cotter and Margaret Cotter, are each deemed to beneficially own such shares. The shares of Class A Stock shown also include 1,163,649 shares held by the Cotter Living Trust. See footnote 5 to this table for information regarding beneficial ownership of the shares held by the Cotter Estate and the Cotter Living Trust. As Co-Trustees of the Cotter Living Trust, Ellen M. Cotter and Margaret Cotter are deemed to beneficially own such shares.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Class B Stock shown includes (i) 50,000 shares owned directly by Ellen M. Cotter, (ii) 100,000 of shares of Class B Stock held by the</w:t>
      </w:r>
    </w:p>
    <w:p>
      <w:pPr>
        <w:spacing w:after="0" w:line="4" w:lineRule="exact"/>
        <w:rPr>
          <w:sz w:val="20"/>
          <w:szCs w:val="20"/>
          <w:color w:val="auto"/>
        </w:rPr>
      </w:pPr>
    </w:p>
    <w:p>
      <w:pPr>
        <w:ind w:left="420" w:right="279"/>
        <w:spacing w:after="0" w:line="211" w:lineRule="auto"/>
        <w:rPr>
          <w:sz w:val="20"/>
          <w:szCs w:val="20"/>
          <w:color w:val="auto"/>
        </w:rPr>
      </w:pPr>
      <w:r>
        <w:rPr>
          <w:rFonts w:ascii="Times New Roman" w:cs="Times New Roman" w:eastAsia="Times New Roman" w:hAnsi="Times New Roman"/>
          <w:sz w:val="14"/>
          <w:szCs w:val="14"/>
          <w:color w:val="auto"/>
        </w:rPr>
        <w:t>Cotter Estate and (iii) 307,166 shares of Class B Stock of which Ms. Margaret Cotter has sole voting power and, pending the negotiation and execution of a definitive stockholders agreement between them, shared dispositive power over such shares even though she retains all pecuniary</w:t>
      </w:r>
    </w:p>
    <w:p>
      <w:pPr>
        <w:ind w:left="420" w:right="279"/>
        <w:spacing w:after="0" w:line="239" w:lineRule="auto"/>
        <w:rPr>
          <w:sz w:val="20"/>
          <w:szCs w:val="20"/>
          <w:color w:val="auto"/>
        </w:rPr>
      </w:pPr>
      <w:r>
        <w:rPr>
          <w:rFonts w:ascii="Times New Roman" w:cs="Times New Roman" w:eastAsia="Times New Roman" w:hAnsi="Times New Roman"/>
          <w:sz w:val="14"/>
          <w:szCs w:val="14"/>
          <w:color w:val="auto"/>
        </w:rPr>
        <w:t>interest in such shares. Ellen M. Cotter disclaims beneficial ownership of the shares held by the Cotter Foundation, the Cotter Estate and the Cotter Living Trust, except to the extent of her pecuniary interest, if any, in such shares.</w:t>
      </w:r>
    </w:p>
    <w:p>
      <w:pPr>
        <w:spacing w:after="0" w:line="136" w:lineRule="exact"/>
        <w:rPr>
          <w:sz w:val="20"/>
          <w:szCs w:val="20"/>
          <w:color w:val="auto"/>
        </w:rPr>
      </w:pPr>
    </w:p>
    <w:p>
      <w:pPr>
        <w:ind w:left="380" w:right="279" w:hanging="183"/>
        <w:spacing w:after="0" w:line="241" w:lineRule="auto"/>
        <w:tabs>
          <w:tab w:leader="none" w:pos="3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Stock shown includes 71,770 shares held directly. The Class A Stock shown also includes 55,825 shares held by various retirement accounts, and as such Craig Tompkins is deemed to beneficially own such shares.</w:t>
      </w:r>
    </w:p>
    <w:p>
      <w:pPr>
        <w:spacing w:after="0" w:line="149" w:lineRule="exact"/>
        <w:rPr>
          <w:rFonts w:ascii="Times New Roman" w:cs="Times New Roman" w:eastAsia="Times New Roman" w:hAnsi="Times New Roman"/>
          <w:sz w:val="14"/>
          <w:szCs w:val="14"/>
          <w:color w:val="auto"/>
        </w:rPr>
      </w:pPr>
    </w:p>
    <w:p>
      <w:pPr>
        <w:ind w:left="380" w:right="279" w:hanging="183"/>
        <w:spacing w:after="0" w:line="223" w:lineRule="auto"/>
        <w:tabs>
          <w:tab w:leader="none" w:pos="3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19, 2022, (i) subject to the final administration of the Cotter Estate, 327,808 shares of Class B Stock held of record by the Cotter Estate will be distributed to a to-be-formed trust for the benefit of the children of Margaret Cotter, (ii) 307,166 shares of the</w:t>
      </w:r>
    </w:p>
    <w:p>
      <w:pPr>
        <w:jc w:val="both"/>
        <w:ind w:left="380" w:right="279"/>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Stock held by the Cotter Living Trust were conveyed to Ellen M. Cotter, (iii) 307,166 shares of the Class B Stock held by the Cotter Living Trust were conveyed to Margaret Cotter, and (iv) 81,747 shares of the Class B Stock were approved for distribution to the to-be-formed trust for the benefit of the children of Margaret Cotter. As a result of these transactions, the table sets forth only the residual 100,000 shares of such Class B Stock as beneficially owned by the Cotter Estate and no Class B Stock as beneficially owned by the Cotter Living Trust. Margaret Cotter and Ellen M. Cotter continue to have shared voting and dispositive power over the 100,000 shares of Class B Stock beneficially owned by the Estate. Pursuant to the terms of the settlement agreement, Margaret Cotter now has sole voting and sole dispositive power over the 327,808 shares of Class B Stock held by the Cotter Estate and the 81,747 shares of Class B Stock held by the Cotter Living Trust that are to be distributed to the to-be-formed trust for her children.</w:t>
      </w:r>
    </w:p>
    <w:p>
      <w:pPr>
        <w:spacing w:after="0" w:line="139" w:lineRule="exact"/>
        <w:rPr>
          <w:rFonts w:ascii="Times New Roman" w:cs="Times New Roman" w:eastAsia="Times New Roman" w:hAnsi="Times New Roman"/>
          <w:sz w:val="14"/>
          <w:szCs w:val="14"/>
          <w:color w:val="auto"/>
        </w:rPr>
      </w:pPr>
    </w:p>
    <w:p>
      <w:pPr>
        <w:ind w:left="400" w:hanging="216"/>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shares shown includes 78,148 shares held directly and 69,219 shares subject to stock options.</w:t>
      </w:r>
    </w:p>
    <w:p>
      <w:pPr>
        <w:spacing w:after="0" w:line="163" w:lineRule="exact"/>
        <w:rPr>
          <w:rFonts w:ascii="Times New Roman" w:cs="Times New Roman" w:eastAsia="Times New Roman" w:hAnsi="Times New Roman"/>
          <w:sz w:val="14"/>
          <w:szCs w:val="14"/>
          <w:color w:val="auto"/>
        </w:rPr>
      </w:pPr>
    </w:p>
    <w:p>
      <w:pPr>
        <w:ind w:left="400" w:hanging="216"/>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shares shown includes 62,630 shares held directly and 69,219 shares subject to stock options.</w:t>
      </w:r>
    </w:p>
    <w:p>
      <w:pPr>
        <w:spacing w:after="0" w:line="163" w:lineRule="exact"/>
        <w:rPr>
          <w:rFonts w:ascii="Times New Roman" w:cs="Times New Roman" w:eastAsia="Times New Roman" w:hAnsi="Times New Roman"/>
          <w:sz w:val="14"/>
          <w:szCs w:val="14"/>
          <w:color w:val="auto"/>
        </w:rPr>
      </w:pPr>
    </w:p>
    <w:p>
      <w:pPr>
        <w:ind w:left="400" w:hanging="216"/>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 shares shown includes 68,005 shares held directly and 69,219 shares subject to stock options.</w:t>
      </w:r>
    </w:p>
    <w:p>
      <w:pPr>
        <w:spacing w:after="0" w:line="163" w:lineRule="exact"/>
        <w:rPr>
          <w:rFonts w:ascii="Times New Roman" w:cs="Times New Roman" w:eastAsia="Times New Roman" w:hAnsi="Times New Roman"/>
          <w:sz w:val="14"/>
          <w:szCs w:val="14"/>
          <w:color w:val="auto"/>
        </w:rPr>
      </w:pPr>
    </w:p>
    <w:p>
      <w:pPr>
        <w:ind w:left="400" w:hanging="216"/>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Mr. Cuban's Form 4 filed with the SEC on September 15, 2023.</w:t>
      </w:r>
    </w:p>
    <w:p>
      <w:pPr>
        <w:spacing w:after="0" w:line="163" w:lineRule="exact"/>
        <w:rPr>
          <w:sz w:val="20"/>
          <w:szCs w:val="20"/>
          <w:color w:val="auto"/>
        </w:rPr>
      </w:pPr>
    </w:p>
    <w:p>
      <w:pPr>
        <w:jc w:val="right"/>
        <w:ind w:left="180" w:right="279"/>
        <w:spacing w:after="0" w:line="223" w:lineRule="auto"/>
        <w:rPr>
          <w:sz w:val="20"/>
          <w:szCs w:val="20"/>
          <w:color w:val="auto"/>
        </w:rPr>
      </w:pPr>
      <w:r>
        <w:rPr>
          <w:rFonts w:ascii="Times New Roman" w:cs="Times New Roman" w:eastAsia="Times New Roman" w:hAnsi="Times New Roman"/>
          <w:sz w:val="14"/>
          <w:szCs w:val="14"/>
          <w:color w:val="auto"/>
        </w:rPr>
        <w:t>(10)Based on GAMCO Investors, Inc.’s Schedule 13D/A filed with the SEC on February 2, 2024, on behalf of Mario J. Gabelli (“Mario Gabelli”) and various entities which Mario Gabelli directly or indirectly controls or for which he acts as Chief Investment Officer. Mario Gabelli holds</w:t>
      </w:r>
    </w:p>
    <w:p>
      <w:pPr>
        <w:ind w:left="400" w:right="279"/>
        <w:spacing w:after="0" w:line="239" w:lineRule="auto"/>
        <w:rPr>
          <w:sz w:val="20"/>
          <w:szCs w:val="20"/>
          <w:color w:val="auto"/>
        </w:rPr>
      </w:pPr>
      <w:r>
        <w:rPr>
          <w:rFonts w:ascii="Times New Roman" w:cs="Times New Roman" w:eastAsia="Times New Roman" w:hAnsi="Times New Roman"/>
          <w:sz w:val="14"/>
          <w:szCs w:val="14"/>
          <w:color w:val="auto"/>
        </w:rPr>
        <w:t>101,600 shares of Class B Stock, but the Company has reason to believe that Mr. Gabelli holds an aggregate amount of 106,435 shares of Class B Stock.</w:t>
      </w:r>
    </w:p>
    <w:p>
      <w:pPr>
        <w:spacing w:after="0" w:line="136" w:lineRule="exact"/>
        <w:rPr>
          <w:sz w:val="20"/>
          <w:szCs w:val="20"/>
          <w:color w:val="auto"/>
        </w:rPr>
      </w:pPr>
    </w:p>
    <w:p>
      <w:pPr>
        <w:ind w:left="400" w:right="279" w:hanging="215"/>
        <w:spacing w:after="0" w:line="241" w:lineRule="auto"/>
        <w:rPr>
          <w:sz w:val="20"/>
          <w:szCs w:val="20"/>
          <w:color w:val="auto"/>
        </w:rPr>
      </w:pPr>
      <w:r>
        <w:rPr>
          <w:rFonts w:ascii="Times New Roman" w:cs="Times New Roman" w:eastAsia="Times New Roman" w:hAnsi="Times New Roman"/>
          <w:sz w:val="14"/>
          <w:szCs w:val="14"/>
          <w:color w:val="auto"/>
        </w:rPr>
        <w:t>(11)The Class A Stock shown includes 207,657 shares subject to stock options currently exercisable or exercisable within 60 days, and RSUs that have vested or will vest within 60 days.</w:t>
      </w:r>
    </w:p>
    <w:p>
      <w:pPr>
        <w:spacing w:after="0" w:line="18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94042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all of our executive officers and Directors, and</w:t>
      </w:r>
    </w:p>
    <w:p>
      <w:pPr>
        <w:spacing w:after="0" w:line="2" w:lineRule="exact"/>
        <w:rPr>
          <w:sz w:val="20"/>
          <w:szCs w:val="20"/>
          <w:color w:val="auto"/>
        </w:rPr>
      </w:pPr>
    </w:p>
    <w:p>
      <w:pPr>
        <w:jc w:val="both"/>
        <w:ind w:left="180" w:right="740"/>
        <w:spacing w:after="0" w:line="226" w:lineRule="auto"/>
        <w:rPr>
          <w:sz w:val="20"/>
          <w:szCs w:val="20"/>
          <w:color w:val="auto"/>
        </w:rPr>
      </w:pPr>
      <w:r>
        <w:rPr>
          <w:rFonts w:ascii="Times New Roman" w:cs="Times New Roman" w:eastAsia="Times New Roman" w:hAnsi="Times New Roman"/>
          <w:sz w:val="18"/>
          <w:szCs w:val="18"/>
          <w:color w:val="auto"/>
        </w:rPr>
        <w:t>greater than 10% beneficial owners, complied with the reporting requirements of Section 16(a) during 2023, except as follows:</w:t>
      </w:r>
    </w:p>
    <w:p>
      <w:pPr>
        <w:spacing w:after="0" w:line="140"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3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Number of Late Reports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Transactions</w:t>
            </w:r>
          </w:p>
        </w:tc>
      </w:tr>
      <w:tr>
        <w:trPr>
          <w:trHeight w:val="378"/>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Smerling</w:t>
            </w:r>
          </w:p>
        </w:tc>
        <w:tc>
          <w:tcPr>
            <w:tcW w:w="30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w:t>
            </w:r>
          </w:p>
        </w:tc>
        <w:tc>
          <w:tcPr>
            <w:tcW w:w="24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-376555</wp:posOffset>
            </wp:positionV>
            <wp:extent cx="5897880" cy="42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97880" cy="420370"/>
                    </a:xfrm>
                    <a:prstGeom prst="rect">
                      <a:avLst/>
                    </a:prstGeom>
                    <a:noFill/>
                  </pic:spPr>
                </pic:pic>
              </a:graphicData>
            </a:graphic>
          </wp:anchor>
        </w:drawing>
      </w:r>
    </w:p>
    <w:p>
      <w:pPr>
        <w:spacing w:after="0" w:line="2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Insofar as we are aware, all required filings have now been made.</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both"/>
        <w:ind w:left="180" w:right="74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regarding our current executive officers, other than Chair Margaret Cotter and Vice-Chair Ellen Cotter, whose information is set forth above under “Directors.”</w:t>
      </w:r>
    </w:p>
    <w:p>
      <w:pPr>
        <w:spacing w:after="0" w:line="200" w:lineRule="exact"/>
        <w:rPr>
          <w:sz w:val="20"/>
          <w:szCs w:val="20"/>
          <w:color w:val="auto"/>
        </w:rPr>
      </w:pPr>
    </w:p>
    <w:p>
      <w:pPr>
        <w:spacing w:after="0" w:line="204"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2180" w:type="dxa"/>
            <w:vAlign w:val="bottom"/>
            <w:tcBorders>
              <w:top w:val="single" w:sz="8" w:color="auto"/>
              <w:left w:val="single" w:sz="8" w:color="auto"/>
              <w:bottom w:val="single" w:sz="8" w:color="auto"/>
              <w:right w:val="single" w:sz="8" w:color="auto"/>
            </w:tcBorders>
          </w:tcPr>
          <w:p>
            <w:pPr>
              <w:ind w:left="2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Borders>
              <w:top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Age</w:t>
            </w:r>
          </w:p>
        </w:tc>
        <w:tc>
          <w:tcPr>
            <w:tcW w:w="5920" w:type="dxa"/>
            <w:vAlign w:val="bottom"/>
            <w:tcBorders>
              <w:top w:val="single" w:sz="8" w:color="auto"/>
              <w:bottom w:val="single" w:sz="8" w:color="auto"/>
              <w:right w:val="single" w:sz="8" w:color="auto"/>
            </w:tcBorders>
          </w:tcPr>
          <w:p>
            <w:pPr>
              <w:ind w:left="340"/>
              <w:spacing w:after="0" w:line="189" w:lineRule="exact"/>
              <w:rPr>
                <w:sz w:val="20"/>
                <w:szCs w:val="20"/>
                <w:color w:val="auto"/>
              </w:rPr>
            </w:pPr>
            <w:r>
              <w:rPr>
                <w:rFonts w:ascii="Times New Roman" w:cs="Times New Roman" w:eastAsia="Times New Roman" w:hAnsi="Times New Roman"/>
                <w:sz w:val="18"/>
                <w:szCs w:val="18"/>
                <w:b w:val="1"/>
                <w:bCs w:val="1"/>
                <w:color w:val="auto"/>
              </w:rPr>
              <w:t>Title</w:t>
            </w:r>
          </w:p>
        </w:tc>
      </w:tr>
      <w:tr>
        <w:trPr>
          <w:trHeight w:val="151"/>
        </w:trPr>
        <w:tc>
          <w:tcPr>
            <w:tcW w:w="2180" w:type="dxa"/>
            <w:vAlign w:val="bottom"/>
            <w:tcBorders>
              <w:left w:val="single" w:sz="8" w:color="auto"/>
              <w:right w:val="single" w:sz="8" w:color="auto"/>
            </w:tcBorders>
            <w:shd w:val="clear" w:color="auto" w:fill="C6E5FE"/>
          </w:tcPr>
          <w:p>
            <w:pPr>
              <w:ind w:left="240"/>
              <w:spacing w:after="0" w:line="150" w:lineRule="exact"/>
              <w:rPr>
                <w:sz w:val="20"/>
                <w:szCs w:val="20"/>
                <w:color w:val="auto"/>
              </w:rPr>
            </w:pPr>
            <w:r>
              <w:rPr>
                <w:rFonts w:ascii="Times New Roman" w:cs="Times New Roman" w:eastAsia="Times New Roman" w:hAnsi="Times New Roman"/>
                <w:sz w:val="17"/>
                <w:szCs w:val="17"/>
                <w:color w:val="auto"/>
              </w:rPr>
              <w:t>Gilbert</w:t>
            </w:r>
          </w:p>
        </w:tc>
        <w:tc>
          <w:tcPr>
            <w:tcW w:w="1220" w:type="dxa"/>
            <w:vAlign w:val="bottom"/>
            <w:tcBorders>
              <w:right w:val="single" w:sz="8" w:color="auto"/>
            </w:tcBorders>
            <w:shd w:val="clear" w:color="auto" w:fill="C6E5FE"/>
          </w:tcPr>
          <w:p>
            <w:pPr>
              <w:jc w:val="center"/>
              <w:spacing w:after="0" w:line="150" w:lineRule="exact"/>
              <w:rPr>
                <w:sz w:val="20"/>
                <w:szCs w:val="20"/>
                <w:color w:val="auto"/>
              </w:rPr>
            </w:pPr>
            <w:r>
              <w:rPr>
                <w:rFonts w:ascii="Times New Roman" w:cs="Times New Roman" w:eastAsia="Times New Roman" w:hAnsi="Times New Roman"/>
                <w:sz w:val="17"/>
                <w:szCs w:val="17"/>
                <w:color w:val="auto"/>
              </w:rPr>
              <w:t>50</w:t>
            </w:r>
          </w:p>
        </w:tc>
        <w:tc>
          <w:tcPr>
            <w:tcW w:w="5920" w:type="dxa"/>
            <w:vAlign w:val="bottom"/>
            <w:tcBorders>
              <w:right w:val="single" w:sz="8" w:color="auto"/>
            </w:tcBorders>
            <w:shd w:val="clear" w:color="auto" w:fill="C6E5FE"/>
          </w:tcPr>
          <w:p>
            <w:pPr>
              <w:ind w:left="100"/>
              <w:spacing w:after="0" w:line="150" w:lineRule="exact"/>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r>
      <w:tr>
        <w:trPr>
          <w:trHeight w:val="221"/>
        </w:trPr>
        <w:tc>
          <w:tcPr>
            <w:tcW w:w="2180" w:type="dxa"/>
            <w:vAlign w:val="bottom"/>
            <w:tcBorders>
              <w:left w:val="single" w:sz="8" w:color="auto"/>
              <w:bottom w:val="single" w:sz="8" w:color="auto"/>
              <w:right w:val="single" w:sz="8" w:color="auto"/>
            </w:tcBorders>
            <w:shd w:val="clear" w:color="auto" w:fill="C6E5FE"/>
          </w:tcPr>
          <w:p>
            <w:pPr>
              <w:ind w:left="240"/>
              <w:spacing w:after="0"/>
              <w:rPr>
                <w:sz w:val="20"/>
                <w:szCs w:val="20"/>
                <w:color w:val="auto"/>
              </w:rPr>
            </w:pPr>
            <w:r>
              <w:rPr>
                <w:rFonts w:ascii="Times New Roman" w:cs="Times New Roman" w:eastAsia="Times New Roman" w:hAnsi="Times New Roman"/>
                <w:sz w:val="18"/>
                <w:szCs w:val="18"/>
                <w:color w:val="auto"/>
              </w:rPr>
              <w:t>Avanes</w:t>
            </w:r>
          </w:p>
        </w:tc>
        <w:tc>
          <w:tcPr>
            <w:tcW w:w="1220" w:type="dxa"/>
            <w:vAlign w:val="bottom"/>
            <w:tcBorders>
              <w:bottom w:val="single" w:sz="8" w:color="auto"/>
              <w:right w:val="single" w:sz="8" w:color="auto"/>
            </w:tcBorders>
            <w:shd w:val="clear" w:color="auto" w:fill="C6E5FE"/>
          </w:tcPr>
          <w:p>
            <w:pPr>
              <w:spacing w:after="0"/>
              <w:rPr>
                <w:sz w:val="19"/>
                <w:szCs w:val="19"/>
                <w:color w:val="auto"/>
              </w:rPr>
            </w:pPr>
          </w:p>
        </w:tc>
        <w:tc>
          <w:tcPr>
            <w:tcW w:w="5920" w:type="dxa"/>
            <w:vAlign w:val="bottom"/>
            <w:tcBorders>
              <w:bottom w:val="single" w:sz="8" w:color="auto"/>
              <w:right w:val="single" w:sz="8" w:color="auto"/>
            </w:tcBorders>
            <w:shd w:val="clear" w:color="auto" w:fill="C6E5FE"/>
          </w:tcPr>
          <w:p>
            <w:pPr>
              <w:spacing w:after="0"/>
              <w:rPr>
                <w:sz w:val="19"/>
                <w:szCs w:val="19"/>
                <w:color w:val="auto"/>
              </w:rPr>
            </w:pPr>
          </w:p>
        </w:tc>
      </w:tr>
      <w:tr>
        <w:trPr>
          <w:trHeight w:val="228"/>
        </w:trPr>
        <w:tc>
          <w:tcPr>
            <w:tcW w:w="21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Robert F. Smerling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U.S. Cinemas</w:t>
            </w:r>
          </w:p>
        </w:tc>
      </w:tr>
      <w:tr>
        <w:trPr>
          <w:trHeight w:val="144"/>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920" w:type="dxa"/>
            <w:vAlign w:val="bottom"/>
            <w:tcBorders>
              <w:bottom w:val="single" w:sz="8" w:color="auto"/>
              <w:right w:val="single" w:sz="8" w:color="auto"/>
            </w:tcBorders>
          </w:tcPr>
          <w:p>
            <w:pPr>
              <w:spacing w:after="0"/>
              <w:rPr>
                <w:sz w:val="12"/>
                <w:szCs w:val="12"/>
                <w:color w:val="auto"/>
              </w:rPr>
            </w:pPr>
          </w:p>
        </w:tc>
      </w:tr>
      <w:tr>
        <w:trPr>
          <w:trHeight w:val="228"/>
        </w:trPr>
        <w:tc>
          <w:tcPr>
            <w:tcW w:w="2180" w:type="dxa"/>
            <w:vAlign w:val="bottom"/>
            <w:tcBorders>
              <w:left w:val="single" w:sz="8" w:color="auto"/>
              <w:right w:val="single" w:sz="8" w:color="auto"/>
            </w:tcBorders>
            <w:shd w:val="clear" w:color="auto" w:fill="C6E5FE"/>
          </w:tcPr>
          <w:p>
            <w:pPr>
              <w:ind w:left="240"/>
              <w:spacing w:after="0"/>
              <w:rPr>
                <w:sz w:val="20"/>
                <w:szCs w:val="20"/>
                <w:color w:val="auto"/>
              </w:rPr>
            </w:pPr>
            <w:r>
              <w:rPr>
                <w:rFonts w:ascii="Times New Roman" w:cs="Times New Roman" w:eastAsia="Times New Roman" w:hAnsi="Times New Roman"/>
                <w:sz w:val="18"/>
                <w:szCs w:val="18"/>
                <w:color w:val="auto"/>
              </w:rPr>
              <w:t>S. Craig Tompkins</w:t>
            </w:r>
          </w:p>
        </w:tc>
        <w:tc>
          <w:tcPr>
            <w:tcW w:w="122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5920" w:type="dxa"/>
            <w:vAlign w:val="bottom"/>
            <w:tcBorders>
              <w:right w:val="single" w:sz="8" w:color="auto"/>
            </w:tcBorders>
            <w:shd w:val="clear" w:color="auto" w:fill="C6E5FE"/>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144"/>
        </w:trPr>
        <w:tc>
          <w:tcPr>
            <w:tcW w:w="2180" w:type="dxa"/>
            <w:vAlign w:val="bottom"/>
            <w:tcBorders>
              <w:left w:val="single" w:sz="8" w:color="auto"/>
              <w:bottom w:val="single" w:sz="8" w:color="auto"/>
              <w:right w:val="single" w:sz="8" w:color="auto"/>
            </w:tcBorders>
            <w:shd w:val="clear" w:color="auto" w:fill="C6E5FE"/>
          </w:tcPr>
          <w:p>
            <w:pPr>
              <w:spacing w:after="0"/>
              <w:rPr>
                <w:sz w:val="12"/>
                <w:szCs w:val="12"/>
                <w:color w:val="auto"/>
              </w:rPr>
            </w:pPr>
          </w:p>
        </w:tc>
        <w:tc>
          <w:tcPr>
            <w:tcW w:w="1220" w:type="dxa"/>
            <w:vAlign w:val="bottom"/>
            <w:tcBorders>
              <w:bottom w:val="single" w:sz="8" w:color="auto"/>
              <w:right w:val="single" w:sz="8" w:color="auto"/>
            </w:tcBorders>
            <w:shd w:val="clear" w:color="auto" w:fill="C6E5FE"/>
          </w:tcPr>
          <w:p>
            <w:pPr>
              <w:spacing w:after="0"/>
              <w:rPr>
                <w:sz w:val="12"/>
                <w:szCs w:val="12"/>
                <w:color w:val="auto"/>
              </w:rPr>
            </w:pPr>
          </w:p>
        </w:tc>
        <w:tc>
          <w:tcPr>
            <w:tcW w:w="5920" w:type="dxa"/>
            <w:vAlign w:val="bottom"/>
            <w:tcBorders>
              <w:bottom w:val="single" w:sz="8" w:color="auto"/>
              <w:right w:val="single" w:sz="8" w:color="auto"/>
            </w:tcBorders>
            <w:shd w:val="clear" w:color="auto" w:fill="C6E5FE"/>
          </w:tcPr>
          <w:p>
            <w:pPr>
              <w:spacing w:after="0"/>
              <w:rPr>
                <w:sz w:val="12"/>
                <w:szCs w:val="12"/>
                <w:color w:val="auto"/>
              </w:rPr>
            </w:pPr>
          </w:p>
        </w:tc>
      </w:tr>
      <w:tr>
        <w:trPr>
          <w:trHeight w:val="228"/>
        </w:trPr>
        <w:tc>
          <w:tcPr>
            <w:tcW w:w="21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Andrzej Matyczynski</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Vice President, Global Operations</w:t>
            </w:r>
          </w:p>
        </w:tc>
      </w:tr>
      <w:tr>
        <w:trPr>
          <w:trHeight w:val="144"/>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920" w:type="dxa"/>
            <w:vAlign w:val="bottom"/>
            <w:tcBorders>
              <w:bottom w:val="single" w:sz="8" w:color="auto"/>
              <w:right w:val="single" w:sz="8" w:color="auto"/>
            </w:tcBorders>
          </w:tcPr>
          <w:p>
            <w:pPr>
              <w:spacing w:after="0"/>
              <w:rPr>
                <w:sz w:val="12"/>
                <w:szCs w:val="12"/>
                <w:color w:val="auto"/>
              </w:rPr>
            </w:pPr>
          </w:p>
        </w:tc>
      </w:tr>
      <w:tr>
        <w:trPr>
          <w:trHeight w:val="228"/>
        </w:trPr>
        <w:tc>
          <w:tcPr>
            <w:tcW w:w="2180" w:type="dxa"/>
            <w:vAlign w:val="bottom"/>
            <w:tcBorders>
              <w:left w:val="single" w:sz="8" w:color="auto"/>
              <w:right w:val="single" w:sz="8" w:color="auto"/>
            </w:tcBorders>
            <w:shd w:val="clear" w:color="auto" w:fill="C6E5FE"/>
          </w:tcPr>
          <w:p>
            <w:pPr>
              <w:ind w:left="240"/>
              <w:spacing w:after="0"/>
              <w:rPr>
                <w:sz w:val="20"/>
                <w:szCs w:val="20"/>
                <w:color w:val="auto"/>
              </w:rPr>
            </w:pPr>
            <w:r>
              <w:rPr>
                <w:rFonts w:ascii="Times New Roman" w:cs="Times New Roman" w:eastAsia="Times New Roman" w:hAnsi="Times New Roman"/>
                <w:sz w:val="18"/>
                <w:szCs w:val="18"/>
                <w:color w:val="auto"/>
              </w:rPr>
              <w:t>John Goeddel</w:t>
            </w:r>
          </w:p>
        </w:tc>
        <w:tc>
          <w:tcPr>
            <w:tcW w:w="122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920" w:type="dxa"/>
            <w:vAlign w:val="bottom"/>
            <w:tcBorders>
              <w:right w:val="single" w:sz="8" w:color="auto"/>
            </w:tcBorders>
            <w:shd w:val="clear" w:color="auto" w:fill="C6E5FE"/>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Information Officer</w:t>
            </w:r>
          </w:p>
        </w:tc>
      </w:tr>
      <w:tr>
        <w:trPr>
          <w:trHeight w:val="144"/>
        </w:trPr>
        <w:tc>
          <w:tcPr>
            <w:tcW w:w="2180" w:type="dxa"/>
            <w:vAlign w:val="bottom"/>
            <w:tcBorders>
              <w:left w:val="single" w:sz="8" w:color="auto"/>
              <w:bottom w:val="single" w:sz="8" w:color="auto"/>
              <w:right w:val="single" w:sz="8" w:color="auto"/>
            </w:tcBorders>
            <w:shd w:val="clear" w:color="auto" w:fill="C6E5FE"/>
          </w:tcPr>
          <w:p>
            <w:pPr>
              <w:spacing w:after="0"/>
              <w:rPr>
                <w:sz w:val="12"/>
                <w:szCs w:val="12"/>
                <w:color w:val="auto"/>
              </w:rPr>
            </w:pPr>
          </w:p>
        </w:tc>
        <w:tc>
          <w:tcPr>
            <w:tcW w:w="1220" w:type="dxa"/>
            <w:vAlign w:val="bottom"/>
            <w:tcBorders>
              <w:bottom w:val="single" w:sz="8" w:color="auto"/>
              <w:right w:val="single" w:sz="8" w:color="auto"/>
            </w:tcBorders>
            <w:shd w:val="clear" w:color="auto" w:fill="C6E5FE"/>
          </w:tcPr>
          <w:p>
            <w:pPr>
              <w:spacing w:after="0"/>
              <w:rPr>
                <w:sz w:val="12"/>
                <w:szCs w:val="12"/>
                <w:color w:val="auto"/>
              </w:rPr>
            </w:pPr>
          </w:p>
        </w:tc>
        <w:tc>
          <w:tcPr>
            <w:tcW w:w="5920" w:type="dxa"/>
            <w:vAlign w:val="bottom"/>
            <w:tcBorders>
              <w:bottom w:val="single" w:sz="8" w:color="auto"/>
              <w:right w:val="single" w:sz="8" w:color="auto"/>
            </w:tcBorders>
            <w:shd w:val="clear" w:color="auto" w:fill="C6E5FE"/>
          </w:tcPr>
          <w:p>
            <w:pPr>
              <w:spacing w:after="0"/>
              <w:rPr>
                <w:sz w:val="12"/>
                <w:szCs w:val="12"/>
                <w:color w:val="auto"/>
              </w:rPr>
            </w:pPr>
          </w:p>
        </w:tc>
      </w:tr>
      <w:tr>
        <w:trPr>
          <w:trHeight w:val="228"/>
        </w:trPr>
        <w:tc>
          <w:tcPr>
            <w:tcW w:w="21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Terri Moore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Vice President, US Cinemas Operations</w:t>
            </w:r>
          </w:p>
        </w:tc>
      </w:tr>
      <w:tr>
        <w:trPr>
          <w:trHeight w:val="144"/>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920" w:type="dxa"/>
            <w:vAlign w:val="bottom"/>
            <w:tcBorders>
              <w:bottom w:val="single" w:sz="8" w:color="auto"/>
              <w:right w:val="single" w:sz="8" w:color="auto"/>
            </w:tcBorders>
          </w:tcPr>
          <w:p>
            <w:pPr>
              <w:spacing w:after="0"/>
              <w:rPr>
                <w:sz w:val="12"/>
                <w:szCs w:val="12"/>
                <w:color w:val="auto"/>
              </w:rPr>
            </w:pPr>
          </w:p>
        </w:tc>
      </w:tr>
      <w:tr>
        <w:trPr>
          <w:trHeight w:val="228"/>
        </w:trPr>
        <w:tc>
          <w:tcPr>
            <w:tcW w:w="2180" w:type="dxa"/>
            <w:vAlign w:val="bottom"/>
            <w:tcBorders>
              <w:left w:val="single" w:sz="8" w:color="auto"/>
              <w:right w:val="single" w:sz="8" w:color="auto"/>
            </w:tcBorders>
            <w:shd w:val="clear" w:color="auto" w:fill="C6E5FE"/>
          </w:tcPr>
          <w:p>
            <w:pPr>
              <w:ind w:left="240"/>
              <w:spacing w:after="0"/>
              <w:rPr>
                <w:sz w:val="20"/>
                <w:szCs w:val="20"/>
                <w:color w:val="auto"/>
              </w:rPr>
            </w:pPr>
            <w:r>
              <w:rPr>
                <w:rFonts w:ascii="Times New Roman" w:cs="Times New Roman" w:eastAsia="Times New Roman" w:hAnsi="Times New Roman"/>
                <w:sz w:val="18"/>
                <w:szCs w:val="18"/>
                <w:color w:val="auto"/>
              </w:rPr>
              <w:t>Steve Lucas</w:t>
            </w:r>
          </w:p>
        </w:tc>
        <w:tc>
          <w:tcPr>
            <w:tcW w:w="122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920" w:type="dxa"/>
            <w:vAlign w:val="bottom"/>
            <w:tcBorders>
              <w:right w:val="single" w:sz="8" w:color="auto"/>
            </w:tcBorders>
            <w:shd w:val="clear" w:color="auto" w:fill="C6E5FE"/>
          </w:tcPr>
          <w:p>
            <w:pPr>
              <w:ind w:left="10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144"/>
        </w:trPr>
        <w:tc>
          <w:tcPr>
            <w:tcW w:w="2180" w:type="dxa"/>
            <w:vAlign w:val="bottom"/>
            <w:tcBorders>
              <w:left w:val="single" w:sz="8" w:color="auto"/>
              <w:bottom w:val="single" w:sz="8" w:color="auto"/>
              <w:right w:val="single" w:sz="8" w:color="auto"/>
            </w:tcBorders>
            <w:shd w:val="clear" w:color="auto" w:fill="C6E5FE"/>
          </w:tcPr>
          <w:p>
            <w:pPr>
              <w:spacing w:after="0"/>
              <w:rPr>
                <w:sz w:val="12"/>
                <w:szCs w:val="12"/>
                <w:color w:val="auto"/>
              </w:rPr>
            </w:pPr>
          </w:p>
        </w:tc>
        <w:tc>
          <w:tcPr>
            <w:tcW w:w="1220" w:type="dxa"/>
            <w:vAlign w:val="bottom"/>
            <w:tcBorders>
              <w:bottom w:val="single" w:sz="8" w:color="auto"/>
              <w:right w:val="single" w:sz="8" w:color="auto"/>
            </w:tcBorders>
            <w:shd w:val="clear" w:color="auto" w:fill="C6E5FE"/>
          </w:tcPr>
          <w:p>
            <w:pPr>
              <w:spacing w:after="0"/>
              <w:rPr>
                <w:sz w:val="12"/>
                <w:szCs w:val="12"/>
                <w:color w:val="auto"/>
              </w:rPr>
            </w:pPr>
          </w:p>
        </w:tc>
        <w:tc>
          <w:tcPr>
            <w:tcW w:w="5920" w:type="dxa"/>
            <w:vAlign w:val="bottom"/>
            <w:tcBorders>
              <w:bottom w:val="single" w:sz="8" w:color="auto"/>
              <w:right w:val="single" w:sz="8" w:color="auto"/>
            </w:tcBorders>
            <w:shd w:val="clear" w:color="auto" w:fill="C6E5FE"/>
          </w:tcPr>
          <w:p>
            <w:pPr>
              <w:spacing w:after="0"/>
              <w:rPr>
                <w:sz w:val="12"/>
                <w:szCs w:val="12"/>
                <w:color w:val="auto"/>
              </w:rPr>
            </w:pPr>
          </w:p>
        </w:tc>
      </w:tr>
      <w:tr>
        <w:trPr>
          <w:trHeight w:val="228"/>
        </w:trPr>
        <w:tc>
          <w:tcPr>
            <w:tcW w:w="21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Mark Douglas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 – Australia and New Zealand</w:t>
            </w:r>
          </w:p>
        </w:tc>
      </w:tr>
      <w:tr>
        <w:trPr>
          <w:trHeight w:val="144"/>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5920" w:type="dxa"/>
            <w:vAlign w:val="bottom"/>
            <w:tcBorders>
              <w:bottom w:val="single" w:sz="8" w:color="auto"/>
              <w:right w:val="single" w:sz="8" w:color="auto"/>
            </w:tcBorders>
          </w:tcPr>
          <w:p>
            <w:pPr>
              <w:spacing w:after="0"/>
              <w:rPr>
                <w:sz w:val="12"/>
                <w:szCs w:val="12"/>
                <w:color w:val="auto"/>
              </w:rPr>
            </w:pPr>
          </w:p>
        </w:tc>
      </w:tr>
      <w:tr>
        <w:trPr>
          <w:trHeight w:val="151"/>
        </w:trPr>
        <w:tc>
          <w:tcPr>
            <w:tcW w:w="2180" w:type="dxa"/>
            <w:vAlign w:val="bottom"/>
            <w:tcBorders>
              <w:left w:val="single" w:sz="8" w:color="auto"/>
              <w:right w:val="single" w:sz="8" w:color="auto"/>
            </w:tcBorders>
            <w:shd w:val="clear" w:color="auto" w:fill="BCDAF6"/>
          </w:tcPr>
          <w:p>
            <w:pPr>
              <w:ind w:left="240"/>
              <w:spacing w:after="0" w:line="150" w:lineRule="exact"/>
              <w:rPr>
                <w:sz w:val="20"/>
                <w:szCs w:val="20"/>
                <w:color w:val="auto"/>
              </w:rPr>
            </w:pPr>
            <w:r>
              <w:rPr>
                <w:rFonts w:ascii="Times New Roman" w:cs="Times New Roman" w:eastAsia="Times New Roman" w:hAnsi="Times New Roman"/>
                <w:sz w:val="17"/>
                <w:szCs w:val="17"/>
                <w:color w:val="auto"/>
              </w:rPr>
              <w:t>Sandra</w:t>
            </w:r>
          </w:p>
        </w:tc>
        <w:tc>
          <w:tcPr>
            <w:tcW w:w="1220" w:type="dxa"/>
            <w:vAlign w:val="bottom"/>
            <w:tcBorders>
              <w:right w:val="single" w:sz="8" w:color="auto"/>
            </w:tcBorders>
            <w:shd w:val="clear" w:color="auto" w:fill="BCDAF6"/>
          </w:tcPr>
          <w:p>
            <w:pPr>
              <w:jc w:val="center"/>
              <w:spacing w:after="0" w:line="150" w:lineRule="exact"/>
              <w:rPr>
                <w:sz w:val="20"/>
                <w:szCs w:val="20"/>
                <w:color w:val="auto"/>
              </w:rPr>
            </w:pPr>
            <w:r>
              <w:rPr>
                <w:rFonts w:ascii="Times New Roman" w:cs="Times New Roman" w:eastAsia="Times New Roman" w:hAnsi="Times New Roman"/>
                <w:sz w:val="17"/>
                <w:szCs w:val="17"/>
                <w:color w:val="auto"/>
              </w:rPr>
              <w:t>51</w:t>
            </w:r>
          </w:p>
        </w:tc>
        <w:tc>
          <w:tcPr>
            <w:tcW w:w="5920" w:type="dxa"/>
            <w:vAlign w:val="bottom"/>
            <w:tcBorders>
              <w:right w:val="single" w:sz="8" w:color="auto"/>
            </w:tcBorders>
            <w:shd w:val="clear" w:color="auto" w:fill="BCDAF6"/>
          </w:tcPr>
          <w:p>
            <w:pPr>
              <w:ind w:left="100"/>
              <w:spacing w:after="0" w:line="150" w:lineRule="exact"/>
              <w:rPr>
                <w:sz w:val="20"/>
                <w:szCs w:val="20"/>
                <w:color w:val="auto"/>
              </w:rPr>
            </w:pPr>
            <w:r>
              <w:rPr>
                <w:rFonts w:ascii="Times New Roman" w:cs="Times New Roman" w:eastAsia="Times New Roman" w:hAnsi="Times New Roman"/>
                <w:sz w:val="17"/>
                <w:szCs w:val="17"/>
                <w:color w:val="auto"/>
              </w:rPr>
              <w:t>Associate General Counsel and Corporate Secretary</w:t>
            </w:r>
          </w:p>
        </w:tc>
      </w:tr>
      <w:tr>
        <w:trPr>
          <w:trHeight w:val="221"/>
        </w:trPr>
        <w:tc>
          <w:tcPr>
            <w:tcW w:w="2180" w:type="dxa"/>
            <w:vAlign w:val="bottom"/>
            <w:tcBorders>
              <w:left w:val="single" w:sz="8" w:color="auto"/>
              <w:bottom w:val="single" w:sz="8" w:color="auto"/>
              <w:right w:val="single" w:sz="8" w:color="auto"/>
            </w:tcBorders>
            <w:shd w:val="clear" w:color="auto" w:fill="BCDAF6"/>
          </w:tcPr>
          <w:p>
            <w:pPr>
              <w:ind w:left="240"/>
              <w:spacing w:after="0"/>
              <w:rPr>
                <w:sz w:val="20"/>
                <w:szCs w:val="20"/>
                <w:color w:val="auto"/>
              </w:rPr>
            </w:pPr>
            <w:r>
              <w:rPr>
                <w:rFonts w:ascii="Times New Roman" w:cs="Times New Roman" w:eastAsia="Times New Roman" w:hAnsi="Times New Roman"/>
                <w:sz w:val="18"/>
                <w:szCs w:val="18"/>
                <w:color w:val="auto"/>
              </w:rPr>
              <w:t>Herrera</w:t>
            </w:r>
          </w:p>
        </w:tc>
        <w:tc>
          <w:tcPr>
            <w:tcW w:w="1220" w:type="dxa"/>
            <w:vAlign w:val="bottom"/>
            <w:tcBorders>
              <w:bottom w:val="single" w:sz="8" w:color="auto"/>
              <w:right w:val="single" w:sz="8" w:color="auto"/>
            </w:tcBorders>
            <w:shd w:val="clear" w:color="auto" w:fill="BCDAF6"/>
          </w:tcPr>
          <w:p>
            <w:pPr>
              <w:spacing w:after="0"/>
              <w:rPr>
                <w:sz w:val="19"/>
                <w:szCs w:val="19"/>
                <w:color w:val="auto"/>
              </w:rPr>
            </w:pPr>
          </w:p>
        </w:tc>
        <w:tc>
          <w:tcPr>
            <w:tcW w:w="5920" w:type="dxa"/>
            <w:vAlign w:val="bottom"/>
            <w:tcBorders>
              <w:bottom w:val="single" w:sz="8" w:color="auto"/>
              <w:right w:val="single" w:sz="8" w:color="auto"/>
            </w:tcBorders>
            <w:shd w:val="clear" w:color="auto" w:fill="BCDAF6"/>
          </w:tcPr>
          <w:p>
            <w:pPr>
              <w:spacing w:after="0"/>
              <w:rPr>
                <w:sz w:val="19"/>
                <w:szCs w:val="19"/>
                <w:color w:val="auto"/>
              </w:rPr>
            </w:pPr>
          </w:p>
        </w:tc>
      </w:tr>
    </w:tbl>
    <w:p>
      <w:pPr>
        <w:spacing w:after="0" w:line="157" w:lineRule="exact"/>
        <w:rPr>
          <w:sz w:val="20"/>
          <w:szCs w:val="20"/>
          <w:color w:val="auto"/>
        </w:rPr>
      </w:pPr>
    </w:p>
    <w:p>
      <w:pPr>
        <w:jc w:val="both"/>
        <w:ind w:left="180" w:right="740" w:firstLine="648"/>
        <w:spacing w:after="0" w:line="213" w:lineRule="auto"/>
        <w:rPr>
          <w:sz w:val="20"/>
          <w:szCs w:val="20"/>
          <w:color w:val="auto"/>
        </w:rPr>
      </w:pPr>
      <w:r>
        <w:rPr>
          <w:rFonts w:ascii="Times New Roman" w:cs="Times New Roman" w:eastAsia="Times New Roman" w:hAnsi="Times New Roman"/>
          <w:sz w:val="18"/>
          <w:szCs w:val="18"/>
          <w:u w:val="single" w:color="auto"/>
          <w:color w:val="auto"/>
        </w:rPr>
        <w:t>Gilbert Avanes</w:t>
      </w:r>
      <w:r>
        <w:rPr>
          <w:rFonts w:ascii="Times New Roman" w:cs="Times New Roman" w:eastAsia="Times New Roman" w:hAnsi="Times New Roman"/>
          <w:sz w:val="18"/>
          <w:szCs w:val="18"/>
          <w:color w:val="auto"/>
        </w:rPr>
        <w:t>. Mr. Avanes serves as the Executive Vice President, Chief Financial Officer and Treasurer; he was appointed to this position on November 5, 2019. Mr. Avanes has been an employee of and consultant to our Company since August 2007, most recently serving as Interim Chief Financial Officer and Treasurer of our Company, from January 24, 2019 through November 4, 2019. Prior thereto, Mr. Avanes served as our Vice President of</w:t>
      </w:r>
    </w:p>
    <w:p>
      <w:pPr>
        <w:spacing w:after="0" w:line="1"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Financial Planning and Analysis (January 2016 to January 2019), Senior Director of Financial Planning and Analysis (January 2012 to December 2015), and as a consultant and then Senior Finance Manager (August 2007 to December 2011). Prior to joining Reading, Mr. Avanes served in various finance and accounting roles over the course of a</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decade at Toronto-Dominion 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from Toronto Metropolitan University.</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auto"/>
        </w:rPr>
        <w:t>Robert F. Smerling</w:t>
      </w:r>
      <w:r>
        <w:rPr>
          <w:rFonts w:ascii="Times New Roman" w:cs="Times New Roman" w:eastAsia="Times New Roman" w:hAnsi="Times New Roman"/>
          <w:sz w:val="18"/>
          <w:szCs w:val="18"/>
          <w:color w:val="auto"/>
        </w:rPr>
        <w:t>. Mr. Smerling has served as President of our US cinema operations since 1994. He has</w:t>
      </w:r>
    </w:p>
    <w:p>
      <w:pPr>
        <w:spacing w:after="0" w:line="2" w:lineRule="exact"/>
        <w:rPr>
          <w:sz w:val="20"/>
          <w:szCs w:val="20"/>
          <w:color w:val="auto"/>
        </w:rPr>
      </w:pPr>
    </w:p>
    <w:p>
      <w:pPr>
        <w:jc w:val="both"/>
        <w:ind w:left="180" w:right="740"/>
        <w:spacing w:after="0" w:line="208" w:lineRule="auto"/>
        <w:rPr>
          <w:sz w:val="20"/>
          <w:szCs w:val="20"/>
          <w:color w:val="auto"/>
        </w:rPr>
      </w:pPr>
      <w:r>
        <w:rPr>
          <w:rFonts w:ascii="Times New Roman" w:cs="Times New Roman" w:eastAsia="Times New Roman" w:hAnsi="Times New Roman"/>
          <w:sz w:val="18"/>
          <w:szCs w:val="18"/>
          <w:color w:val="auto"/>
        </w:rPr>
        <w:t>been involved in the acquisition and/or development of all of our existing domestic cinemas. Prior to joining our Company, Mr. Smerling was the President of Loews Theatres, at that time a wholly owned subsidiary of Sony. While at Loews, Mr. Smerling oversaw operations at some 600 cinemas employing some 6,000 individuals and the</w:t>
      </w:r>
    </w:p>
    <w:p>
      <w:pPr>
        <w:spacing w:after="0" w:line="2" w:lineRule="exact"/>
        <w:rPr>
          <w:sz w:val="20"/>
          <w:szCs w:val="20"/>
          <w:color w:val="auto"/>
        </w:rPr>
      </w:pPr>
    </w:p>
    <w:p>
      <w:pPr>
        <w:jc w:val="both"/>
        <w:ind w:left="180" w:right="740"/>
        <w:spacing w:after="0" w:line="218" w:lineRule="auto"/>
        <w:rPr>
          <w:sz w:val="20"/>
          <w:szCs w:val="20"/>
          <w:color w:val="auto"/>
        </w:rPr>
      </w:pPr>
      <w:r>
        <w:rPr>
          <w:rFonts w:ascii="Times New Roman" w:cs="Times New Roman" w:eastAsia="Times New Roman" w:hAnsi="Times New Roman"/>
          <w:sz w:val="18"/>
          <w:szCs w:val="18"/>
          <w:color w:val="auto"/>
        </w:rPr>
        <w:t>development of more than 25 new multiplex cinemas. Among Mr. Smerling's accomplishments at Loews was the development of the Lincoln Square Cinema Complex with IMAX in New York City, which continues today to be one of the top grossing cinemas in the United States. Prior to Mr. Smerling's employment at Loews, he was Vice</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80"/>
          </w:cols>
          <w:pgMar w:left="1440" w:top="468" w:right="979"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color w:val="auto"/>
        </w:rPr>
        <w:t>Chair of USA Cinemas in Boston, and President of Cinemanational Theatres.  Mr. Smerling, a recognized leader in</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our industry, has been a director of the National Association of Theatre Owners, the principal trade group representing the cinema exhibition industry. In recognition of his contributions to the movie cinema exhibition industry, Mr. Smerling (i) was honored at The Motion Picture Club Charity Event in June 2023 in New York City and (ii) recently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received the 2024 Bingham Ray Spirit Award at ShowEast in Miami.</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u w:val="single" w:color="auto"/>
          <w:color w:val="auto"/>
        </w:rPr>
        <w:t>S. Craig Tompkins</w:t>
      </w:r>
      <w:r>
        <w:rPr>
          <w:rFonts w:ascii="Times New Roman" w:cs="Times New Roman" w:eastAsia="Times New Roman" w:hAnsi="Times New Roman"/>
          <w:sz w:val="17"/>
          <w:szCs w:val="17"/>
          <w:color w:val="auto"/>
        </w:rPr>
        <w:t>. Mr. Tompkins has worked in various capacities for our Company and its predecessors for</w:t>
      </w:r>
    </w:p>
    <w:p>
      <w:pPr>
        <w:spacing w:after="0" w:line="14"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more than the past thirty-one (31) years. He has served as Vice Chair of our Company and as the President of two of its predecessors public companies, as a consultant and outside counsel and, since 2017, as Executive Vice President and General Counsel. Prior to his employment at our Company, Mr. Tompkins was a partner at Gibson, Dunn &amp;</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Crutcher. Mr. Tompkins has since May 2023, served on the Board of Directors of HomeStreet, Inc. and of its wholly owned subsidiary, Homestreet Bank. Between 2007 and December 2022, Mr. Tompkins was a principal equity holder in and the Chair of Marshall &amp; Stevens, Incorporated, a privately held valuation and consulting firm specializing in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valuation of real estate, business enterprises and alternative energy assets.</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December 2022, Mr. Tompkins sold his interest in Marshall &amp; Stevens and retired from its Board of</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Directors. Mr. Tompkins is currently providing, on a transitional basis, limited consulting services to Marshall &amp; Stevens. From 1993 to 2006 (when the company went private), Mr. Tompkins served as a director and as the Chair of the Audit Committee of G&amp;L Realty (an NYSE REIT specializing in medical properties), and from 1998 to 2001</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(when the bank was sold) as a member of the Board of Directors, of the Compensation Committee, and of the Special Independent Committee of Fidelity Federal Bank, FSB. Mr. Tompkins is also the Chair and Chief Executive Officer of Kirtland Farms, Inc. (a Tompkins family-owned agricultural operation in Southern Oregon).</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color w:val="auto"/>
        </w:rPr>
        <w:t>Mr. Tompkins holds a Bachelor of Arts (Magna Cum Laude) from Claremont McKenna College, and a Juris Doctorate (Magna Cum Laude) from the Harvard Law School, where he was on the Board of Student Advisors and</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served as research assistance to Professor James Casner (then serving as the Reporter to the Restatement of Property 2nd). Following Harvard Law School, Mr. Tompkins served as law clerk to the Honorable Justice Dean Bryson on the Oregon Supreme Court, before joining Gibson, Dunn &amp; Crutcher.</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u w:val="single" w:color="auto"/>
          <w:color w:val="auto"/>
        </w:rPr>
        <w:t>Andrzej J. Matyczynski</w:t>
      </w:r>
      <w:r>
        <w:rPr>
          <w:rFonts w:ascii="Times New Roman" w:cs="Times New Roman" w:eastAsia="Times New Roman" w:hAnsi="Times New Roman"/>
          <w:sz w:val="18"/>
          <w:szCs w:val="18"/>
          <w:color w:val="auto"/>
        </w:rPr>
        <w:t>. Mr. Matyczynski serves as our Executive Vice President, Global Operations, he was appointed to this position on March 10, 2016. From May 11, 2015 until March 10, 2016, Mr. Matyczynski acted as</w:t>
      </w:r>
    </w:p>
    <w:p>
      <w:pPr>
        <w:spacing w:after="0" w:line="2" w:lineRule="exact"/>
        <w:rPr>
          <w:sz w:val="20"/>
          <w:szCs w:val="20"/>
          <w:color w:val="auto"/>
        </w:rPr>
      </w:pPr>
    </w:p>
    <w:p>
      <w:pPr>
        <w:jc w:val="both"/>
        <w:ind w:left="180" w:right="279"/>
        <w:spacing w:after="0" w:line="207" w:lineRule="auto"/>
        <w:rPr>
          <w:sz w:val="20"/>
          <w:szCs w:val="20"/>
          <w:color w:val="auto"/>
        </w:rPr>
      </w:pPr>
      <w:r>
        <w:rPr>
          <w:rFonts w:ascii="Times New Roman" w:cs="Times New Roman" w:eastAsia="Times New Roman" w:hAnsi="Times New Roman"/>
          <w:sz w:val="18"/>
          <w:szCs w:val="18"/>
          <w:color w:val="auto"/>
        </w:rPr>
        <w:t>the Strategic Corporate Advisor to our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holds a Master's Degree in Business Administration from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University of Southern California.</w:t>
      </w:r>
    </w:p>
    <w:p>
      <w:pPr>
        <w:spacing w:after="0" w:line="124" w:lineRule="exact"/>
        <w:rPr>
          <w:sz w:val="20"/>
          <w:szCs w:val="20"/>
          <w:color w:val="auto"/>
        </w:rPr>
      </w:pPr>
    </w:p>
    <w:p>
      <w:pPr>
        <w:ind w:left="840"/>
        <w:spacing w:after="0"/>
        <w:tabs>
          <w:tab w:leader="none" w:pos="2040" w:val="left"/>
        </w:tabs>
        <w:rPr>
          <w:sz w:val="20"/>
          <w:szCs w:val="20"/>
          <w:color w:val="auto"/>
        </w:rPr>
      </w:pPr>
      <w:r>
        <w:rPr>
          <w:rFonts w:ascii="Times New Roman" w:cs="Times New Roman" w:eastAsia="Times New Roman" w:hAnsi="Times New Roman"/>
          <w:sz w:val="18"/>
          <w:szCs w:val="18"/>
          <w:u w:val="single" w:color="auto"/>
          <w:color w:val="auto"/>
        </w:rPr>
        <w:t>John Goeddel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Mr. Goeddel serves as the Executive Vice President, Chief Information Officer; he was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appointed to this position on December 8, 2021. Mr. Goeddel has been an employee of our Company since December 2003, most recently serving as Vice President, Chief Information Officer. Prior thereto, Mr. Goeddel served as our Chief Information Officer (2016), Director of Information Technology (December 2003 to 2016). Mr. Goeddel brings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over 40 years of information technology and motion picture cinema operations experience. Prior to joining Reading, Mr. Goeddel served in various information technology and cinema operation roles over the course of 25 years at Decurion located in Beverly Hills, CA. Mr. Goeddel has a Bachelors in Business Administration with an IT</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concentration from Colorado Technical University.</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auto"/>
        </w:rPr>
        <w:t>Terri Moore</w:t>
      </w:r>
      <w:r>
        <w:rPr>
          <w:rFonts w:ascii="Times New Roman" w:cs="Times New Roman" w:eastAsia="Times New Roman" w:hAnsi="Times New Roman"/>
          <w:sz w:val="18"/>
          <w:szCs w:val="18"/>
          <w:color w:val="auto"/>
        </w:rPr>
        <w:t>. Ms. Moore serves as the Executive Vice President, US Cinema Operations; she was appointed</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to this position on December 8, 2021. Ms. Moore joined our Company in 2001 in New York as Director of Theatre Operations, and in 2008 moved to Los Angeles to become Vice President-US Cinema Operations. Ms. Moore started her career in the motion picture theatre business as an hourly concessions employee in 1968. A year later she joined</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Pacific Theatres where she held many different executive positions, including general manager, district manager, HR training &amp; development and Special Project Manager for their theatre operations in Warsaw, Poland. Terri lived in Poland for three years and was responsible for the opening of one of Poland’s first modernized cinema circuits.</w:t>
      </w:r>
    </w:p>
    <w:p>
      <w:pPr>
        <w:spacing w:after="0" w:line="1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9" w:name="page40"/>
    <w:bookmarkEnd w:id="39"/>
    <w:p>
      <w:pPr>
        <w:ind w:left="840"/>
        <w:spacing w:after="0"/>
        <w:rPr>
          <w:sz w:val="20"/>
          <w:szCs w:val="20"/>
          <w:color w:val="auto"/>
        </w:rPr>
      </w:pPr>
      <w:r>
        <w:rPr>
          <w:rFonts w:ascii="Times New Roman" w:cs="Times New Roman" w:eastAsia="Times New Roman" w:hAnsi="Times New Roman"/>
          <w:sz w:val="18"/>
          <w:szCs w:val="18"/>
          <w:u w:val="single" w:color="auto"/>
          <w:color w:val="auto"/>
        </w:rPr>
        <w:t>Steven J. Lucas</w:t>
      </w:r>
      <w:r>
        <w:rPr>
          <w:rFonts w:ascii="Times New Roman" w:cs="Times New Roman" w:eastAsia="Times New Roman" w:hAnsi="Times New Roman"/>
          <w:sz w:val="18"/>
          <w:szCs w:val="18"/>
          <w:color w:val="auto"/>
        </w:rPr>
        <w:t>. Mr. Lucas serves as our Vice President, Controller and Chief Accounting Officer; he was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appointed to this position in 2015. From 2011 to 2015, Mr. Lucas worked in our accounting group holding the role of Asia Pacific Controller. Prior to joining our Company, Mr. Lucas worked for Arthur Andersen and Ernst &amp; Young for more than sixteen (16) years. He is a Chartered Accountant, and has been a member of Chartered Accountants</w:t>
      </w:r>
    </w:p>
    <w:p>
      <w:pPr>
        <w:spacing w:after="0" w:line="2" w:lineRule="exact"/>
        <w:rPr>
          <w:sz w:val="20"/>
          <w:szCs w:val="20"/>
          <w:color w:val="auto"/>
        </w:rPr>
      </w:pPr>
    </w:p>
    <w:p>
      <w:pPr>
        <w:jc w:val="both"/>
        <w:ind w:left="180" w:right="279"/>
        <w:spacing w:after="0" w:line="218" w:lineRule="auto"/>
        <w:rPr>
          <w:sz w:val="20"/>
          <w:szCs w:val="20"/>
          <w:color w:val="auto"/>
        </w:rPr>
      </w:pPr>
      <w:r>
        <w:rPr>
          <w:rFonts w:ascii="Times New Roman" w:cs="Times New Roman" w:eastAsia="Times New Roman" w:hAnsi="Times New Roman"/>
          <w:sz w:val="18"/>
          <w:szCs w:val="18"/>
          <w:color w:val="auto"/>
        </w:rPr>
        <w:t>Australia and New Zealand for over twenty-three (23) years. He holds a Bachelor’s Degree in English Literature and History from Victoria University of Wellington, and a Post Graduate Diploma in Accounting from the Graduate School of Business and Government Administration of Victoria University of Wellington.</w:t>
      </w:r>
    </w:p>
    <w:p>
      <w:pPr>
        <w:spacing w:after="0" w:line="131" w:lineRule="exact"/>
        <w:rPr>
          <w:sz w:val="20"/>
          <w:szCs w:val="20"/>
          <w:color w:val="auto"/>
        </w:rPr>
      </w:pPr>
    </w:p>
    <w:p>
      <w:pPr>
        <w:jc w:val="both"/>
        <w:ind w:left="180" w:right="279" w:firstLine="648"/>
        <w:spacing w:after="0" w:line="222" w:lineRule="auto"/>
        <w:rPr>
          <w:sz w:val="20"/>
          <w:szCs w:val="20"/>
          <w:color w:val="auto"/>
        </w:rPr>
      </w:pPr>
      <w:r>
        <w:rPr>
          <w:rFonts w:ascii="Times New Roman" w:cs="Times New Roman" w:eastAsia="Times New Roman" w:hAnsi="Times New Roman"/>
          <w:sz w:val="18"/>
          <w:szCs w:val="18"/>
          <w:u w:val="single" w:color="auto"/>
          <w:color w:val="auto"/>
        </w:rPr>
        <w:t>Mark D. Douglas</w:t>
      </w:r>
      <w:r>
        <w:rPr>
          <w:rFonts w:ascii="Times New Roman" w:cs="Times New Roman" w:eastAsia="Times New Roman" w:hAnsi="Times New Roman"/>
          <w:sz w:val="18"/>
          <w:szCs w:val="18"/>
          <w:color w:val="auto"/>
        </w:rPr>
        <w:t>. Mr. Douglas serves as our Managing Director, Australia and New Zealand, overseeing our international cinema and real estate operations. Mr. Douglas first joined our Company in 1999, and was appointed as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registered Certified Practicing Accountant with CPA Australia.</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auto"/>
        </w:rPr>
        <w:t>Sandra I. Herrera</w:t>
      </w:r>
      <w:r>
        <w:rPr>
          <w:rFonts w:ascii="Times New Roman" w:cs="Times New Roman" w:eastAsia="Times New Roman" w:hAnsi="Times New Roman"/>
          <w:sz w:val="18"/>
          <w:szCs w:val="18"/>
          <w:color w:val="auto"/>
        </w:rPr>
        <w:t>. Mrs. Herrera serves as our Associate General Counsel in 2017 and was elected to serve as</w:t>
      </w:r>
    </w:p>
    <w:p>
      <w:pPr>
        <w:spacing w:after="0" w:line="2" w:lineRule="exact"/>
        <w:rPr>
          <w:sz w:val="20"/>
          <w:szCs w:val="20"/>
          <w:color w:val="auto"/>
        </w:rPr>
      </w:pPr>
    </w:p>
    <w:p>
      <w:pPr>
        <w:jc w:val="both"/>
        <w:ind w:left="180" w:right="279"/>
        <w:spacing w:after="0" w:line="220" w:lineRule="auto"/>
        <w:rPr>
          <w:sz w:val="20"/>
          <w:szCs w:val="20"/>
          <w:color w:val="auto"/>
        </w:rPr>
      </w:pPr>
      <w:r>
        <w:rPr>
          <w:rFonts w:ascii="Times New Roman" w:cs="Times New Roman" w:eastAsia="Times New Roman" w:hAnsi="Times New Roman"/>
          <w:sz w:val="17"/>
          <w:szCs w:val="17"/>
          <w:color w:val="auto"/>
        </w:rPr>
        <w:t>Corporate Secretary in 2018. Prior to this time, in 2016, Mrs. Herrera served as a legal consultant to our Company. Mrs. Herrera helps oversee the Company’s legal affairs, representing the Company and directing its outside counsel, in transactional and litigation matters across various business units, including financings, acquisitions and dispositions,</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leasing, construction, and development projects. Prior to joining the Company, Mrs. Herrera was in private law firm practice with a focus on real estate transactions for corporate and government clients. Mrs. Herrera earned a Bachelor of Arts, cum laude, from Carleton College, a Master of Public Policy from the University of Michigan, Ann Arbor,</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and a Juris Doctorate from Stanford Law School. Mrs. Herrera served as an extern for the Honorable S. James Otero in the Central District of California. Mrs. Herrera is the Trustee, and former Chief Financial Officer and Assistant Chief Financial Officer, of the Mexican-American Bar Foundation, a non-profit organized and operated by volunteers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 enhance the diversity of the legal profession through education.</w:t>
      </w:r>
    </w:p>
    <w:p>
      <w:pPr>
        <w:spacing w:after="0" w:line="3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94042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0" w:name="page41"/>
    <w:bookmarkEnd w:id="40"/>
    <w:p>
      <w:pPr>
        <w:ind w:left="3800"/>
        <w:spacing w:after="0"/>
        <w:rPr>
          <w:sz w:val="20"/>
          <w:szCs w:val="20"/>
          <w:color w:val="auto"/>
        </w:rPr>
      </w:pPr>
      <w:r>
        <w:rPr>
          <w:rFonts w:ascii="Calibri" w:cs="Calibri" w:eastAsia="Calibri" w:hAnsi="Calibri"/>
          <w:sz w:val="18"/>
          <w:szCs w:val="18"/>
          <w:b w:val="1"/>
          <w:bCs w:val="1"/>
          <w:color w:val="auto"/>
        </w:rPr>
        <w:t>EXECUTIVE COMPENSATION</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Role and Authority of the Compensation Committee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As a “controlled company”, we are exempt from the Nasdaq Listing Rules regarding the determination of</w:t>
      </w:r>
    </w:p>
    <w:p>
      <w:pPr>
        <w:spacing w:after="0" w:line="2"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executive compensation solely by independent directors. Notwithstanding such exemption, we have established a standing Compensation Committee consisting of three (3) of our independent Directors. Our Compensation Committee charter requires our Compensation Committee members to meet the independence rules and regulations of</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SEC and the Nasdaq Stock Market (“Nasdaq”).</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Executive Compensation Philosophy</w:t>
      </w:r>
    </w:p>
    <w:p>
      <w:pPr>
        <w:spacing w:after="0" w:line="162" w:lineRule="exact"/>
        <w:rPr>
          <w:sz w:val="20"/>
          <w:szCs w:val="20"/>
          <w:color w:val="auto"/>
        </w:rPr>
      </w:pPr>
    </w:p>
    <w:p>
      <w:pPr>
        <w:jc w:val="both"/>
        <w:ind w:left="180" w:right="279" w:firstLine="648"/>
        <w:spacing w:after="0" w:line="216" w:lineRule="auto"/>
        <w:rPr>
          <w:sz w:val="20"/>
          <w:szCs w:val="20"/>
          <w:color w:val="auto"/>
        </w:rPr>
      </w:pPr>
      <w:r>
        <w:rPr>
          <w:rFonts w:ascii="Times New Roman" w:cs="Times New Roman" w:eastAsia="Times New Roman" w:hAnsi="Times New Roman"/>
          <w:sz w:val="18"/>
          <w:szCs w:val="18"/>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w:t>
      </w:r>
    </w:p>
    <w:p>
      <w:pPr>
        <w:spacing w:after="0" w:line="1" w:lineRule="exact"/>
        <w:rPr>
          <w:sz w:val="20"/>
          <w:szCs w:val="20"/>
          <w:color w:val="auto"/>
        </w:rPr>
      </w:pPr>
    </w:p>
    <w:p>
      <w:pPr>
        <w:jc w:val="both"/>
        <w:ind w:left="180" w:right="279"/>
        <w:spacing w:after="0" w:line="208" w:lineRule="auto"/>
        <w:rPr>
          <w:sz w:val="20"/>
          <w:szCs w:val="20"/>
          <w:color w:val="auto"/>
        </w:rPr>
      </w:pPr>
      <w:r>
        <w:rPr>
          <w:rFonts w:ascii="Times New Roman" w:cs="Times New Roman" w:eastAsia="Times New Roman" w:hAnsi="Times New Roman"/>
          <w:sz w:val="18"/>
          <w:szCs w:val="18"/>
          <w:color w:val="auto"/>
        </w:rPr>
        <w:t>long-term incentives aligned with stockholder value. While we believe that our entire executive compensation package contributes to these goals, the base salaries we offer generally support goals 1 and 2 above, our short-term incentive (“STI”) bonuses generally support goals 1, 2 and 3 above, our long-term incentives (“LTI”) generally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support goals 1, 2 and 4 above.</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r>
        <w:rPr>
          <w:rFonts w:ascii="Times New Roman" w:cs="Times New Roman" w:eastAsia="Times New Roman" w:hAnsi="Times New Roman"/>
          <w:sz w:val="8"/>
          <w:szCs w:val="8"/>
          <w:b w:val="1"/>
          <w:bCs w:val="1"/>
          <w:i w:val="1"/>
          <w:iCs w:val="1"/>
          <w:color w:val="auto"/>
        </w:rPr>
        <w:t>3</w:t>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Compensation Committee Charter delegates significant executive compensation responsibilities to our</w:t>
      </w:r>
    </w:p>
    <w:p>
      <w:pPr>
        <w:ind w:left="180"/>
        <w:spacing w:after="0"/>
        <w:rPr>
          <w:sz w:val="20"/>
          <w:szCs w:val="20"/>
          <w:color w:val="auto"/>
        </w:rPr>
      </w:pPr>
      <w:r>
        <w:rPr>
          <w:rFonts w:ascii="Times New Roman" w:cs="Times New Roman" w:eastAsia="Times New Roman" w:hAnsi="Times New Roman"/>
          <w:sz w:val="18"/>
          <w:szCs w:val="18"/>
          <w:color w:val="auto"/>
        </w:rPr>
        <w:t>Compensation Committee, including:</w:t>
      </w:r>
    </w:p>
    <w:p>
      <w:pPr>
        <w:spacing w:after="0" w:line="126" w:lineRule="exact"/>
        <w:rPr>
          <w:sz w:val="20"/>
          <w:szCs w:val="20"/>
          <w:color w:val="auto"/>
        </w:rPr>
      </w:pPr>
    </w:p>
    <w:p>
      <w:pPr>
        <w:ind w:left="1160" w:hanging="328"/>
        <w:spacing w:after="0"/>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our compensation philosophy and objectives;</w:t>
      </w:r>
    </w:p>
    <w:p>
      <w:pPr>
        <w:ind w:left="1160" w:hanging="328"/>
        <w:spacing w:after="0" w:line="203"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approve all compensation, for our CEO and our executive officers</w:t>
      </w:r>
      <w:r>
        <w:rPr>
          <w:rFonts w:ascii="Times New Roman" w:cs="Times New Roman" w:eastAsia="Times New Roman" w:hAnsi="Times New Roman"/>
          <w:sz w:val="8"/>
          <w:szCs w:val="8"/>
          <w:color w:val="auto"/>
        </w:rPr>
        <w:t>3</w:t>
      </w:r>
    </w:p>
    <w:p>
      <w:pPr>
        <w:jc w:val="both"/>
        <w:ind w:left="1160" w:right="439" w:hanging="328"/>
        <w:spacing w:after="0" w:line="208"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all employment agreements, severance arrangements, change in control provisions and agreements and any special or supplemental benefits applicable to our CEO and other executive officers;</w:t>
      </w:r>
    </w:p>
    <w:p>
      <w:pPr>
        <w:spacing w:after="0" w:line="1" w:lineRule="exact"/>
        <w:rPr>
          <w:rFonts w:ascii="Times New Roman" w:cs="Times New Roman" w:eastAsia="Times New Roman" w:hAnsi="Times New Roman"/>
          <w:sz w:val="18"/>
          <w:szCs w:val="18"/>
          <w:color w:val="auto"/>
        </w:rPr>
      </w:pPr>
    </w:p>
    <w:p>
      <w:pPr>
        <w:jc w:val="both"/>
        <w:ind w:left="1160" w:right="439" w:hanging="328"/>
        <w:spacing w:after="0" w:line="208"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on behalf of our Board, incentive compensation and equity-based compensation plans, or, in the case of plans requiring stockholder approval, to review and recommend such plan to the stockholders;</w:t>
      </w:r>
    </w:p>
    <w:p>
      <w:pPr>
        <w:spacing w:after="0" w:line="1" w:lineRule="exact"/>
        <w:rPr>
          <w:rFonts w:ascii="Times New Roman" w:cs="Times New Roman" w:eastAsia="Times New Roman" w:hAnsi="Times New Roman"/>
          <w:sz w:val="18"/>
          <w:szCs w:val="18"/>
          <w:color w:val="auto"/>
        </w:rPr>
      </w:pPr>
    </w:p>
    <w:p>
      <w:pPr>
        <w:jc w:val="both"/>
        <w:ind w:left="1160" w:right="439" w:hanging="328"/>
        <w:spacing w:after="0" w:line="208"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1" w:lineRule="exact"/>
        <w:rPr>
          <w:rFonts w:ascii="Times New Roman" w:cs="Times New Roman" w:eastAsia="Times New Roman" w:hAnsi="Times New Roman"/>
          <w:sz w:val="18"/>
          <w:szCs w:val="18"/>
          <w:color w:val="auto"/>
        </w:rPr>
      </w:pPr>
    </w:p>
    <w:p>
      <w:pPr>
        <w:ind w:left="1160" w:right="439" w:hanging="328"/>
        <w:spacing w:after="0" w:line="211"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an annual compensation committee report for inclusion in our proxy statement for the annual meeting of stockholders;</w:t>
      </w:r>
    </w:p>
    <w:p>
      <w:pPr>
        <w:ind w:left="1160" w:right="439" w:hanging="328"/>
        <w:spacing w:after="0" w:line="211"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our equity-based compensation plans, including the grant of stock options and other equity awards under such plans; and</w:t>
      </w:r>
    </w:p>
    <w:p>
      <w:pPr>
        <w:ind w:left="1160" w:right="439" w:hanging="328"/>
        <w:spacing w:after="0" w:line="226" w:lineRule="auto"/>
        <w:tabs>
          <w:tab w:leader="none" w:pos="1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the results of the most recent stockholder advisory vote on executive compensation when determining compensation policies and making decisions on executive compensation.</w:t>
      </w:r>
    </w:p>
    <w:p>
      <w:pPr>
        <w:spacing w:after="0" w:line="130" w:lineRule="exact"/>
        <w:rPr>
          <w:sz w:val="20"/>
          <w:szCs w:val="20"/>
          <w:color w:val="auto"/>
        </w:rPr>
      </w:pPr>
    </w:p>
    <w:p>
      <w:pPr>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Under our Compensation Committee Charter, any compensation determinations pertaining to Ellen M. Cotter and Margaret Cotter are subject to review and approval by our Board. Further, our Compensation Committee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periodically reviews and makes recommendations to our Board regarding Director compensation.</w:t>
      </w:r>
    </w:p>
    <w:p>
      <w:pPr>
        <w:spacing w:after="0" w:line="124" w:lineRule="exact"/>
        <w:rPr>
          <w:sz w:val="20"/>
          <w:szCs w:val="20"/>
          <w:color w:val="auto"/>
        </w:rPr>
      </w:pPr>
    </w:p>
    <w:p>
      <w:pPr>
        <w:ind w:left="180" w:right="439" w:firstLine="648"/>
        <w:spacing w:after="0" w:line="250" w:lineRule="auto"/>
        <w:rPr>
          <w:sz w:val="20"/>
          <w:szCs w:val="20"/>
          <w:color w:val="auto"/>
        </w:rPr>
      </w:pPr>
      <w:r>
        <w:rPr>
          <w:rFonts w:ascii="Times New Roman" w:cs="Times New Roman" w:eastAsia="Times New Roman" w:hAnsi="Times New Roman"/>
          <w:sz w:val="18"/>
          <w:szCs w:val="18"/>
          <w:color w:val="auto"/>
        </w:rPr>
        <w:t>The Compensation Committee Charter is available on our website at www.investor.readingrdi.com/corporate-governance/governance-overview.</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7" w:lineRule="exact"/>
        <w:rPr>
          <w:sz w:val="20"/>
          <w:szCs w:val="20"/>
          <w:color w:val="auto"/>
        </w:rPr>
      </w:pPr>
    </w:p>
    <w:p>
      <w:pPr>
        <w:jc w:val="both"/>
        <w:ind w:left="180" w:right="439" w:firstLine="4"/>
        <w:spacing w:after="0" w:line="272" w:lineRule="auto"/>
        <w:tabs>
          <w:tab w:leader="none" w:pos="276"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17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41" w:name="page42"/>
    <w:bookmarkEnd w:id="4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Setting Process</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the first quarter of 2023, our Compensation Committee set executive compensation for our NEOs for</w:t>
      </w:r>
    </w:p>
    <w:p>
      <w:pPr>
        <w:spacing w:after="0" w:line="2" w:lineRule="exact"/>
        <w:rPr>
          <w:sz w:val="20"/>
          <w:szCs w:val="20"/>
          <w:color w:val="auto"/>
        </w:rPr>
      </w:pPr>
    </w:p>
    <w:p>
      <w:pPr>
        <w:jc w:val="both"/>
        <w:ind w:left="180" w:right="439"/>
        <w:spacing w:after="0" w:line="218" w:lineRule="auto"/>
        <w:rPr>
          <w:sz w:val="20"/>
          <w:szCs w:val="20"/>
          <w:color w:val="auto"/>
        </w:rPr>
      </w:pPr>
      <w:r>
        <w:rPr>
          <w:rFonts w:ascii="Times New Roman" w:cs="Times New Roman" w:eastAsia="Times New Roman" w:hAnsi="Times New Roman"/>
          <w:sz w:val="18"/>
          <w:szCs w:val="18"/>
          <w:color w:val="auto"/>
        </w:rPr>
        <w:t>calendar year 2023. In so doing, our Compensation Committee relied on historical data on compensation, including reference to peer data on compensation provided by compensation consultants and input from our Chief Executive Officer.</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At the request of our Chief Executive Officer, our Compensation Committee maintained a conservative stance on executive compensation driven by our goal to manage liquidity requirements for our Company. Our</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Compensation Committee (i) approved the salary adjustments to 2023 annual base salaries as reflected in the table below, (ii) authorized initial eligibility for potential short-term incentive awards in the form of annual cash bonuses with metrics based on corporate and individual performance, but ultimately decided not to pay any of the STI</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bonuses to executive officers due to the overarching consideration of Company liquidity, and (iii) made long-term incentive awards in the form of time vested restricted stock units (“RSUs”) and performance based restricted stock units (“PRSUs”) that are used as a retention tool and as a means to further align an executive’s long-term interests</w:t>
      </w:r>
    </w:p>
    <w:p>
      <w:pPr>
        <w:spacing w:after="0" w:line="2" w:lineRule="exact"/>
        <w:rPr>
          <w:sz w:val="20"/>
          <w:szCs w:val="20"/>
          <w:color w:val="auto"/>
        </w:rPr>
      </w:pPr>
    </w:p>
    <w:p>
      <w:pPr>
        <w:jc w:val="both"/>
        <w:ind w:left="180" w:right="459"/>
        <w:spacing w:after="0" w:line="226" w:lineRule="auto"/>
        <w:rPr>
          <w:sz w:val="20"/>
          <w:szCs w:val="20"/>
          <w:color w:val="auto"/>
        </w:rPr>
      </w:pPr>
      <w:r>
        <w:rPr>
          <w:rFonts w:ascii="Times New Roman" w:cs="Times New Roman" w:eastAsia="Times New Roman" w:hAnsi="Times New Roman"/>
          <w:sz w:val="18"/>
          <w:szCs w:val="18"/>
          <w:color w:val="auto"/>
        </w:rPr>
        <w:t>with those of our stockholders, with the ultimate objective of affording our executives an appropriate incentive to help drive increases in stockholder value.</w:t>
      </w:r>
    </w:p>
    <w:p>
      <w:pPr>
        <w:spacing w:after="0" w:line="130" w:lineRule="exact"/>
        <w:rPr>
          <w:sz w:val="20"/>
          <w:szCs w:val="20"/>
          <w:color w:val="auto"/>
        </w:rPr>
      </w:pPr>
    </w:p>
    <w:p>
      <w:pPr>
        <w:jc w:val="both"/>
        <w:ind w:left="180" w:right="439" w:firstLine="648"/>
        <w:spacing w:after="0" w:line="216" w:lineRule="auto"/>
        <w:rPr>
          <w:sz w:val="20"/>
          <w:szCs w:val="20"/>
          <w:color w:val="auto"/>
        </w:rPr>
      </w:pPr>
      <w:r>
        <w:rPr>
          <w:rFonts w:ascii="Times New Roman" w:cs="Times New Roman" w:eastAsia="Times New Roman" w:hAnsi="Times New Roman"/>
          <w:sz w:val="18"/>
          <w:szCs w:val="18"/>
          <w:color w:val="auto"/>
        </w:rPr>
        <w:t>Instead of issuing cash bonuses to executives who achieved certain individual goals set for 2023, in April 2024, the Compensation Committee granted stock options to such executive officers for Class A Stock. The stock options amounts were calculated based on the amount of the cash bonuses that such executive officers would have</w:t>
      </w:r>
    </w:p>
    <w:p>
      <w:pPr>
        <w:spacing w:after="0" w:line="1"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received if our Company had paid STI cash bonuses, divided by the average of the high and the low trading prices of such shares on the day of grant.</w:t>
      </w:r>
    </w:p>
    <w:p>
      <w:pPr>
        <w:spacing w:after="0" w:line="130" w:lineRule="exact"/>
        <w:rPr>
          <w:sz w:val="20"/>
          <w:szCs w:val="20"/>
          <w:color w:val="auto"/>
        </w:rPr>
      </w:pPr>
    </w:p>
    <w:p>
      <w:pPr>
        <w:jc w:val="both"/>
        <w:ind w:left="180" w:right="439" w:firstLine="648"/>
        <w:spacing w:after="0" w:line="216" w:lineRule="auto"/>
        <w:rPr>
          <w:sz w:val="20"/>
          <w:szCs w:val="20"/>
          <w:color w:val="auto"/>
        </w:rPr>
      </w:pPr>
      <w:r>
        <w:rPr>
          <w:rFonts w:ascii="Times New Roman" w:cs="Times New Roman" w:eastAsia="Times New Roman" w:hAnsi="Times New Roman"/>
          <w:sz w:val="18"/>
          <w:szCs w:val="18"/>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w:t>
      </w:r>
    </w:p>
    <w:p>
      <w:pPr>
        <w:spacing w:after="0" w:line="1"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similarly situated executives of companies with whom we compete for executive talent or that we consider comparable to our Company.</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Clawback Policy</w:t>
      </w:r>
    </w:p>
    <w:p>
      <w:pPr>
        <w:spacing w:after="0" w:line="148" w:lineRule="exact"/>
        <w:rPr>
          <w:sz w:val="20"/>
          <w:szCs w:val="20"/>
          <w:color w:val="auto"/>
        </w:rPr>
      </w:pPr>
    </w:p>
    <w:p>
      <w:pPr>
        <w:jc w:val="both"/>
        <w:ind w:left="180" w:right="439" w:firstLine="648"/>
        <w:spacing w:after="0" w:line="237" w:lineRule="auto"/>
        <w:rPr>
          <w:sz w:val="20"/>
          <w:szCs w:val="20"/>
          <w:color w:val="auto"/>
        </w:rPr>
      </w:pPr>
      <w:r>
        <w:rPr>
          <w:rFonts w:ascii="Times New Roman" w:cs="Times New Roman" w:eastAsia="Times New Roman" w:hAnsi="Times New Roman"/>
          <w:sz w:val="18"/>
          <w:szCs w:val="18"/>
          <w:color w:val="auto"/>
        </w:rPr>
        <w:t>On November 29, 2023, our Board adopted an Executive Officer Clawback Policy, in compliance with Nasdaq Stock Market Listing Rules (the “2023 Clawback Policy”).</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Any STI cash payment made to our NEOs is subject to forfeiture, recovery by our Company or other action pursuant to any agreement evidencing any incentive compensation or any clawback or recoupment policy which our</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Company may adopt from time to time, including, without limitation, our 2023 Clawback Policy or any other such policy which our Company may be required to adopt under the listing rules of The Nasdaq Capital Market, the Dodd-Frank Wall Street Reform and Consumer Protection Act or any successor or replacement law, and</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implementing rules and regulations thereunder, or as otherwise required by law.</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Under our 2020 Stock Incentive Plan, described in above and greater detail under the caption 2020 Stock</w:t>
      </w:r>
    </w:p>
    <w:p>
      <w:pPr>
        <w:spacing w:after="0" w:line="2" w:lineRule="exact"/>
        <w:rPr>
          <w:sz w:val="20"/>
          <w:szCs w:val="20"/>
          <w:color w:val="auto"/>
        </w:rPr>
      </w:pPr>
    </w:p>
    <w:p>
      <w:pPr>
        <w:jc w:val="both"/>
        <w:ind w:left="180" w:right="439"/>
        <w:spacing w:after="0" w:line="220" w:lineRule="auto"/>
        <w:rPr>
          <w:sz w:val="20"/>
          <w:szCs w:val="20"/>
          <w:color w:val="auto"/>
        </w:rPr>
      </w:pPr>
      <w:r>
        <w:rPr>
          <w:rFonts w:ascii="Times New Roman" w:cs="Times New Roman" w:eastAsia="Times New Roman" w:hAnsi="Times New Roman"/>
          <w:sz w:val="17"/>
          <w:szCs w:val="17"/>
          <w:color w:val="auto"/>
        </w:rPr>
        <w:t>Incentive Plan below, all LTIs or shares issued in respect thereof and cash or other proceeds in respect thereof issued to our NEOs are subject to clawback, reduction, cancelation, forfeiture and recoupment to the extent necessary to comply with applicable law or the listing rules of Nasdaq or other principal stock exchange on which our Common</w:t>
      </w:r>
    </w:p>
    <w:p>
      <w:pPr>
        <w:spacing w:after="0" w:line="2"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Stock is then listed. In accepting an award under our 2020 Stock Incentive Plan, a participant agrees to be bound by any such clawback. Our 2023 Clawback Policy implements the Nasdaq Stock Market Listing Rules in this regard.</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Anti-Put/Call/Short Sale Policy</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NEOs may not trade in puts or calls or engage in short sales with respect to our Company’s securities.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w:t>
      </w:r>
    </w:p>
    <w:p>
      <w:pPr>
        <w:spacing w:after="0" w:line="162" w:lineRule="exact"/>
        <w:rPr>
          <w:sz w:val="20"/>
          <w:szCs w:val="20"/>
          <w:color w:val="auto"/>
        </w:rPr>
      </w:pPr>
    </w:p>
    <w:p>
      <w:pPr>
        <w:jc w:val="both"/>
        <w:ind w:left="180" w:right="439" w:firstLine="648"/>
        <w:spacing w:after="0" w:line="237" w:lineRule="auto"/>
        <w:rPr>
          <w:sz w:val="20"/>
          <w:szCs w:val="20"/>
          <w:color w:val="auto"/>
        </w:rPr>
      </w:pPr>
      <w:r>
        <w:rPr>
          <w:rFonts w:ascii="Times New Roman" w:cs="Times New Roman" w:eastAsia="Times New Roman" w:hAnsi="Times New Roman"/>
          <w:sz w:val="18"/>
          <w:szCs w:val="18"/>
          <w:color w:val="auto"/>
        </w:rPr>
        <w:t>Our NEOs may not engage in certain hedging transactions with respect to our Company’s securities, such as zero-cost collars, equity swaps, prepaid variable forward contracts and exchange funds.</w:t>
      </w:r>
    </w:p>
    <w:p>
      <w:pPr>
        <w:spacing w:after="0" w:line="3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42" w:name="page43"/>
    <w:bookmarkEnd w:id="42"/>
    <w:p>
      <w:pPr>
        <w:ind w:left="18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80" w:right="20" w:firstLine="648"/>
        <w:spacing w:after="0" w:line="22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received by our Principal Executive Officer (PEO) and our other named executive officers compared to compensation actually paid to such officers, and certain financial</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performance measures during the last three completed fiscal years.</w:t>
      </w:r>
    </w:p>
    <w:p>
      <w:pPr>
        <w:spacing w:after="0" w:line="190" w:lineRule="exact"/>
        <w:rPr>
          <w:sz w:val="20"/>
          <w:szCs w:val="20"/>
          <w:color w:val="auto"/>
        </w:rPr>
      </w:pPr>
    </w:p>
    <w:tbl>
      <w:tblPr>
        <w:tblLayout w:type="fixed"/>
        <w:tblInd w:w="190" w:type="dxa"/>
        <w:tblCellMar>
          <w:top w:w="0" w:type="dxa"/>
          <w:left w:w="0" w:type="dxa"/>
          <w:bottom w:w="0" w:type="dxa"/>
          <w:right w:w="0" w:type="dxa"/>
        </w:tblCellMar>
      </w:tblPr>
      <w:tr>
        <w:trPr>
          <w:trHeight w:val="256"/>
        </w:trPr>
        <w:tc>
          <w:tcPr>
            <w:tcW w:w="1120" w:type="dxa"/>
            <w:vAlign w:val="bottom"/>
            <w:tcBorders>
              <w:top w:val="single" w:sz="8" w:color="auto"/>
              <w:left w:val="single" w:sz="8" w:color="auto"/>
              <w:right w:val="single" w:sz="8" w:color="auto"/>
            </w:tcBorders>
          </w:tcPr>
          <w:p>
            <w:pPr>
              <w:spacing w:after="0"/>
              <w:rPr>
                <w:sz w:val="22"/>
                <w:szCs w:val="22"/>
                <w:color w:val="auto"/>
              </w:rPr>
            </w:pPr>
          </w:p>
        </w:tc>
        <w:tc>
          <w:tcPr>
            <w:tcW w:w="1420" w:type="dxa"/>
            <w:vAlign w:val="bottom"/>
            <w:tcBorders>
              <w:top w:val="single" w:sz="8" w:color="auto"/>
              <w:right w:val="single" w:sz="8" w:color="auto"/>
            </w:tcBorders>
          </w:tcPr>
          <w:p>
            <w:pPr>
              <w:spacing w:after="0"/>
              <w:rPr>
                <w:sz w:val="22"/>
                <w:szCs w:val="22"/>
                <w:color w:val="auto"/>
              </w:rPr>
            </w:pPr>
          </w:p>
        </w:tc>
        <w:tc>
          <w:tcPr>
            <w:tcW w:w="1320" w:type="dxa"/>
            <w:vAlign w:val="bottom"/>
            <w:tcBorders>
              <w:top w:val="single" w:sz="8" w:color="auto"/>
              <w:right w:val="single" w:sz="8" w:color="auto"/>
            </w:tcBorders>
          </w:tcPr>
          <w:p>
            <w:pPr>
              <w:spacing w:after="0"/>
              <w:rPr>
                <w:sz w:val="22"/>
                <w:szCs w:val="22"/>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12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Summary</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Summary</w:t>
            </w:r>
          </w:p>
        </w:tc>
        <w:tc>
          <w:tcPr>
            <w:tcW w:w="15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32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5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4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Table Total for</w:t>
            </w:r>
          </w:p>
        </w:tc>
        <w:tc>
          <w:tcPr>
            <w:tcW w:w="13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15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15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0" w:type="dxa"/>
            <w:vAlign w:val="bottom"/>
          </w:tcPr>
          <w:p>
            <w:pPr>
              <w:spacing w:after="0"/>
              <w:rPr>
                <w:sz w:val="1"/>
                <w:szCs w:val="1"/>
                <w:color w:val="auto"/>
              </w:rPr>
            </w:pPr>
          </w:p>
        </w:tc>
      </w:tr>
      <w:tr>
        <w:trPr>
          <w:trHeight w:val="241"/>
        </w:trPr>
        <w:tc>
          <w:tcPr>
            <w:tcW w:w="1120" w:type="dxa"/>
            <w:vAlign w:val="bottom"/>
            <w:tcBorders>
              <w:left w:val="single" w:sz="8" w:color="auto"/>
              <w:right w:val="single" w:sz="8" w:color="auto"/>
            </w:tcBorders>
            <w:vMerge w:val="continue"/>
          </w:tcPr>
          <w:p>
            <w:pPr>
              <w:spacing w:after="0"/>
              <w:rPr>
                <w:sz w:val="20"/>
                <w:szCs w:val="20"/>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PEO </w:t>
            </w:r>
            <w:r>
              <w:rPr>
                <w:rFonts w:ascii="Times New Roman" w:cs="Times New Roman" w:eastAsia="Times New Roman" w:hAnsi="Times New Roman"/>
                <w:sz w:val="17"/>
                <w:szCs w:val="17"/>
                <w:b w:val="1"/>
                <w:bCs w:val="1"/>
                <w:color w:val="auto"/>
                <w:w w:val="95"/>
                <w:vertAlign w:val="superscript"/>
              </w:rPr>
              <w:t>(1)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to PEO </w:t>
            </w:r>
            <w:r>
              <w:rPr>
                <w:rFonts w:ascii="Times New Roman" w:cs="Times New Roman" w:eastAsia="Times New Roman" w:hAnsi="Times New Roman"/>
                <w:sz w:val="17"/>
                <w:szCs w:val="17"/>
                <w:b w:val="1"/>
                <w:bCs w:val="1"/>
                <w:color w:val="auto"/>
                <w:w w:val="97"/>
                <w:vertAlign w:val="superscript"/>
              </w:rPr>
              <w:t>(2)</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Non-PEO NEOs </w:t>
            </w:r>
            <w:r>
              <w:rPr>
                <w:rFonts w:ascii="Times New Roman" w:cs="Times New Roman" w:eastAsia="Times New Roman" w:hAnsi="Times New Roman"/>
                <w:sz w:val="17"/>
                <w:szCs w:val="17"/>
                <w:b w:val="1"/>
                <w:bCs w:val="1"/>
                <w:color w:val="auto"/>
                <w:w w:val="97"/>
                <w:vertAlign w:val="superscript"/>
              </w:rPr>
              <w:t>(3</w:t>
            </w:r>
            <w:r>
              <w:rPr>
                <w:rFonts w:ascii="Times New Roman" w:cs="Times New Roman" w:eastAsia="Times New Roman" w:hAnsi="Times New Roman"/>
                <w:sz w:val="17"/>
                <w:szCs w:val="17"/>
                <w:color w:val="auto"/>
                <w:w w:val="97"/>
                <w:vertAlign w:val="superscript"/>
              </w:rPr>
              <w:t>)</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Non-PEO NEOs </w:t>
            </w:r>
            <w:r>
              <w:rPr>
                <w:rFonts w:ascii="Times New Roman" w:cs="Times New Roman" w:eastAsia="Times New Roman" w:hAnsi="Times New Roman"/>
                <w:sz w:val="17"/>
                <w:szCs w:val="17"/>
                <w:b w:val="1"/>
                <w:bCs w:val="1"/>
                <w:color w:val="auto"/>
                <w:w w:val="99"/>
                <w:vertAlign w:val="superscript"/>
              </w:rPr>
              <w:t>(4)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Return </w:t>
            </w:r>
            <w:r>
              <w:rPr>
                <w:rFonts w:ascii="Times New Roman" w:cs="Times New Roman" w:eastAsia="Times New Roman" w:hAnsi="Times New Roman"/>
                <w:sz w:val="17"/>
                <w:szCs w:val="17"/>
                <w:b w:val="1"/>
                <w:bCs w:val="1"/>
                <w:color w:val="auto"/>
                <w:w w:val="96"/>
                <w:vertAlign w:val="superscript"/>
              </w:rPr>
              <w:t>(5)</w:t>
            </w:r>
          </w:p>
        </w:tc>
        <w:tc>
          <w:tcPr>
            <w:tcW w:w="1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0" w:type="dxa"/>
            <w:vAlign w:val="bottom"/>
          </w:tcPr>
          <w:p>
            <w:pPr>
              <w:spacing w:after="0"/>
              <w:rPr>
                <w:sz w:val="1"/>
                <w:szCs w:val="1"/>
                <w:color w:val="auto"/>
              </w:rPr>
            </w:pPr>
          </w:p>
        </w:tc>
      </w:tr>
      <w:tr>
        <w:trPr>
          <w:trHeight w:val="331"/>
        </w:trPr>
        <w:tc>
          <w:tcPr>
            <w:tcW w:w="1120" w:type="dxa"/>
            <w:vAlign w:val="bottom"/>
            <w:tcBorders>
              <w:left w:val="single" w:sz="8" w:color="auto"/>
              <w:bottom w:val="single" w:sz="8" w:color="auto"/>
              <w:right w:val="single" w:sz="8" w:color="auto"/>
            </w:tcBorders>
            <w:shd w:val="clear" w:color="auto" w:fill="C1E1FB"/>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4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1,020,580</w:t>
            </w:r>
          </w:p>
        </w:tc>
        <w:tc>
          <w:tcPr>
            <w:tcW w:w="13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318,935</w:t>
            </w:r>
          </w:p>
        </w:tc>
        <w:tc>
          <w:tcPr>
            <w:tcW w:w="15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678,357</w:t>
            </w:r>
          </w:p>
        </w:tc>
        <w:tc>
          <w:tcPr>
            <w:tcW w:w="15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353,107</w:t>
            </w:r>
          </w:p>
        </w:tc>
        <w:tc>
          <w:tcPr>
            <w:tcW w:w="11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120" w:type="dxa"/>
            <w:vAlign w:val="bottom"/>
            <w:tcBorders>
              <w:bottom w:val="single" w:sz="8" w:color="auto"/>
              <w:right w:val="single" w:sz="8" w:color="auto"/>
            </w:tcBorders>
            <w:shd w:val="clear" w:color="auto" w:fill="C1E1FB"/>
          </w:tcPr>
          <w:p>
            <w:pPr>
              <w:jc w:val="center"/>
              <w:ind w:left="179"/>
              <w:spacing w:after="0"/>
              <w:rPr>
                <w:sz w:val="20"/>
                <w:szCs w:val="20"/>
                <w:color w:val="auto"/>
              </w:rPr>
            </w:pPr>
            <w:r>
              <w:rPr>
                <w:rFonts w:ascii="Times New Roman" w:cs="Times New Roman" w:eastAsia="Times New Roman" w:hAnsi="Times New Roman"/>
                <w:sz w:val="16"/>
                <w:szCs w:val="16"/>
                <w:color w:val="auto"/>
                <w:w w:val="99"/>
              </w:rPr>
              <w:t>(31,185,000)</w:t>
            </w:r>
          </w:p>
        </w:tc>
        <w:tc>
          <w:tcPr>
            <w:tcW w:w="0" w:type="dxa"/>
            <w:vAlign w:val="bottom"/>
          </w:tcPr>
          <w:p>
            <w:pPr>
              <w:spacing w:after="0"/>
              <w:rPr>
                <w:sz w:val="1"/>
                <w:szCs w:val="1"/>
                <w:color w:val="auto"/>
              </w:rPr>
            </w:pPr>
          </w:p>
        </w:tc>
      </w:tr>
      <w:tr>
        <w:trPr>
          <w:trHeight w:val="209"/>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1,137,580</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313,281</w:t>
            </w: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695,779</w:t>
            </w: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352,709</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120" w:type="dxa"/>
            <w:vAlign w:val="bottom"/>
            <w:tcBorders>
              <w:bottom w:val="single" w:sz="8" w:color="auto"/>
              <w:right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(36,660,000)</w:t>
            </w:r>
          </w:p>
        </w:tc>
        <w:tc>
          <w:tcPr>
            <w:tcW w:w="0" w:type="dxa"/>
            <w:vAlign w:val="bottom"/>
          </w:tcPr>
          <w:p>
            <w:pPr>
              <w:spacing w:after="0"/>
              <w:rPr>
                <w:sz w:val="1"/>
                <w:szCs w:val="1"/>
                <w:color w:val="auto"/>
              </w:rPr>
            </w:pPr>
          </w:p>
        </w:tc>
      </w:tr>
      <w:tr>
        <w:trPr>
          <w:trHeight w:val="318"/>
        </w:trPr>
        <w:tc>
          <w:tcPr>
            <w:tcW w:w="1120" w:type="dxa"/>
            <w:vAlign w:val="bottom"/>
            <w:tcBorders>
              <w:left w:val="single" w:sz="8" w:color="auto"/>
              <w:bottom w:val="single" w:sz="8" w:color="auto"/>
              <w:right w:val="single" w:sz="8" w:color="auto"/>
            </w:tcBorders>
            <w:shd w:val="clear" w:color="auto" w:fill="C1E1FB"/>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4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1,602,580</w:t>
            </w:r>
          </w:p>
        </w:tc>
        <w:tc>
          <w:tcPr>
            <w:tcW w:w="13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1,085,008</w:t>
            </w:r>
          </w:p>
        </w:tc>
        <w:tc>
          <w:tcPr>
            <w:tcW w:w="15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811,181</w:t>
            </w:r>
          </w:p>
        </w:tc>
        <w:tc>
          <w:tcPr>
            <w:tcW w:w="15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575,791</w:t>
            </w:r>
          </w:p>
        </w:tc>
        <w:tc>
          <w:tcPr>
            <w:tcW w:w="11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120" w:type="dxa"/>
            <w:vAlign w:val="bottom"/>
            <w:tcBorders>
              <w:bottom w:val="single" w:sz="8" w:color="auto"/>
              <w:right w:val="single" w:sz="8" w:color="auto"/>
            </w:tcBorders>
            <w:shd w:val="clear" w:color="auto" w:fill="C1E1FB"/>
          </w:tcPr>
          <w:p>
            <w:pPr>
              <w:jc w:val="center"/>
              <w:ind w:left="199"/>
              <w:spacing w:after="0"/>
              <w:rPr>
                <w:sz w:val="20"/>
                <w:szCs w:val="20"/>
                <w:color w:val="auto"/>
              </w:rPr>
            </w:pPr>
            <w:r>
              <w:rPr>
                <w:rFonts w:ascii="Times New Roman" w:cs="Times New Roman" w:eastAsia="Times New Roman" w:hAnsi="Times New Roman"/>
                <w:sz w:val="16"/>
                <w:szCs w:val="16"/>
                <w:color w:val="auto"/>
                <w:w w:val="99"/>
              </w:rPr>
              <w:t>34,814,000</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500" w:right="20" w:hanging="316"/>
        <w:spacing w:after="0" w:line="232"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amount of total compensation reported for Ms. Ellen Cotter, who served as our PEO in 2021, 2022 and 2023 for each corresponding fiscal year in the "Total($)" column of the Summary Compensation Table for the covered fiscal year. Refer to the "Summary Compensation Table" for the covered fiscal year for more information.</w:t>
      </w:r>
    </w:p>
    <w:p>
      <w:pPr>
        <w:spacing w:after="0" w:line="114" w:lineRule="exact"/>
        <w:rPr>
          <w:rFonts w:ascii="Times New Roman" w:cs="Times New Roman" w:eastAsia="Times New Roman" w:hAnsi="Times New Roman"/>
          <w:sz w:val="16"/>
          <w:szCs w:val="16"/>
          <w:color w:val="auto"/>
        </w:rPr>
      </w:pPr>
    </w:p>
    <w:p>
      <w:pPr>
        <w:jc w:val="both"/>
        <w:ind w:left="500" w:right="20" w:hanging="316"/>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amount of “compensation actually paid” to our PEO, as computed in accordance with Item 402(v) of Regulation S-K, in fiscal years 2021, 2022 and 2023. The dollar amounts do not reflect the actual amount of compensation earned by or paid to our PEO during the applicable fiscal year. In accordance with the requirements of Item 402(v) of Regulation S-K, the following adjustments were made to our PEO’s total compensation for each fiscal year to determine the compensation actually paid:</w:t>
      </w:r>
    </w:p>
    <w:p>
      <w:pPr>
        <w:spacing w:after="0" w:line="311" w:lineRule="exact"/>
        <w:rPr>
          <w:sz w:val="20"/>
          <w:szCs w:val="20"/>
          <w:color w:val="auto"/>
        </w:rPr>
      </w:pPr>
    </w:p>
    <w:tbl>
      <w:tblPr>
        <w:tblLayout w:type="fixed"/>
        <w:tblInd w:w="190" w:type="dxa"/>
        <w:tblCellMar>
          <w:top w:w="0" w:type="dxa"/>
          <w:left w:w="0" w:type="dxa"/>
          <w:bottom w:w="0" w:type="dxa"/>
          <w:right w:w="0" w:type="dxa"/>
        </w:tblCellMar>
      </w:tblPr>
      <w:tr>
        <w:trPr>
          <w:trHeight w:val="243"/>
        </w:trPr>
        <w:tc>
          <w:tcPr>
            <w:tcW w:w="880" w:type="dxa"/>
            <w:vAlign w:val="bottom"/>
            <w:tcBorders>
              <w:top w:val="single" w:sz="8" w:color="auto"/>
              <w:left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40" w:type="dxa"/>
            <w:vAlign w:val="bottom"/>
            <w:tcBorders>
              <w:top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10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at the end</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the</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of equity</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prior</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of equity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awards</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fiscal year</w:t>
            </w:r>
          </w:p>
        </w:tc>
        <w:tc>
          <w:tcPr>
            <w:tcW w:w="9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awards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granted in</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equity</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granted in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prior years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8"/>
              </w:rPr>
              <w:t>awards</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prior</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that are</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granted in</w:t>
            </w:r>
          </w:p>
        </w:tc>
        <w:tc>
          <w:tcPr>
            <w:tcW w:w="94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years that</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outstanding</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the prior</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for service</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Deduction</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vested at</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and</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year that</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cost and</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9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the end of</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unvested as</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7"/>
              </w:rPr>
              <w:t>were</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prior</w:t>
            </w: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Deduction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for SCT</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or during</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the end</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forfeited</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service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9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"Restricted</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the</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of the</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during the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cost for</w:t>
            </w:r>
          </w:p>
        </w:tc>
        <w:tc>
          <w:tcPr>
            <w:tcW w:w="1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6"/>
              </w:rPr>
              <w:t>Table Total</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for Option</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Stock</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covered</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covered</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covered</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pension</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Actually Paid</w:t>
            </w:r>
          </w:p>
        </w:tc>
        <w:tc>
          <w:tcPr>
            <w:tcW w:w="0" w:type="dxa"/>
            <w:vAlign w:val="bottom"/>
          </w:tcPr>
          <w:p>
            <w:pPr>
              <w:spacing w:after="0"/>
              <w:rPr>
                <w:sz w:val="1"/>
                <w:szCs w:val="1"/>
                <w:color w:val="auto"/>
              </w:rPr>
            </w:pPr>
          </w:p>
        </w:tc>
      </w:tr>
      <w:tr>
        <w:trPr>
          <w:trHeight w:val="202"/>
        </w:trPr>
        <w:tc>
          <w:tcPr>
            <w:tcW w:w="880" w:type="dxa"/>
            <w:vAlign w:val="bottom"/>
            <w:tcBorders>
              <w:left w:val="single" w:sz="8" w:color="auto"/>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 PEO</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to PEO</w:t>
            </w:r>
          </w:p>
        </w:tc>
        <w:tc>
          <w:tcPr>
            <w:tcW w:w="0" w:type="dxa"/>
            <w:vAlign w:val="bottom"/>
          </w:tcPr>
          <w:p>
            <w:pPr>
              <w:spacing w:after="0"/>
              <w:rPr>
                <w:sz w:val="1"/>
                <w:szCs w:val="1"/>
                <w:color w:val="auto"/>
              </w:rPr>
            </w:pPr>
          </w:p>
        </w:tc>
      </w:tr>
      <w:tr>
        <w:trPr>
          <w:trHeight w:val="324"/>
        </w:trPr>
        <w:tc>
          <w:tcPr>
            <w:tcW w:w="88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91"/>
        </w:trPr>
        <w:tc>
          <w:tcPr>
            <w:tcW w:w="880" w:type="dxa"/>
            <w:vAlign w:val="bottom"/>
            <w:tcBorders>
              <w:left w:val="single" w:sz="8" w:color="auto"/>
              <w:bottom w:val="single" w:sz="8" w:color="auto"/>
              <w:right w:val="single" w:sz="8" w:color="auto"/>
            </w:tcBorders>
            <w:shd w:val="clear" w:color="auto" w:fill="C1E1FB"/>
          </w:tcPr>
          <w:p>
            <w:pPr>
              <w:ind w:left="280"/>
              <w:spacing w:after="0"/>
              <w:rPr>
                <w:sz w:val="20"/>
                <w:szCs w:val="20"/>
                <w:color w:val="auto"/>
              </w:rPr>
            </w:pPr>
            <w:r>
              <w:rPr>
                <w:rFonts w:ascii="Times New Roman" w:cs="Times New Roman" w:eastAsia="Times New Roman" w:hAnsi="Times New Roman"/>
                <w:sz w:val="16"/>
                <w:szCs w:val="16"/>
                <w:color w:val="auto"/>
              </w:rPr>
              <w:t>2023</w:t>
            </w:r>
          </w:p>
        </w:tc>
        <w:tc>
          <w:tcPr>
            <w:tcW w:w="1200" w:type="dxa"/>
            <w:vAlign w:val="bottom"/>
            <w:tcBorders>
              <w:bottom w:val="single" w:sz="8" w:color="auto"/>
              <w:right w:val="single" w:sz="8" w:color="auto"/>
            </w:tcBorders>
            <w:shd w:val="clear" w:color="auto" w:fill="C1E1FB"/>
          </w:tcPr>
          <w:p>
            <w:pPr>
              <w:ind w:left="480"/>
              <w:spacing w:after="0"/>
              <w:rPr>
                <w:sz w:val="20"/>
                <w:szCs w:val="20"/>
                <w:color w:val="auto"/>
              </w:rPr>
            </w:pPr>
            <w:r>
              <w:rPr>
                <w:rFonts w:ascii="Times New Roman" w:cs="Times New Roman" w:eastAsia="Times New Roman" w:hAnsi="Times New Roman"/>
                <w:sz w:val="16"/>
                <w:szCs w:val="16"/>
                <w:color w:val="auto"/>
              </w:rPr>
              <w:t>1,020,580</w:t>
            </w:r>
          </w:p>
        </w:tc>
        <w:tc>
          <w:tcPr>
            <w:tcW w:w="980" w:type="dxa"/>
            <w:vAlign w:val="bottom"/>
            <w:tcBorders>
              <w:bottom w:val="single" w:sz="8" w:color="auto"/>
              <w:right w:val="single" w:sz="8" w:color="auto"/>
            </w:tcBorders>
            <w:shd w:val="clear" w:color="auto" w:fill="C1E1FB"/>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940" w:type="dxa"/>
            <w:vAlign w:val="bottom"/>
            <w:tcBorders>
              <w:bottom w:val="single" w:sz="8" w:color="auto"/>
              <w:right w:val="single" w:sz="8" w:color="auto"/>
            </w:tcBorders>
            <w:shd w:val="clear" w:color="auto" w:fill="C1E1FB"/>
          </w:tcPr>
          <w:p>
            <w:pPr>
              <w:ind w:left="360"/>
              <w:spacing w:after="0"/>
              <w:rPr>
                <w:sz w:val="20"/>
                <w:szCs w:val="20"/>
                <w:color w:val="auto"/>
              </w:rPr>
            </w:pPr>
            <w:r>
              <w:rPr>
                <w:rFonts w:ascii="Times New Roman" w:cs="Times New Roman" w:eastAsia="Times New Roman" w:hAnsi="Times New Roman"/>
                <w:sz w:val="16"/>
                <w:szCs w:val="16"/>
                <w:color w:val="auto"/>
                <w:w w:val="98"/>
              </w:rPr>
              <w:t>(43,575)</w:t>
            </w:r>
          </w:p>
        </w:tc>
        <w:tc>
          <w:tcPr>
            <w:tcW w:w="10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(258,071)</w:t>
            </w:r>
          </w:p>
        </w:tc>
        <w:tc>
          <w:tcPr>
            <w:tcW w:w="960" w:type="dxa"/>
            <w:vAlign w:val="bottom"/>
            <w:tcBorders>
              <w:bottom w:val="single" w:sz="8" w:color="auto"/>
              <w:right w:val="single" w:sz="8" w:color="auto"/>
            </w:tcBorders>
            <w:shd w:val="clear" w:color="auto" w:fill="C1E1FB"/>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shd w:val="clear" w:color="auto" w:fill="C1E1FB"/>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Times New Roman" w:cs="Times New Roman" w:eastAsia="Times New Roman" w:hAnsi="Times New Roman"/>
                <w:sz w:val="16"/>
                <w:szCs w:val="16"/>
                <w:color w:val="auto"/>
              </w:rPr>
              <w:t>318,935</w:t>
            </w:r>
          </w:p>
        </w:tc>
        <w:tc>
          <w:tcPr>
            <w:tcW w:w="0" w:type="dxa"/>
            <w:vAlign w:val="bottom"/>
          </w:tcPr>
          <w:p>
            <w:pPr>
              <w:spacing w:after="0"/>
              <w:rPr>
                <w:sz w:val="1"/>
                <w:szCs w:val="1"/>
                <w:color w:val="auto"/>
              </w:rPr>
            </w:pPr>
          </w:p>
        </w:tc>
      </w:tr>
      <w:tr>
        <w:trPr>
          <w:trHeight w:val="290"/>
        </w:trPr>
        <w:tc>
          <w:tcPr>
            <w:tcW w:w="88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2022</w:t>
            </w:r>
          </w:p>
        </w:tc>
        <w:tc>
          <w:tcPr>
            <w:tcW w:w="12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1,137,580</w:t>
            </w:r>
          </w:p>
        </w:tc>
        <w:tc>
          <w:tcPr>
            <w:tcW w:w="980" w:type="dxa"/>
            <w:vAlign w:val="bottom"/>
            <w:tcBorders>
              <w:bottom w:val="single" w:sz="8" w:color="auto"/>
              <w:right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(535,000)</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(294,839)</w:t>
            </w:r>
          </w:p>
        </w:tc>
        <w:tc>
          <w:tcPr>
            <w:tcW w:w="96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313,281</w:t>
            </w:r>
          </w:p>
        </w:tc>
        <w:tc>
          <w:tcPr>
            <w:tcW w:w="0" w:type="dxa"/>
            <w:vAlign w:val="bottom"/>
          </w:tcPr>
          <w:p>
            <w:pPr>
              <w:spacing w:after="0"/>
              <w:rPr>
                <w:sz w:val="1"/>
                <w:szCs w:val="1"/>
                <w:color w:val="auto"/>
              </w:rPr>
            </w:pPr>
          </w:p>
        </w:tc>
      </w:tr>
      <w:tr>
        <w:trPr>
          <w:trHeight w:val="290"/>
        </w:trPr>
        <w:tc>
          <w:tcPr>
            <w:tcW w:w="880" w:type="dxa"/>
            <w:vAlign w:val="bottom"/>
            <w:tcBorders>
              <w:left w:val="single" w:sz="8" w:color="auto"/>
              <w:bottom w:val="single" w:sz="8" w:color="auto"/>
              <w:right w:val="single" w:sz="8" w:color="auto"/>
            </w:tcBorders>
            <w:shd w:val="clear" w:color="auto" w:fill="BDD6EE"/>
          </w:tcPr>
          <w:p>
            <w:pPr>
              <w:ind w:left="280"/>
              <w:spacing w:after="0"/>
              <w:rPr>
                <w:sz w:val="20"/>
                <w:szCs w:val="20"/>
                <w:color w:val="auto"/>
              </w:rPr>
            </w:pPr>
            <w:r>
              <w:rPr>
                <w:rFonts w:ascii="Times New Roman" w:cs="Times New Roman" w:eastAsia="Times New Roman" w:hAnsi="Times New Roman"/>
                <w:sz w:val="16"/>
                <w:szCs w:val="16"/>
                <w:color w:val="auto"/>
              </w:rPr>
              <w:t>2021</w:t>
            </w:r>
          </w:p>
        </w:tc>
        <w:tc>
          <w:tcPr>
            <w:tcW w:w="1200" w:type="dxa"/>
            <w:vAlign w:val="bottom"/>
            <w:tcBorders>
              <w:bottom w:val="single" w:sz="8" w:color="auto"/>
              <w:right w:val="single" w:sz="8" w:color="auto"/>
            </w:tcBorders>
            <w:shd w:val="clear" w:color="auto" w:fill="BDD6EE"/>
          </w:tcPr>
          <w:p>
            <w:pPr>
              <w:ind w:left="480"/>
              <w:spacing w:after="0"/>
              <w:rPr>
                <w:sz w:val="20"/>
                <w:szCs w:val="20"/>
                <w:color w:val="auto"/>
              </w:rPr>
            </w:pPr>
            <w:r>
              <w:rPr>
                <w:rFonts w:ascii="Times New Roman" w:cs="Times New Roman" w:eastAsia="Times New Roman" w:hAnsi="Times New Roman"/>
                <w:sz w:val="16"/>
                <w:szCs w:val="16"/>
                <w:color w:val="auto"/>
              </w:rPr>
              <w:t>1,602,580</w:t>
            </w:r>
          </w:p>
        </w:tc>
        <w:tc>
          <w:tcPr>
            <w:tcW w:w="980" w:type="dxa"/>
            <w:vAlign w:val="bottom"/>
            <w:tcBorders>
              <w:bottom w:val="single" w:sz="8" w:color="auto"/>
              <w:right w:val="single" w:sz="8" w:color="auto"/>
            </w:tcBorders>
            <w:shd w:val="clear" w:color="auto" w:fill="BDD6EE"/>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9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43,588</w:t>
            </w:r>
          </w:p>
        </w:tc>
        <w:tc>
          <w:tcPr>
            <w:tcW w:w="102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(161,160)</w:t>
            </w:r>
          </w:p>
        </w:tc>
        <w:tc>
          <w:tcPr>
            <w:tcW w:w="960" w:type="dxa"/>
            <w:vAlign w:val="bottom"/>
            <w:tcBorders>
              <w:bottom w:val="single" w:sz="8" w:color="auto"/>
              <w:right w:val="single" w:sz="8" w:color="auto"/>
            </w:tcBorders>
            <w:shd w:val="clear" w:color="auto" w:fill="BDD6EE"/>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shd w:val="clear" w:color="auto" w:fill="BDD6EE"/>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1,085,008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80" w:right="20" w:hanging="396"/>
        <w:spacing w:after="0" w:line="232"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 reported represents the average of the amount of total compensation reported for our Company’s NEOs as a group, excluding our PEO, in the “Total” column of the Summary Compensation Table for the covered fiscal year. The NEOs included for purposes of calculating the average amounts in each applicable fiscal year are Ms. Margaret Cotter and Mr. Craig Tompkins.</w:t>
      </w:r>
    </w:p>
    <w:p>
      <w:pPr>
        <w:spacing w:after="0" w:line="114" w:lineRule="exact"/>
        <w:rPr>
          <w:rFonts w:ascii="Times New Roman" w:cs="Times New Roman" w:eastAsia="Times New Roman" w:hAnsi="Times New Roman"/>
          <w:sz w:val="16"/>
          <w:szCs w:val="16"/>
          <w:color w:val="auto"/>
        </w:rPr>
      </w:pPr>
    </w:p>
    <w:p>
      <w:pPr>
        <w:jc w:val="both"/>
        <w:ind w:left="580" w:right="20" w:hanging="396"/>
        <w:spacing w:after="0" w:line="223"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amount of “compensation actually paid” to our non-PEO NEOs, as computed in accordance with Item 402(v) of Regulation S-K, in fiscal years 2021, 2022 and 2023. The dollar amounts do not reflect the actual amount of compensation earned by our non-PEO NEOs during the applicable fiscal year. In accordance with the requirements of Item 402(v) of Regulation S-K, the following adjustments were made to our average non-PEO NEOs’ total compensation for each fiscal year to determine the compensation actually paid:</w:t>
      </w: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320"/>
          </w:cols>
          <w:pgMar w:left="1440" w:top="279" w:right="1139" w:bottom="1440" w:gutter="0" w:footer="0" w:header="0"/>
        </w:sectPr>
      </w:pPr>
    </w:p>
    <w:bookmarkStart w:id="43" w:name="page44"/>
    <w:bookmarkEnd w:id="43"/>
    <w:tbl>
      <w:tblPr>
        <w:tblLayout w:type="fixed"/>
        <w:tblInd w:w="190" w:type="dxa"/>
        <w:tblCellMar>
          <w:top w:w="0" w:type="dxa"/>
          <w:left w:w="0" w:type="dxa"/>
          <w:bottom w:w="0" w:type="dxa"/>
          <w:right w:w="0" w:type="dxa"/>
        </w:tblCellMar>
      </w:tblPr>
      <w:tr>
        <w:trPr>
          <w:trHeight w:val="243"/>
        </w:trPr>
        <w:tc>
          <w:tcPr>
            <w:tcW w:w="880" w:type="dxa"/>
            <w:vAlign w:val="bottom"/>
            <w:tcBorders>
              <w:top w:val="single" w:sz="8" w:color="auto"/>
              <w:left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940" w:type="dxa"/>
            <w:vAlign w:val="bottom"/>
            <w:tcBorders>
              <w:top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 fair</w:t>
            </w:r>
          </w:p>
        </w:tc>
        <w:tc>
          <w:tcPr>
            <w:tcW w:w="104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at the end</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value of</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of the</w:t>
            </w:r>
          </w:p>
        </w:tc>
        <w:tc>
          <w:tcPr>
            <w:tcW w:w="9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equity</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equity</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prior</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awards</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awards</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fiscal year</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granted</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granted in</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of equity</w:t>
            </w:r>
          </w:p>
        </w:tc>
        <w:tc>
          <w:tcPr>
            <w:tcW w:w="9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 prior</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prior years</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awards</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years that</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that are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granted in</w:t>
            </w:r>
          </w:p>
        </w:tc>
        <w:tc>
          <w:tcPr>
            <w:tcW w:w="94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vested at</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outstanding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the prior</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for service</w:t>
            </w: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Deduction</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the end of</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and</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year that</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cost and</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or during</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unvested as</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were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prior</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Deduction</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for SCT</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the</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of the end</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forfeited</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w w:val="99"/>
              </w:rPr>
              <w:t>service</w:t>
            </w:r>
          </w:p>
        </w:tc>
        <w:tc>
          <w:tcPr>
            <w:tcW w:w="1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8"/>
              </w:rPr>
              <w:t>Table Total for</w:t>
            </w:r>
          </w:p>
        </w:tc>
        <w:tc>
          <w:tcPr>
            <w:tcW w:w="100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"Restricted</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covered</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of the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during the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cost for</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Actually Paid</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Non-PEO</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for Option</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Stock</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fiscal</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covered</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covered</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pension</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to Non-PEO</w:t>
            </w:r>
          </w:p>
        </w:tc>
        <w:tc>
          <w:tcPr>
            <w:tcW w:w="0" w:type="dxa"/>
            <w:vAlign w:val="bottom"/>
          </w:tcPr>
          <w:p>
            <w:pPr>
              <w:spacing w:after="0"/>
              <w:rPr>
                <w:sz w:val="1"/>
                <w:szCs w:val="1"/>
                <w:color w:val="auto"/>
              </w:rPr>
            </w:pPr>
          </w:p>
        </w:tc>
      </w:tr>
      <w:tr>
        <w:trPr>
          <w:trHeight w:val="202"/>
        </w:trPr>
        <w:tc>
          <w:tcPr>
            <w:tcW w:w="88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NEOs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year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NEOs</w:t>
            </w:r>
          </w:p>
        </w:tc>
        <w:tc>
          <w:tcPr>
            <w:tcW w:w="0" w:type="dxa"/>
            <w:vAlign w:val="bottom"/>
          </w:tcPr>
          <w:p>
            <w:pPr>
              <w:spacing w:after="0"/>
              <w:rPr>
                <w:sz w:val="1"/>
                <w:szCs w:val="1"/>
                <w:color w:val="auto"/>
              </w:rPr>
            </w:pPr>
          </w:p>
        </w:tc>
      </w:tr>
      <w:tr>
        <w:trPr>
          <w:trHeight w:val="284"/>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Year</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18"/>
        </w:trPr>
        <w:tc>
          <w:tcPr>
            <w:tcW w:w="880" w:type="dxa"/>
            <w:vAlign w:val="bottom"/>
            <w:tcBorders>
              <w:left w:val="single" w:sz="8" w:color="auto"/>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2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678,357</w:t>
            </w:r>
          </w:p>
        </w:tc>
        <w:tc>
          <w:tcPr>
            <w:tcW w:w="1000" w:type="dxa"/>
            <w:vAlign w:val="bottom"/>
            <w:tcBorders>
              <w:bottom w:val="single" w:sz="8" w:color="auto"/>
              <w:right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90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10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(113,212)</w:t>
            </w:r>
          </w:p>
        </w:tc>
        <w:tc>
          <w:tcPr>
            <w:tcW w:w="920" w:type="dxa"/>
            <w:vAlign w:val="bottom"/>
            <w:tcBorders>
              <w:bottom w:val="single" w:sz="8" w:color="auto"/>
              <w:right w:val="single" w:sz="8" w:color="auto"/>
            </w:tcBorders>
            <w:shd w:val="clear" w:color="auto" w:fill="BDD6EE"/>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BDD6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353,107</w:t>
            </w:r>
          </w:p>
        </w:tc>
        <w:tc>
          <w:tcPr>
            <w:tcW w:w="0" w:type="dxa"/>
            <w:vAlign w:val="bottom"/>
          </w:tcPr>
          <w:p>
            <w:pPr>
              <w:spacing w:after="0"/>
              <w:rPr>
                <w:sz w:val="1"/>
                <w:szCs w:val="1"/>
                <w:color w:val="auto"/>
              </w:rPr>
            </w:pPr>
          </w:p>
        </w:tc>
      </w:tr>
      <w:tr>
        <w:trPr>
          <w:trHeight w:val="29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695,779</w:t>
            </w:r>
          </w:p>
        </w:tc>
        <w:tc>
          <w:tcPr>
            <w:tcW w:w="100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(233,754)</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(112,112)</w:t>
            </w:r>
          </w:p>
        </w:tc>
        <w:tc>
          <w:tcPr>
            <w:tcW w:w="9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352,709</w:t>
            </w:r>
          </w:p>
        </w:tc>
        <w:tc>
          <w:tcPr>
            <w:tcW w:w="0" w:type="dxa"/>
            <w:vAlign w:val="bottom"/>
          </w:tcPr>
          <w:p>
            <w:pPr>
              <w:spacing w:after="0"/>
              <w:rPr>
                <w:sz w:val="1"/>
                <w:szCs w:val="1"/>
                <w:color w:val="auto"/>
              </w:rPr>
            </w:pPr>
          </w:p>
        </w:tc>
      </w:tr>
      <w:tr>
        <w:trPr>
          <w:trHeight w:val="290"/>
        </w:trPr>
        <w:tc>
          <w:tcPr>
            <w:tcW w:w="880" w:type="dxa"/>
            <w:vAlign w:val="bottom"/>
            <w:tcBorders>
              <w:left w:val="single" w:sz="8" w:color="auto"/>
              <w:bottom w:val="single" w:sz="8" w:color="auto"/>
              <w:right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2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811,181</w:t>
            </w:r>
          </w:p>
        </w:tc>
        <w:tc>
          <w:tcPr>
            <w:tcW w:w="1000" w:type="dxa"/>
            <w:vAlign w:val="bottom"/>
            <w:tcBorders>
              <w:bottom w:val="single" w:sz="8" w:color="auto"/>
              <w:right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90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920" w:type="dxa"/>
            <w:vAlign w:val="bottom"/>
            <w:tcBorders>
              <w:bottom w:val="single" w:sz="8" w:color="auto"/>
              <w:right w:val="single" w:sz="8" w:color="auto"/>
            </w:tcBorders>
            <w:shd w:val="clear" w:color="auto" w:fill="BDD6EE"/>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BDD6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8"/>
                <w:szCs w:val="18"/>
                <w:color w:val="auto"/>
              </w:rPr>
              <w:t>575,791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6"/>
          <w:szCs w:val="16"/>
          <w:color w:val="auto"/>
        </w:rPr>
        <w:t>(5)</w:t>
        <w:tab/>
        <w:t>Total Shareholder Return is determined based on the value of an initial fixed investment of $100 as of December 31, 2020.</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Actually Paid and Cumulative Total Shareholder Return (“TSR”)</w:t>
      </w:r>
    </w:p>
    <w:p>
      <w:pPr>
        <w:spacing w:after="0" w:line="270" w:lineRule="exact"/>
        <w:rPr>
          <w:sz w:val="20"/>
          <w:szCs w:val="20"/>
          <w:color w:val="auto"/>
        </w:rPr>
      </w:pPr>
    </w:p>
    <w:p>
      <w:pPr>
        <w:jc w:val="both"/>
        <w:ind w:left="180" w:right="20" w:firstLine="648"/>
        <w:spacing w:after="0" w:line="222" w:lineRule="auto"/>
        <w:rPr>
          <w:sz w:val="20"/>
          <w:szCs w:val="20"/>
          <w:color w:val="auto"/>
        </w:rPr>
      </w:pPr>
      <w:r>
        <w:rPr>
          <w:rFonts w:ascii="Times New Roman" w:cs="Times New Roman" w:eastAsia="Times New Roman" w:hAnsi="Times New Roman"/>
          <w:sz w:val="18"/>
          <w:szCs w:val="18"/>
          <w:color w:val="auto"/>
        </w:rPr>
        <w:t>As described in “Executive Compensation ─ Compensation Overview,” our Compensation Committee makes long-term incentive awards in the form of time vested RSUs and PRSUs that are used as a means to further align our NEO’s long-</w:t>
      </w:r>
    </w:p>
    <w:p>
      <w:pPr>
        <w:spacing w:after="0" w:line="2" w:lineRule="exact"/>
        <w:rPr>
          <w:sz w:val="20"/>
          <w:szCs w:val="20"/>
          <w:color w:val="auto"/>
        </w:rPr>
      </w:pPr>
    </w:p>
    <w:p>
      <w:pPr>
        <w:jc w:val="both"/>
        <w:ind w:left="180" w:right="20"/>
        <w:spacing w:after="0" w:line="208" w:lineRule="auto"/>
        <w:rPr>
          <w:sz w:val="20"/>
          <w:szCs w:val="20"/>
          <w:color w:val="auto"/>
        </w:rPr>
      </w:pPr>
      <w:r>
        <w:rPr>
          <w:rFonts w:ascii="Times New Roman" w:cs="Times New Roman" w:eastAsia="Times New Roman" w:hAnsi="Times New Roman"/>
          <w:sz w:val="18"/>
          <w:szCs w:val="18"/>
          <w:color w:val="auto"/>
        </w:rPr>
        <w:t>term interests with those of our stockholders, with the ultimate objective of affording our executives an appropriate incentive to help drive increases in stockholder value. The following graph demonstrates the relationship between compensation actually paid to our PEO, the average of the compensation actually paid to our remaining non-PEO NEOs and the cumulative</w:t>
      </w:r>
    </w:p>
    <w:p>
      <w:pPr>
        <w:spacing w:after="0" w:line="2" w:lineRule="exact"/>
        <w:rPr>
          <w:sz w:val="20"/>
          <w:szCs w:val="20"/>
          <w:color w:val="auto"/>
        </w:rPr>
      </w:pPr>
    </w:p>
    <w:p>
      <w:pPr>
        <w:jc w:val="both"/>
        <w:ind w:left="180" w:right="20"/>
        <w:spacing w:after="0" w:line="226" w:lineRule="auto"/>
        <w:rPr>
          <w:sz w:val="20"/>
          <w:szCs w:val="20"/>
          <w:color w:val="auto"/>
        </w:rPr>
      </w:pPr>
      <w:r>
        <w:rPr>
          <w:rFonts w:ascii="Times New Roman" w:cs="Times New Roman" w:eastAsia="Times New Roman" w:hAnsi="Times New Roman"/>
          <w:sz w:val="18"/>
          <w:szCs w:val="18"/>
          <w:color w:val="auto"/>
        </w:rPr>
        <w:t>TSR of our Company during the last three completed fiscal years. The TSR amounts in the graph assume a fixed investment of $100 was invested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171450</wp:posOffset>
            </wp:positionV>
            <wp:extent cx="4234815" cy="2717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3481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320"/>
          </w:cols>
          <w:pgMar w:left="1440" w:top="538" w:right="1139" w:bottom="1440" w:gutter="0" w:footer="0" w:header="0"/>
        </w:sectPr>
      </w:pPr>
    </w:p>
    <w:bookmarkStart w:id="44" w:name="page45"/>
    <w:bookmarkEnd w:id="44"/>
    <w:p>
      <w:pPr>
        <w:ind w:left="180"/>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40" w:lineRule="exact"/>
        <w:rPr>
          <w:sz w:val="20"/>
          <w:szCs w:val="20"/>
          <w:color w:val="auto"/>
        </w:rPr>
      </w:pPr>
    </w:p>
    <w:p>
      <w:pPr>
        <w:jc w:val="both"/>
        <w:ind w:left="180" w:right="160"/>
        <w:spacing w:after="0" w:line="226" w:lineRule="auto"/>
        <w:rPr>
          <w:sz w:val="20"/>
          <w:szCs w:val="20"/>
          <w:color w:val="auto"/>
        </w:rPr>
      </w:pPr>
      <w:r>
        <w:rPr>
          <w:rFonts w:ascii="Times New Roman" w:cs="Times New Roman" w:eastAsia="Times New Roman" w:hAnsi="Times New Roman"/>
          <w:sz w:val="18"/>
          <w:szCs w:val="18"/>
          <w:color w:val="auto"/>
        </w:rPr>
        <w:t>The following graph demonstrates the relationship between compensation actually paid to our PEO, the average of the compensation actually paid to our remaining non-PEO NEOs and the net income of our Company during the last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172085</wp:posOffset>
            </wp:positionV>
            <wp:extent cx="3883025" cy="2366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8302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80" w:right="1220" w:firstLine="648"/>
        <w:spacing w:after="0" w:line="237" w:lineRule="auto"/>
        <w:rPr>
          <w:sz w:val="20"/>
          <w:szCs w:val="20"/>
          <w:color w:val="auto"/>
        </w:rPr>
      </w:pPr>
      <w:r>
        <w:rPr>
          <w:rFonts w:ascii="Times New Roman" w:cs="Times New Roman" w:eastAsia="Times New Roman" w:hAnsi="Times New Roman"/>
          <w:sz w:val="18"/>
          <w:szCs w:val="18"/>
          <w:color w:val="auto"/>
        </w:rPr>
        <w:t>This section discusses the material components of the compensation program for our executive officers named in the Summary Compensation Table below.</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left="180" w:right="900" w:firstLine="648"/>
        <w:spacing w:after="0" w:line="222" w:lineRule="auto"/>
        <w:rPr>
          <w:sz w:val="20"/>
          <w:szCs w:val="20"/>
          <w:color w:val="auto"/>
        </w:rPr>
      </w:pPr>
      <w:r>
        <w:rPr>
          <w:rFonts w:ascii="Times New Roman" w:cs="Times New Roman" w:eastAsia="Times New Roman" w:hAnsi="Times New Roman"/>
          <w:sz w:val="18"/>
          <w:szCs w:val="18"/>
          <w:color w:val="auto"/>
        </w:rPr>
        <w:t>The following table shows the compensation paid or accrued during the last two fiscal years ended December 31, 2023, to (i) Vice Chair Ellen Cotter, who has served as our principal executive officer, and (ii)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two most highly compensated persons who served as executive officers in 2023.</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reflects executives are herein referred to as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60325</wp:posOffset>
            </wp:positionV>
            <wp:extent cx="5897880" cy="2494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97880" cy="2494280"/>
                    </a:xfrm>
                    <a:prstGeom prst="rect">
                      <a:avLst/>
                    </a:prstGeom>
                    <a:noFill/>
                  </pic:spPr>
                </pic:pic>
              </a:graphicData>
            </a:graphic>
          </wp:anchor>
        </w:drawing>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820" w:type="dxa"/>
            <w:vAlign w:val="bottom"/>
          </w:tcPr>
          <w:p>
            <w:pPr>
              <w:spacing w:after="0"/>
              <w:rPr>
                <w:sz w:val="15"/>
                <w:szCs w:val="15"/>
                <w:color w:val="auto"/>
              </w:rPr>
            </w:pPr>
          </w:p>
        </w:tc>
        <w:tc>
          <w:tcPr>
            <w:tcW w:w="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900" w:type="dxa"/>
            <w:vAlign w:val="bottom"/>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110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3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20" w:type="dxa"/>
            <w:vAlign w:val="bottom"/>
            <w:vMerge w:val="continue"/>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Compen-</w:t>
            </w: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Executed</w:t>
            </w: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60" w:type="dxa"/>
            <w:vAlign w:val="bottom"/>
            <w:vMerge w:val="continue"/>
          </w:tcPr>
          <w:p>
            <w:pPr>
              <w:spacing w:after="0"/>
              <w:rPr>
                <w:sz w:val="15"/>
                <w:szCs w:val="15"/>
                <w:color w:val="auto"/>
              </w:rPr>
            </w:pPr>
          </w:p>
        </w:tc>
        <w:tc>
          <w:tcPr>
            <w:tcW w:w="9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Awards</w:t>
            </w:r>
          </w:p>
        </w:tc>
        <w:tc>
          <w:tcPr>
            <w:tcW w:w="82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Awards</w:t>
            </w:r>
          </w:p>
        </w:tc>
        <w:tc>
          <w:tcPr>
            <w:tcW w:w="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sation</w:t>
            </w:r>
          </w:p>
        </w:tc>
        <w:tc>
          <w:tcPr>
            <w:tcW w:w="14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Officers</w:t>
            </w:r>
          </w:p>
        </w:tc>
        <w:tc>
          <w:tcPr>
            <w:tcW w:w="6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8"/>
                <w:szCs w:val="8"/>
                <w:color w:val="auto"/>
              </w:rPr>
              <w:t>(1)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40" w:type="dxa"/>
            <w:vAlign w:val="bottom"/>
            <w:shd w:val="clear" w:color="auto" w:fill="C6E5FE"/>
          </w:tcPr>
          <w:p>
            <w:pPr>
              <w:ind w:left="140"/>
              <w:spacing w:after="0" w:line="169" w:lineRule="exact"/>
              <w:rPr>
                <w:sz w:val="20"/>
                <w:szCs w:val="20"/>
                <w:color w:val="auto"/>
              </w:rPr>
            </w:pPr>
            <w:r>
              <w:rPr>
                <w:rFonts w:ascii="Times New Roman" w:cs="Times New Roman" w:eastAsia="Times New Roman" w:hAnsi="Times New Roman"/>
                <w:sz w:val="18"/>
                <w:szCs w:val="18"/>
                <w:color w:val="auto"/>
              </w:rPr>
              <w:t>Ellen M. Cotter</w:t>
            </w:r>
          </w:p>
        </w:tc>
        <w:tc>
          <w:tcPr>
            <w:tcW w:w="620" w:type="dxa"/>
            <w:vAlign w:val="bottom"/>
            <w:tcBorders>
              <w:left w:val="single" w:sz="8" w:color="C6E5FE"/>
            </w:tcBorders>
            <w:shd w:val="clear" w:color="auto" w:fill="C6E5FE"/>
          </w:tcPr>
          <w:p>
            <w:pPr>
              <w:jc w:val="right"/>
              <w:spacing w:after="0" w:line="169" w:lineRule="exact"/>
              <w:rPr>
                <w:sz w:val="20"/>
                <w:szCs w:val="20"/>
                <w:color w:val="auto"/>
              </w:rPr>
            </w:pPr>
            <w:r>
              <w:rPr>
                <w:rFonts w:ascii="Times New Roman" w:cs="Times New Roman" w:eastAsia="Times New Roman" w:hAnsi="Times New Roman"/>
                <w:sz w:val="18"/>
                <w:szCs w:val="18"/>
                <w:color w:val="auto"/>
              </w:rPr>
              <w:t>2023</w:t>
            </w:r>
          </w:p>
        </w:tc>
        <w:tc>
          <w:tcPr>
            <w:tcW w:w="860" w:type="dxa"/>
            <w:vAlign w:val="bottom"/>
            <w:shd w:val="clear" w:color="auto" w:fill="C6E5FE"/>
          </w:tcPr>
          <w:p>
            <w:pPr>
              <w:ind w:left="180"/>
              <w:spacing w:after="0" w:line="169" w:lineRule="exact"/>
              <w:rPr>
                <w:sz w:val="20"/>
                <w:szCs w:val="20"/>
                <w:color w:val="auto"/>
              </w:rPr>
            </w:pPr>
            <w:r>
              <w:rPr>
                <w:rFonts w:ascii="Times New Roman" w:cs="Times New Roman" w:eastAsia="Times New Roman" w:hAnsi="Times New Roman"/>
                <w:sz w:val="18"/>
                <w:szCs w:val="18"/>
                <w:color w:val="auto"/>
              </w:rPr>
              <w:t>618,000</w:t>
            </w:r>
          </w:p>
        </w:tc>
        <w:tc>
          <w:tcPr>
            <w:tcW w:w="980" w:type="dxa"/>
            <w:vAlign w:val="bottom"/>
            <w:shd w:val="clear" w:color="auto" w:fill="C6E5FE"/>
          </w:tcPr>
          <w:p>
            <w:pPr>
              <w:jc w:val="right"/>
              <w:spacing w:after="0" w:line="169" w:lineRule="exact"/>
              <w:rPr>
                <w:sz w:val="20"/>
                <w:szCs w:val="20"/>
                <w:color w:val="auto"/>
              </w:rPr>
            </w:pPr>
            <w:r>
              <w:rPr>
                <w:rFonts w:ascii="Times New Roman" w:cs="Times New Roman" w:eastAsia="Times New Roman" w:hAnsi="Times New Roman"/>
                <w:sz w:val="18"/>
                <w:szCs w:val="18"/>
                <w:color w:val="auto"/>
              </w:rPr>
              <w:t>400,000</w:t>
            </w:r>
          </w:p>
        </w:tc>
        <w:tc>
          <w:tcPr>
            <w:tcW w:w="820" w:type="dxa"/>
            <w:vAlign w:val="bottom"/>
            <w:shd w:val="clear" w:color="auto" w:fill="C6E5FE"/>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6E5FE"/>
          </w:tcPr>
          <w:p>
            <w:pPr>
              <w:jc w:val="right"/>
              <w:ind w:right="34"/>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6E5FE"/>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2,580</w:t>
            </w:r>
          </w:p>
        </w:tc>
        <w:tc>
          <w:tcPr>
            <w:tcW w:w="320" w:type="dxa"/>
            <w:vAlign w:val="bottom"/>
            <w:shd w:val="clear" w:color="auto" w:fill="C6E5FE"/>
          </w:tcPr>
          <w:p>
            <w:pPr>
              <w:jc w:val="right"/>
              <w:ind w:right="135"/>
              <w:spacing w:after="0"/>
              <w:rPr>
                <w:sz w:val="20"/>
                <w:szCs w:val="20"/>
                <w:color w:val="auto"/>
              </w:rPr>
            </w:pPr>
            <w:r>
              <w:rPr>
                <w:rFonts w:ascii="Times New Roman" w:cs="Times New Roman" w:eastAsia="Times New Roman" w:hAnsi="Times New Roman"/>
                <w:sz w:val="9"/>
                <w:szCs w:val="9"/>
                <w:color w:val="auto"/>
              </w:rPr>
              <w:t>(2)</w:t>
            </w:r>
          </w:p>
        </w:tc>
        <w:tc>
          <w:tcPr>
            <w:tcW w:w="1280" w:type="dxa"/>
            <w:vAlign w:val="bottom"/>
            <w:shd w:val="clear" w:color="auto" w:fill="C6E5FE"/>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6E5FE"/>
          </w:tcPr>
          <w:p>
            <w:pPr>
              <w:jc w:val="right"/>
              <w:spacing w:after="0" w:line="169" w:lineRule="exact"/>
              <w:rPr>
                <w:sz w:val="20"/>
                <w:szCs w:val="20"/>
                <w:color w:val="auto"/>
              </w:rPr>
            </w:pPr>
            <w:r>
              <w:rPr>
                <w:rFonts w:ascii="Times New Roman" w:cs="Times New Roman" w:eastAsia="Times New Roman" w:hAnsi="Times New Roman"/>
                <w:sz w:val="18"/>
                <w:szCs w:val="18"/>
                <w:color w:val="auto"/>
              </w:rPr>
              <w:t>1,020,580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6E5FE"/>
          </w:tcPr>
          <w:p>
            <w:pPr>
              <w:ind w:left="320"/>
              <w:spacing w:after="0"/>
              <w:rPr>
                <w:sz w:val="20"/>
                <w:szCs w:val="20"/>
                <w:color w:val="auto"/>
              </w:rPr>
            </w:pPr>
            <w:r>
              <w:rPr>
                <w:rFonts w:ascii="Times New Roman" w:cs="Times New Roman" w:eastAsia="Times New Roman" w:hAnsi="Times New Roman"/>
                <w:sz w:val="16"/>
                <w:szCs w:val="16"/>
                <w:color w:val="auto"/>
              </w:rPr>
              <w:t>Chief</w:t>
            </w:r>
          </w:p>
        </w:tc>
        <w:tc>
          <w:tcPr>
            <w:tcW w:w="620" w:type="dxa"/>
            <w:vAlign w:val="bottom"/>
            <w:tcBorders>
              <w:left w:val="single" w:sz="8" w:color="C6E5FE"/>
            </w:tcBorders>
            <w:shd w:val="clear" w:color="auto" w:fill="C6E5FE"/>
          </w:tcPr>
          <w:p>
            <w:pPr>
              <w:spacing w:after="0"/>
              <w:rPr>
                <w:sz w:val="16"/>
                <w:szCs w:val="16"/>
                <w:color w:val="auto"/>
              </w:rPr>
            </w:pPr>
          </w:p>
        </w:tc>
        <w:tc>
          <w:tcPr>
            <w:tcW w:w="860" w:type="dxa"/>
            <w:vAlign w:val="bottom"/>
            <w:shd w:val="clear" w:color="auto" w:fill="C6E5FE"/>
          </w:tcPr>
          <w:p>
            <w:pPr>
              <w:spacing w:after="0"/>
              <w:rPr>
                <w:sz w:val="16"/>
                <w:szCs w:val="16"/>
                <w:color w:val="auto"/>
              </w:rPr>
            </w:pPr>
          </w:p>
        </w:tc>
        <w:tc>
          <w:tcPr>
            <w:tcW w:w="980" w:type="dxa"/>
            <w:vAlign w:val="bottom"/>
            <w:shd w:val="clear" w:color="auto" w:fill="C6E5FE"/>
          </w:tcPr>
          <w:p>
            <w:pPr>
              <w:spacing w:after="0"/>
              <w:rPr>
                <w:sz w:val="16"/>
                <w:szCs w:val="16"/>
                <w:color w:val="auto"/>
              </w:rPr>
            </w:pPr>
          </w:p>
        </w:tc>
        <w:tc>
          <w:tcPr>
            <w:tcW w:w="820" w:type="dxa"/>
            <w:vAlign w:val="bottom"/>
            <w:shd w:val="clear" w:color="auto" w:fill="C6E5FE"/>
          </w:tcPr>
          <w:p>
            <w:pPr>
              <w:spacing w:after="0"/>
              <w:rPr>
                <w:sz w:val="16"/>
                <w:szCs w:val="16"/>
                <w:color w:val="auto"/>
              </w:rPr>
            </w:pPr>
          </w:p>
        </w:tc>
        <w:tc>
          <w:tcPr>
            <w:tcW w:w="900" w:type="dxa"/>
            <w:vAlign w:val="bottom"/>
            <w:shd w:val="clear" w:color="auto" w:fill="C6E5FE"/>
          </w:tcPr>
          <w:p>
            <w:pPr>
              <w:spacing w:after="0"/>
              <w:rPr>
                <w:sz w:val="16"/>
                <w:szCs w:val="16"/>
                <w:color w:val="auto"/>
              </w:rPr>
            </w:pPr>
          </w:p>
        </w:tc>
        <w:tc>
          <w:tcPr>
            <w:tcW w:w="1100" w:type="dxa"/>
            <w:vAlign w:val="bottom"/>
            <w:shd w:val="clear" w:color="auto" w:fill="C6E5FE"/>
          </w:tcPr>
          <w:p>
            <w:pPr>
              <w:spacing w:after="0"/>
              <w:rPr>
                <w:sz w:val="16"/>
                <w:szCs w:val="16"/>
                <w:color w:val="auto"/>
              </w:rPr>
            </w:pPr>
          </w:p>
        </w:tc>
        <w:tc>
          <w:tcPr>
            <w:tcW w:w="320" w:type="dxa"/>
            <w:vAlign w:val="bottom"/>
            <w:shd w:val="clear" w:color="auto" w:fill="C6E5FE"/>
          </w:tcPr>
          <w:p>
            <w:pPr>
              <w:spacing w:after="0"/>
              <w:rPr>
                <w:sz w:val="16"/>
                <w:szCs w:val="16"/>
                <w:color w:val="auto"/>
              </w:rPr>
            </w:pPr>
          </w:p>
        </w:tc>
        <w:tc>
          <w:tcPr>
            <w:tcW w:w="1280" w:type="dxa"/>
            <w:vAlign w:val="bottom"/>
            <w:shd w:val="clear" w:color="auto" w:fill="C6E5FE"/>
          </w:tcPr>
          <w:p>
            <w:pPr>
              <w:spacing w:after="0"/>
              <w:rPr>
                <w:sz w:val="16"/>
                <w:szCs w:val="16"/>
                <w:color w:val="auto"/>
              </w:rPr>
            </w:pPr>
          </w:p>
        </w:tc>
        <w:tc>
          <w:tcPr>
            <w:tcW w:w="960" w:type="dxa"/>
            <w:vAlign w:val="bottom"/>
            <w:shd w:val="clear" w:color="auto" w:fill="C6E5F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40" w:type="dxa"/>
            <w:vAlign w:val="bottom"/>
            <w:tcBorders>
              <w:bottom w:val="single" w:sz="8" w:color="C6E5FE"/>
            </w:tcBorders>
            <w:shd w:val="clear" w:color="auto" w:fill="C6E5FE"/>
          </w:tcPr>
          <w:p>
            <w:pPr>
              <w:ind w:left="320"/>
              <w:spacing w:after="0" w:line="142" w:lineRule="exact"/>
              <w:rPr>
                <w:sz w:val="20"/>
                <w:szCs w:val="20"/>
                <w:color w:val="auto"/>
              </w:rPr>
            </w:pPr>
            <w:r>
              <w:rPr>
                <w:rFonts w:ascii="Times New Roman" w:cs="Times New Roman" w:eastAsia="Times New Roman" w:hAnsi="Times New Roman"/>
                <w:sz w:val="16"/>
                <w:szCs w:val="16"/>
                <w:color w:val="auto"/>
              </w:rPr>
              <w:t>Executive</w:t>
            </w:r>
          </w:p>
        </w:tc>
        <w:tc>
          <w:tcPr>
            <w:tcW w:w="620" w:type="dxa"/>
            <w:vAlign w:val="bottom"/>
            <w:tcBorders>
              <w:left w:val="single" w:sz="8" w:color="C6E5FE"/>
              <w:bottom w:val="single" w:sz="8" w:color="auto"/>
            </w:tcBorders>
            <w:shd w:val="clear" w:color="auto" w:fill="C6E5FE"/>
          </w:tcPr>
          <w:p>
            <w:pPr>
              <w:spacing w:after="0"/>
              <w:rPr>
                <w:sz w:val="12"/>
                <w:szCs w:val="12"/>
                <w:color w:val="auto"/>
              </w:rPr>
            </w:pPr>
          </w:p>
        </w:tc>
        <w:tc>
          <w:tcPr>
            <w:tcW w:w="860" w:type="dxa"/>
            <w:vAlign w:val="bottom"/>
            <w:tcBorders>
              <w:bottom w:val="single" w:sz="8" w:color="auto"/>
            </w:tcBorders>
            <w:shd w:val="clear" w:color="auto" w:fill="C6E5FE"/>
          </w:tcPr>
          <w:p>
            <w:pPr>
              <w:spacing w:after="0"/>
              <w:rPr>
                <w:sz w:val="12"/>
                <w:szCs w:val="12"/>
                <w:color w:val="auto"/>
              </w:rPr>
            </w:pPr>
          </w:p>
        </w:tc>
        <w:tc>
          <w:tcPr>
            <w:tcW w:w="980" w:type="dxa"/>
            <w:vAlign w:val="bottom"/>
            <w:tcBorders>
              <w:bottom w:val="single" w:sz="8" w:color="auto"/>
            </w:tcBorders>
            <w:shd w:val="clear" w:color="auto" w:fill="C6E5FE"/>
          </w:tcPr>
          <w:p>
            <w:pPr>
              <w:spacing w:after="0"/>
              <w:rPr>
                <w:sz w:val="12"/>
                <w:szCs w:val="12"/>
                <w:color w:val="auto"/>
              </w:rPr>
            </w:pPr>
          </w:p>
        </w:tc>
        <w:tc>
          <w:tcPr>
            <w:tcW w:w="820" w:type="dxa"/>
            <w:vAlign w:val="bottom"/>
            <w:tcBorders>
              <w:bottom w:val="single" w:sz="8" w:color="auto"/>
            </w:tcBorders>
            <w:shd w:val="clear" w:color="auto" w:fill="C6E5FE"/>
          </w:tcPr>
          <w:p>
            <w:pPr>
              <w:spacing w:after="0"/>
              <w:rPr>
                <w:sz w:val="12"/>
                <w:szCs w:val="12"/>
                <w:color w:val="auto"/>
              </w:rPr>
            </w:pPr>
          </w:p>
        </w:tc>
        <w:tc>
          <w:tcPr>
            <w:tcW w:w="900" w:type="dxa"/>
            <w:vAlign w:val="bottom"/>
            <w:tcBorders>
              <w:bottom w:val="single" w:sz="8" w:color="auto"/>
            </w:tcBorders>
            <w:shd w:val="clear" w:color="auto" w:fill="C6E5FE"/>
          </w:tcPr>
          <w:p>
            <w:pPr>
              <w:spacing w:after="0"/>
              <w:rPr>
                <w:sz w:val="12"/>
                <w:szCs w:val="12"/>
                <w:color w:val="auto"/>
              </w:rPr>
            </w:pPr>
          </w:p>
        </w:tc>
        <w:tc>
          <w:tcPr>
            <w:tcW w:w="1100" w:type="dxa"/>
            <w:vAlign w:val="bottom"/>
            <w:tcBorders>
              <w:bottom w:val="single" w:sz="8" w:color="auto"/>
            </w:tcBorders>
            <w:shd w:val="clear" w:color="auto" w:fill="C6E5FE"/>
          </w:tcPr>
          <w:p>
            <w:pPr>
              <w:spacing w:after="0"/>
              <w:rPr>
                <w:sz w:val="12"/>
                <w:szCs w:val="12"/>
                <w:color w:val="auto"/>
              </w:rPr>
            </w:pPr>
          </w:p>
        </w:tc>
        <w:tc>
          <w:tcPr>
            <w:tcW w:w="320" w:type="dxa"/>
            <w:vAlign w:val="bottom"/>
            <w:tcBorders>
              <w:bottom w:val="single" w:sz="8" w:color="auto"/>
            </w:tcBorders>
            <w:shd w:val="clear" w:color="auto" w:fill="C6E5FE"/>
          </w:tcPr>
          <w:p>
            <w:pPr>
              <w:spacing w:after="0"/>
              <w:rPr>
                <w:sz w:val="12"/>
                <w:szCs w:val="12"/>
                <w:color w:val="auto"/>
              </w:rPr>
            </w:pPr>
          </w:p>
        </w:tc>
        <w:tc>
          <w:tcPr>
            <w:tcW w:w="1280" w:type="dxa"/>
            <w:vAlign w:val="bottom"/>
            <w:tcBorders>
              <w:bottom w:val="single" w:sz="8" w:color="auto"/>
            </w:tcBorders>
            <w:shd w:val="clear" w:color="auto" w:fill="C6E5FE"/>
          </w:tcPr>
          <w:p>
            <w:pPr>
              <w:spacing w:after="0"/>
              <w:rPr>
                <w:sz w:val="12"/>
                <w:szCs w:val="12"/>
                <w:color w:val="auto"/>
              </w:rPr>
            </w:pPr>
          </w:p>
        </w:tc>
        <w:tc>
          <w:tcPr>
            <w:tcW w:w="960" w:type="dxa"/>
            <w:vAlign w:val="bottom"/>
            <w:tcBorders>
              <w:bottom w:val="single" w:sz="8" w:color="auto"/>
            </w:tcBorders>
            <w:shd w:val="clear" w:color="auto" w:fill="C6E5F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40" w:type="dxa"/>
            <w:vAlign w:val="bottom"/>
            <w:shd w:val="clear" w:color="auto" w:fill="C6E5FE"/>
          </w:tcPr>
          <w:p>
            <w:pPr>
              <w:ind w:left="320"/>
              <w:spacing w:after="0"/>
              <w:rPr>
                <w:sz w:val="20"/>
                <w:szCs w:val="20"/>
                <w:color w:val="auto"/>
              </w:rPr>
            </w:pPr>
            <w:r>
              <w:rPr>
                <w:rFonts w:ascii="Times New Roman" w:cs="Times New Roman" w:eastAsia="Times New Roman" w:hAnsi="Times New Roman"/>
                <w:sz w:val="16"/>
                <w:szCs w:val="16"/>
                <w:color w:val="auto"/>
              </w:rPr>
              <w:t>Officer and</w:t>
            </w:r>
          </w:p>
        </w:tc>
        <w:tc>
          <w:tcPr>
            <w:tcW w:w="620" w:type="dxa"/>
            <w:vAlign w:val="bottom"/>
            <w:tcBorders>
              <w:left w:val="single" w:sz="8" w:color="C6E5FE"/>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shd w:val="clear" w:color="auto" w:fill="C6E5FE"/>
          </w:tcPr>
          <w:p>
            <w:pPr>
              <w:ind w:left="180"/>
              <w:spacing w:after="0"/>
              <w:rPr>
                <w:sz w:val="20"/>
                <w:szCs w:val="20"/>
                <w:color w:val="auto"/>
              </w:rPr>
            </w:pPr>
            <w:r>
              <w:rPr>
                <w:rFonts w:ascii="Times New Roman" w:cs="Times New Roman" w:eastAsia="Times New Roman" w:hAnsi="Times New Roman"/>
                <w:sz w:val="18"/>
                <w:szCs w:val="18"/>
                <w:color w:val="auto"/>
              </w:rPr>
              <w:t>600,000</w:t>
            </w:r>
          </w:p>
        </w:tc>
        <w:tc>
          <w:tcPr>
            <w:tcW w:w="98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820" w:type="dxa"/>
            <w:vAlign w:val="bottom"/>
            <w:shd w:val="clear" w:color="auto" w:fill="C6E5F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6E5FE"/>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6E5FE"/>
          </w:tcPr>
          <w:p>
            <w:pPr>
              <w:jc w:val="right"/>
              <w:ind w:right="50"/>
              <w:spacing w:after="0"/>
              <w:rPr>
                <w:sz w:val="20"/>
                <w:szCs w:val="20"/>
                <w:color w:val="auto"/>
              </w:rPr>
            </w:pPr>
            <w:r>
              <w:rPr>
                <w:rFonts w:ascii="Times New Roman" w:cs="Times New Roman" w:eastAsia="Times New Roman" w:hAnsi="Times New Roman"/>
                <w:sz w:val="18"/>
                <w:szCs w:val="18"/>
                <w:color w:val="auto"/>
              </w:rPr>
              <w:t>2,580</w:t>
            </w:r>
          </w:p>
        </w:tc>
        <w:tc>
          <w:tcPr>
            <w:tcW w:w="320" w:type="dxa"/>
            <w:vAlign w:val="bottom"/>
            <w:shd w:val="clear" w:color="auto" w:fill="C6E5FE"/>
          </w:tcPr>
          <w:p>
            <w:pPr>
              <w:jc w:val="right"/>
              <w:ind w:right="135"/>
              <w:spacing w:after="0"/>
              <w:rPr>
                <w:sz w:val="20"/>
                <w:szCs w:val="20"/>
                <w:color w:val="auto"/>
              </w:rPr>
            </w:pPr>
            <w:r>
              <w:rPr>
                <w:rFonts w:ascii="Times New Roman" w:cs="Times New Roman" w:eastAsia="Times New Roman" w:hAnsi="Times New Roman"/>
                <w:sz w:val="9"/>
                <w:szCs w:val="9"/>
                <w:color w:val="auto"/>
              </w:rPr>
              <w:t>(2)</w:t>
            </w:r>
          </w:p>
        </w:tc>
        <w:tc>
          <w:tcPr>
            <w:tcW w:w="1280" w:type="dxa"/>
            <w:vAlign w:val="bottom"/>
            <w:shd w:val="clear" w:color="auto" w:fill="C6E5F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1,137,580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tcBorders>
              <w:bottom w:val="single" w:sz="8" w:color="auto"/>
            </w:tcBorders>
            <w:shd w:val="clear" w:color="auto" w:fill="C6E5FE"/>
          </w:tcPr>
          <w:p>
            <w:pPr>
              <w:ind w:left="320"/>
              <w:spacing w:after="0"/>
              <w:rPr>
                <w:sz w:val="20"/>
                <w:szCs w:val="20"/>
                <w:color w:val="auto"/>
              </w:rPr>
            </w:pPr>
            <w:r>
              <w:rPr>
                <w:rFonts w:ascii="Times New Roman" w:cs="Times New Roman" w:eastAsia="Times New Roman" w:hAnsi="Times New Roman"/>
                <w:sz w:val="16"/>
                <w:szCs w:val="16"/>
                <w:color w:val="auto"/>
              </w:rPr>
              <w:t>President</w:t>
            </w:r>
          </w:p>
        </w:tc>
        <w:tc>
          <w:tcPr>
            <w:tcW w:w="620" w:type="dxa"/>
            <w:vAlign w:val="bottom"/>
            <w:tcBorders>
              <w:left w:val="single" w:sz="8" w:color="C6E5FE"/>
              <w:bottom w:val="single" w:sz="8" w:color="auto"/>
            </w:tcBorders>
            <w:shd w:val="clear" w:color="auto" w:fill="C6E5FE"/>
          </w:tcPr>
          <w:p>
            <w:pPr>
              <w:spacing w:after="0"/>
              <w:rPr>
                <w:sz w:val="17"/>
                <w:szCs w:val="17"/>
                <w:color w:val="auto"/>
              </w:rPr>
            </w:pPr>
          </w:p>
        </w:tc>
        <w:tc>
          <w:tcPr>
            <w:tcW w:w="860" w:type="dxa"/>
            <w:vAlign w:val="bottom"/>
            <w:tcBorders>
              <w:bottom w:val="single" w:sz="8" w:color="auto"/>
            </w:tcBorders>
            <w:shd w:val="clear" w:color="auto" w:fill="C6E5FE"/>
          </w:tcPr>
          <w:p>
            <w:pPr>
              <w:spacing w:after="0"/>
              <w:rPr>
                <w:sz w:val="17"/>
                <w:szCs w:val="17"/>
                <w:color w:val="auto"/>
              </w:rPr>
            </w:pPr>
          </w:p>
        </w:tc>
        <w:tc>
          <w:tcPr>
            <w:tcW w:w="980" w:type="dxa"/>
            <w:vAlign w:val="bottom"/>
            <w:tcBorders>
              <w:bottom w:val="single" w:sz="8" w:color="auto"/>
            </w:tcBorders>
            <w:shd w:val="clear" w:color="auto" w:fill="C6E5FE"/>
          </w:tcPr>
          <w:p>
            <w:pPr>
              <w:spacing w:after="0"/>
              <w:rPr>
                <w:sz w:val="17"/>
                <w:szCs w:val="17"/>
                <w:color w:val="auto"/>
              </w:rPr>
            </w:pPr>
          </w:p>
        </w:tc>
        <w:tc>
          <w:tcPr>
            <w:tcW w:w="820" w:type="dxa"/>
            <w:vAlign w:val="bottom"/>
            <w:tcBorders>
              <w:bottom w:val="single" w:sz="8" w:color="auto"/>
            </w:tcBorders>
            <w:shd w:val="clear" w:color="auto" w:fill="C6E5FE"/>
          </w:tcPr>
          <w:p>
            <w:pPr>
              <w:spacing w:after="0"/>
              <w:rPr>
                <w:sz w:val="17"/>
                <w:szCs w:val="17"/>
                <w:color w:val="auto"/>
              </w:rPr>
            </w:pPr>
          </w:p>
        </w:tc>
        <w:tc>
          <w:tcPr>
            <w:tcW w:w="900" w:type="dxa"/>
            <w:vAlign w:val="bottom"/>
            <w:tcBorders>
              <w:bottom w:val="single" w:sz="8" w:color="auto"/>
            </w:tcBorders>
            <w:shd w:val="clear" w:color="auto" w:fill="C6E5FE"/>
          </w:tcPr>
          <w:p>
            <w:pPr>
              <w:spacing w:after="0"/>
              <w:rPr>
                <w:sz w:val="17"/>
                <w:szCs w:val="17"/>
                <w:color w:val="auto"/>
              </w:rPr>
            </w:pPr>
          </w:p>
        </w:tc>
        <w:tc>
          <w:tcPr>
            <w:tcW w:w="1100" w:type="dxa"/>
            <w:vAlign w:val="bottom"/>
            <w:tcBorders>
              <w:bottom w:val="single" w:sz="8" w:color="auto"/>
            </w:tcBorders>
            <w:shd w:val="clear" w:color="auto" w:fill="C6E5FE"/>
          </w:tcPr>
          <w:p>
            <w:pPr>
              <w:spacing w:after="0"/>
              <w:rPr>
                <w:sz w:val="17"/>
                <w:szCs w:val="17"/>
                <w:color w:val="auto"/>
              </w:rPr>
            </w:pPr>
          </w:p>
        </w:tc>
        <w:tc>
          <w:tcPr>
            <w:tcW w:w="320" w:type="dxa"/>
            <w:vAlign w:val="bottom"/>
            <w:tcBorders>
              <w:bottom w:val="single" w:sz="8" w:color="auto"/>
            </w:tcBorders>
            <w:shd w:val="clear" w:color="auto" w:fill="C6E5FE"/>
          </w:tcPr>
          <w:p>
            <w:pPr>
              <w:spacing w:after="0"/>
              <w:rPr>
                <w:sz w:val="17"/>
                <w:szCs w:val="17"/>
                <w:color w:val="auto"/>
              </w:rPr>
            </w:pPr>
          </w:p>
        </w:tc>
        <w:tc>
          <w:tcPr>
            <w:tcW w:w="1280" w:type="dxa"/>
            <w:vAlign w:val="bottom"/>
            <w:tcBorders>
              <w:bottom w:val="single" w:sz="8" w:color="auto"/>
            </w:tcBorders>
            <w:shd w:val="clear" w:color="auto" w:fill="C6E5FE"/>
          </w:tcPr>
          <w:p>
            <w:pPr>
              <w:spacing w:after="0"/>
              <w:rPr>
                <w:sz w:val="17"/>
                <w:szCs w:val="17"/>
                <w:color w:val="auto"/>
              </w:rPr>
            </w:pPr>
          </w:p>
        </w:tc>
        <w:tc>
          <w:tcPr>
            <w:tcW w:w="960" w:type="dxa"/>
            <w:vAlign w:val="bottom"/>
            <w:tcBorders>
              <w:bottom w:val="single" w:sz="8" w:color="auto"/>
            </w:tcBorders>
            <w:shd w:val="clear" w:color="auto" w:fill="C6E5F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4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Margaret Cotter</w:t>
            </w: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479,250</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195,000</w:t>
            </w:r>
          </w:p>
        </w:tc>
        <w:tc>
          <w:tcPr>
            <w:tcW w:w="82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14,830</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(2)</w:t>
            </w:r>
          </w:p>
        </w:tc>
        <w:tc>
          <w:tcPr>
            <w:tcW w:w="128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689,080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EVP, Real</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Estate Mgmt</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&amp;</w:t>
            </w: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2022</w:t>
            </w:r>
          </w:p>
        </w:tc>
        <w:tc>
          <w:tcPr>
            <w:tcW w:w="8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450,000</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228,075</w:t>
            </w:r>
          </w:p>
        </w:tc>
        <w:tc>
          <w:tcPr>
            <w:tcW w:w="82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14,780</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(2)</w:t>
            </w:r>
          </w:p>
        </w:tc>
        <w:tc>
          <w:tcPr>
            <w:tcW w:w="128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692,855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Development</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S. Craig</w:t>
            </w:r>
          </w:p>
        </w:tc>
        <w:tc>
          <w:tcPr>
            <w:tcW w:w="620" w:type="dxa"/>
            <w:vAlign w:val="bottom"/>
            <w:tcBorders>
              <w:left w:val="single" w:sz="8" w:color="C6E5FE"/>
            </w:tcBorders>
            <w:shd w:val="clear" w:color="auto" w:fill="C6E5FE"/>
          </w:tcPr>
          <w:p>
            <w:pPr>
              <w:jc w:val="right"/>
              <w:spacing w:after="0" w:line="156" w:lineRule="exact"/>
              <w:rPr>
                <w:sz w:val="20"/>
                <w:szCs w:val="20"/>
                <w:color w:val="auto"/>
              </w:rPr>
            </w:pPr>
            <w:r>
              <w:rPr>
                <w:rFonts w:ascii="Times New Roman" w:cs="Times New Roman" w:eastAsia="Times New Roman" w:hAnsi="Times New Roman"/>
                <w:sz w:val="18"/>
                <w:szCs w:val="18"/>
                <w:color w:val="auto"/>
              </w:rPr>
              <w:t>2023</w:t>
            </w:r>
          </w:p>
        </w:tc>
        <w:tc>
          <w:tcPr>
            <w:tcW w:w="860" w:type="dxa"/>
            <w:vAlign w:val="bottom"/>
            <w:shd w:val="clear" w:color="auto" w:fill="C6E5FE"/>
          </w:tcPr>
          <w:p>
            <w:pPr>
              <w:ind w:left="180"/>
              <w:spacing w:after="0" w:line="156" w:lineRule="exact"/>
              <w:rPr>
                <w:sz w:val="20"/>
                <w:szCs w:val="20"/>
                <w:color w:val="auto"/>
              </w:rPr>
            </w:pPr>
            <w:r>
              <w:rPr>
                <w:rFonts w:ascii="Times New Roman" w:cs="Times New Roman" w:eastAsia="Times New Roman" w:hAnsi="Times New Roman"/>
                <w:sz w:val="18"/>
                <w:szCs w:val="18"/>
                <w:color w:val="auto"/>
              </w:rPr>
              <w:t>450,883</w:t>
            </w:r>
          </w:p>
        </w:tc>
        <w:tc>
          <w:tcPr>
            <w:tcW w:w="980" w:type="dxa"/>
            <w:vAlign w:val="bottom"/>
            <w:shd w:val="clear" w:color="auto" w:fill="C6E5FE"/>
          </w:tcPr>
          <w:p>
            <w:pPr>
              <w:jc w:val="right"/>
              <w:spacing w:after="0" w:line="156" w:lineRule="exact"/>
              <w:rPr>
                <w:sz w:val="20"/>
                <w:szCs w:val="20"/>
                <w:color w:val="auto"/>
              </w:rPr>
            </w:pPr>
            <w:r>
              <w:rPr>
                <w:rFonts w:ascii="Times New Roman" w:cs="Times New Roman" w:eastAsia="Times New Roman" w:hAnsi="Times New Roman"/>
                <w:sz w:val="18"/>
                <w:szCs w:val="18"/>
                <w:color w:val="auto"/>
              </w:rPr>
              <w:t>195,000</w:t>
            </w:r>
          </w:p>
        </w:tc>
        <w:tc>
          <w:tcPr>
            <w:tcW w:w="820" w:type="dxa"/>
            <w:vAlign w:val="bottom"/>
            <w:shd w:val="clear" w:color="auto" w:fill="C6E5FE"/>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6E5FE"/>
          </w:tcPr>
          <w:p>
            <w:pPr>
              <w:jc w:val="right"/>
              <w:ind w:right="34"/>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6E5FE"/>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21,750</w:t>
            </w:r>
          </w:p>
        </w:tc>
        <w:tc>
          <w:tcPr>
            <w:tcW w:w="320" w:type="dxa"/>
            <w:vAlign w:val="bottom"/>
            <w:shd w:val="clear" w:color="auto" w:fill="C6E5FE"/>
          </w:tcPr>
          <w:p>
            <w:pPr>
              <w:jc w:val="right"/>
              <w:ind w:right="135"/>
              <w:spacing w:after="0"/>
              <w:rPr>
                <w:sz w:val="20"/>
                <w:szCs w:val="20"/>
                <w:color w:val="auto"/>
              </w:rPr>
            </w:pPr>
            <w:r>
              <w:rPr>
                <w:rFonts w:ascii="Times New Roman" w:cs="Times New Roman" w:eastAsia="Times New Roman" w:hAnsi="Times New Roman"/>
                <w:sz w:val="9"/>
                <w:szCs w:val="9"/>
                <w:color w:val="auto"/>
              </w:rPr>
              <w:t>(2)</w:t>
            </w:r>
          </w:p>
        </w:tc>
        <w:tc>
          <w:tcPr>
            <w:tcW w:w="1280" w:type="dxa"/>
            <w:vAlign w:val="bottom"/>
            <w:shd w:val="clear" w:color="auto" w:fill="C6E5FE"/>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6E5FE"/>
          </w:tcPr>
          <w:p>
            <w:pPr>
              <w:jc w:val="right"/>
              <w:spacing w:after="0" w:line="156" w:lineRule="exact"/>
              <w:rPr>
                <w:sz w:val="20"/>
                <w:szCs w:val="20"/>
                <w:color w:val="auto"/>
              </w:rPr>
            </w:pPr>
            <w:r>
              <w:rPr>
                <w:rFonts w:ascii="Times New Roman" w:cs="Times New Roman" w:eastAsia="Times New Roman" w:hAnsi="Times New Roman"/>
                <w:sz w:val="18"/>
                <w:szCs w:val="18"/>
                <w:color w:val="auto"/>
              </w:rPr>
              <w:t>667,633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Tompkins</w:t>
            </w:r>
          </w:p>
        </w:tc>
        <w:tc>
          <w:tcPr>
            <w:tcW w:w="620" w:type="dxa"/>
            <w:vAlign w:val="bottom"/>
            <w:tcBorders>
              <w:left w:val="single" w:sz="8" w:color="C6E5FE"/>
            </w:tcBorders>
            <w:shd w:val="clear" w:color="auto" w:fill="C6E5FE"/>
          </w:tcPr>
          <w:p>
            <w:pPr>
              <w:spacing w:after="0"/>
              <w:rPr>
                <w:sz w:val="17"/>
                <w:szCs w:val="17"/>
                <w:color w:val="auto"/>
              </w:rPr>
            </w:pPr>
          </w:p>
        </w:tc>
        <w:tc>
          <w:tcPr>
            <w:tcW w:w="860" w:type="dxa"/>
            <w:vAlign w:val="bottom"/>
            <w:shd w:val="clear" w:color="auto" w:fill="C6E5FE"/>
          </w:tcPr>
          <w:p>
            <w:pPr>
              <w:spacing w:after="0"/>
              <w:rPr>
                <w:sz w:val="17"/>
                <w:szCs w:val="17"/>
                <w:color w:val="auto"/>
              </w:rPr>
            </w:pPr>
          </w:p>
        </w:tc>
        <w:tc>
          <w:tcPr>
            <w:tcW w:w="980" w:type="dxa"/>
            <w:vAlign w:val="bottom"/>
            <w:shd w:val="clear" w:color="auto" w:fill="C6E5FE"/>
          </w:tcPr>
          <w:p>
            <w:pPr>
              <w:spacing w:after="0"/>
              <w:rPr>
                <w:sz w:val="17"/>
                <w:szCs w:val="17"/>
                <w:color w:val="auto"/>
              </w:rPr>
            </w:pPr>
          </w:p>
        </w:tc>
        <w:tc>
          <w:tcPr>
            <w:tcW w:w="820" w:type="dxa"/>
            <w:vAlign w:val="bottom"/>
            <w:shd w:val="clear" w:color="auto" w:fill="C6E5FE"/>
          </w:tcPr>
          <w:p>
            <w:pPr>
              <w:spacing w:after="0"/>
              <w:rPr>
                <w:sz w:val="17"/>
                <w:szCs w:val="17"/>
                <w:color w:val="auto"/>
              </w:rPr>
            </w:pPr>
          </w:p>
        </w:tc>
        <w:tc>
          <w:tcPr>
            <w:tcW w:w="900" w:type="dxa"/>
            <w:vAlign w:val="bottom"/>
            <w:shd w:val="clear" w:color="auto" w:fill="C6E5FE"/>
          </w:tcPr>
          <w:p>
            <w:pPr>
              <w:spacing w:after="0"/>
              <w:rPr>
                <w:sz w:val="17"/>
                <w:szCs w:val="17"/>
                <w:color w:val="auto"/>
              </w:rPr>
            </w:pPr>
          </w:p>
        </w:tc>
        <w:tc>
          <w:tcPr>
            <w:tcW w:w="1100" w:type="dxa"/>
            <w:vAlign w:val="bottom"/>
            <w:shd w:val="clear" w:color="auto" w:fill="C6E5FE"/>
          </w:tcPr>
          <w:p>
            <w:pPr>
              <w:spacing w:after="0"/>
              <w:rPr>
                <w:sz w:val="17"/>
                <w:szCs w:val="17"/>
                <w:color w:val="auto"/>
              </w:rPr>
            </w:pPr>
          </w:p>
        </w:tc>
        <w:tc>
          <w:tcPr>
            <w:tcW w:w="320" w:type="dxa"/>
            <w:vAlign w:val="bottom"/>
            <w:shd w:val="clear" w:color="auto" w:fill="C6E5FE"/>
          </w:tcPr>
          <w:p>
            <w:pPr>
              <w:spacing w:after="0"/>
              <w:rPr>
                <w:sz w:val="17"/>
                <w:szCs w:val="17"/>
                <w:color w:val="auto"/>
              </w:rPr>
            </w:pPr>
          </w:p>
        </w:tc>
        <w:tc>
          <w:tcPr>
            <w:tcW w:w="1280" w:type="dxa"/>
            <w:vAlign w:val="bottom"/>
            <w:shd w:val="clear" w:color="auto" w:fill="C6E5FE"/>
          </w:tcPr>
          <w:p>
            <w:pPr>
              <w:spacing w:after="0"/>
              <w:rPr>
                <w:sz w:val="17"/>
                <w:szCs w:val="17"/>
                <w:color w:val="auto"/>
              </w:rPr>
            </w:pPr>
          </w:p>
        </w:tc>
        <w:tc>
          <w:tcPr>
            <w:tcW w:w="960" w:type="dxa"/>
            <w:vAlign w:val="bottom"/>
            <w:shd w:val="clear" w:color="auto" w:fill="C6E5F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EVP, General</w:t>
            </w:r>
          </w:p>
        </w:tc>
        <w:tc>
          <w:tcPr>
            <w:tcW w:w="620" w:type="dxa"/>
            <w:vAlign w:val="bottom"/>
            <w:tcBorders>
              <w:left w:val="single" w:sz="8" w:color="C6E5FE"/>
              <w:bottom w:val="single" w:sz="8" w:color="auto"/>
            </w:tcBorders>
            <w:shd w:val="clear" w:color="auto" w:fill="C6E5FE"/>
          </w:tcPr>
          <w:p>
            <w:pPr>
              <w:spacing w:after="0"/>
              <w:rPr>
                <w:sz w:val="7"/>
                <w:szCs w:val="7"/>
                <w:color w:val="auto"/>
              </w:rPr>
            </w:pPr>
          </w:p>
        </w:tc>
        <w:tc>
          <w:tcPr>
            <w:tcW w:w="860" w:type="dxa"/>
            <w:vAlign w:val="bottom"/>
            <w:tcBorders>
              <w:bottom w:val="single" w:sz="8" w:color="auto"/>
            </w:tcBorders>
            <w:shd w:val="clear" w:color="auto" w:fill="C6E5FE"/>
          </w:tcPr>
          <w:p>
            <w:pPr>
              <w:spacing w:after="0"/>
              <w:rPr>
                <w:sz w:val="7"/>
                <w:szCs w:val="7"/>
                <w:color w:val="auto"/>
              </w:rPr>
            </w:pPr>
          </w:p>
        </w:tc>
        <w:tc>
          <w:tcPr>
            <w:tcW w:w="980" w:type="dxa"/>
            <w:vAlign w:val="bottom"/>
            <w:tcBorders>
              <w:bottom w:val="single" w:sz="8" w:color="auto"/>
            </w:tcBorders>
            <w:shd w:val="clear" w:color="auto" w:fill="C6E5FE"/>
          </w:tcPr>
          <w:p>
            <w:pPr>
              <w:spacing w:after="0"/>
              <w:rPr>
                <w:sz w:val="7"/>
                <w:szCs w:val="7"/>
                <w:color w:val="auto"/>
              </w:rPr>
            </w:pPr>
          </w:p>
        </w:tc>
        <w:tc>
          <w:tcPr>
            <w:tcW w:w="820" w:type="dxa"/>
            <w:vAlign w:val="bottom"/>
            <w:tcBorders>
              <w:bottom w:val="single" w:sz="8" w:color="auto"/>
            </w:tcBorders>
            <w:shd w:val="clear" w:color="auto" w:fill="C6E5FE"/>
          </w:tcPr>
          <w:p>
            <w:pPr>
              <w:spacing w:after="0"/>
              <w:rPr>
                <w:sz w:val="7"/>
                <w:szCs w:val="7"/>
                <w:color w:val="auto"/>
              </w:rPr>
            </w:pPr>
          </w:p>
        </w:tc>
        <w:tc>
          <w:tcPr>
            <w:tcW w:w="900" w:type="dxa"/>
            <w:vAlign w:val="bottom"/>
            <w:tcBorders>
              <w:bottom w:val="single" w:sz="8" w:color="auto"/>
            </w:tcBorders>
            <w:shd w:val="clear" w:color="auto" w:fill="C6E5FE"/>
          </w:tcPr>
          <w:p>
            <w:pPr>
              <w:spacing w:after="0"/>
              <w:rPr>
                <w:sz w:val="7"/>
                <w:szCs w:val="7"/>
                <w:color w:val="auto"/>
              </w:rPr>
            </w:pPr>
          </w:p>
        </w:tc>
        <w:tc>
          <w:tcPr>
            <w:tcW w:w="1100" w:type="dxa"/>
            <w:vAlign w:val="bottom"/>
            <w:tcBorders>
              <w:bottom w:val="single" w:sz="8" w:color="auto"/>
            </w:tcBorders>
            <w:shd w:val="clear" w:color="auto" w:fill="C6E5FE"/>
          </w:tcPr>
          <w:p>
            <w:pPr>
              <w:spacing w:after="0"/>
              <w:rPr>
                <w:sz w:val="7"/>
                <w:szCs w:val="7"/>
                <w:color w:val="auto"/>
              </w:rPr>
            </w:pPr>
          </w:p>
        </w:tc>
        <w:tc>
          <w:tcPr>
            <w:tcW w:w="320" w:type="dxa"/>
            <w:vAlign w:val="bottom"/>
            <w:tcBorders>
              <w:bottom w:val="single" w:sz="8" w:color="auto"/>
            </w:tcBorders>
            <w:shd w:val="clear" w:color="auto" w:fill="C6E5FE"/>
          </w:tcPr>
          <w:p>
            <w:pPr>
              <w:spacing w:after="0"/>
              <w:rPr>
                <w:sz w:val="7"/>
                <w:szCs w:val="7"/>
                <w:color w:val="auto"/>
              </w:rPr>
            </w:pPr>
          </w:p>
        </w:tc>
        <w:tc>
          <w:tcPr>
            <w:tcW w:w="1280" w:type="dxa"/>
            <w:vAlign w:val="bottom"/>
            <w:tcBorders>
              <w:bottom w:val="single" w:sz="8" w:color="auto"/>
            </w:tcBorders>
            <w:shd w:val="clear" w:color="auto" w:fill="C6E5FE"/>
          </w:tcPr>
          <w:p>
            <w:pPr>
              <w:spacing w:after="0"/>
              <w:rPr>
                <w:sz w:val="7"/>
                <w:szCs w:val="7"/>
                <w:color w:val="auto"/>
              </w:rPr>
            </w:pPr>
          </w:p>
        </w:tc>
        <w:tc>
          <w:tcPr>
            <w:tcW w:w="960" w:type="dxa"/>
            <w:vAlign w:val="bottom"/>
            <w:tcBorders>
              <w:bottom w:val="single" w:sz="8" w:color="auto"/>
            </w:tcBorders>
            <w:shd w:val="clear" w:color="auto" w:fill="C6E5F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440" w:type="dxa"/>
            <w:vAlign w:val="bottom"/>
            <w:vMerge w:val="continue"/>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2022</w:t>
            </w:r>
          </w:p>
        </w:tc>
        <w:tc>
          <w:tcPr>
            <w:tcW w:w="8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437,750</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239,432</w:t>
            </w:r>
          </w:p>
        </w:tc>
        <w:tc>
          <w:tcPr>
            <w:tcW w:w="82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color w:val="auto"/>
              </w:rPr>
              <w:t>21,520</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rPr>
              <w:t>(2)</w:t>
            </w:r>
          </w:p>
        </w:tc>
        <w:tc>
          <w:tcPr>
            <w:tcW w:w="128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698,702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40" w:type="dxa"/>
            <w:vAlign w:val="bottom"/>
          </w:tcPr>
          <w:p>
            <w:pPr>
              <w:ind w:left="320"/>
              <w:spacing w:after="0" w:line="129" w:lineRule="exact"/>
              <w:rPr>
                <w:sz w:val="20"/>
                <w:szCs w:val="20"/>
                <w:color w:val="auto"/>
              </w:rPr>
            </w:pPr>
            <w:r>
              <w:rPr>
                <w:rFonts w:ascii="Times New Roman" w:cs="Times New Roman" w:eastAsia="Times New Roman" w:hAnsi="Times New Roman"/>
                <w:sz w:val="14"/>
                <w:szCs w:val="14"/>
                <w:color w:val="auto"/>
              </w:rPr>
              <w:t>Counsel</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840" w:right="900" w:hanging="332"/>
        <w:spacing w:after="0" w:line="225" w:lineRule="auto"/>
        <w:tabs>
          <w:tab w:leader="none" w:pos="87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granted as a component of the 2023 and 2022 annual incentive awards are reported in this column as 2023 and 2022 compensation, respectively, to reflect the applicable service period for such awards. Amounts represent the aggregate grant date fair value of awards computed in accordance with ASC Topic 718. The assumptions used in the valuation of these awards are discussed in Notes 15 to our consolidated financial statements. For a discussion of the material terms of each outstanding stock</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83755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480"/>
          </w:cols>
          <w:pgMar w:left="1440" w:top="279" w:right="979" w:bottom="1440" w:gutter="0" w:footer="0" w:header="0"/>
        </w:sectPr>
      </w:pPr>
    </w:p>
    <w:bookmarkStart w:id="45" w:name="page46"/>
    <w:bookmarkEnd w:id="45"/>
    <w:p>
      <w:pPr>
        <w:ind w:left="180" w:right="760"/>
        <w:spacing w:after="0" w:line="261" w:lineRule="auto"/>
        <w:rPr>
          <w:sz w:val="20"/>
          <w:szCs w:val="20"/>
          <w:color w:val="auto"/>
        </w:rPr>
      </w:pPr>
      <w:r>
        <w:rPr>
          <w:rFonts w:ascii="Times New Roman" w:cs="Times New Roman" w:eastAsia="Times New Roman" w:hAnsi="Times New Roman"/>
          <w:sz w:val="14"/>
          <w:szCs w:val="14"/>
          <w:color w:val="auto"/>
        </w:rPr>
        <w:t>award, see “Compensation Discussion and Analysis – Long-Term Incentives” and the table below entitled “Outstanding Equity Awards at Year Ended December 31, 2023.”</w:t>
      </w:r>
    </w:p>
    <w:p>
      <w:pPr>
        <w:spacing w:after="0" w:line="82" w:lineRule="exact"/>
        <w:rPr>
          <w:sz w:val="20"/>
          <w:szCs w:val="20"/>
          <w:color w:val="auto"/>
        </w:rPr>
      </w:pPr>
    </w:p>
    <w:p>
      <w:pPr>
        <w:ind w:left="840" w:hanging="332"/>
        <w:spacing w:after="0"/>
        <w:tabs>
          <w:tab w:leader="none" w:pos="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matching employer contributions under our 401(k) Plan and the imputed tax of key person insurance.</w:t>
      </w:r>
    </w:p>
    <w:p>
      <w:pPr>
        <w:spacing w:after="0" w:line="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2020 Stock Incentive Plan</w:t>
      </w:r>
    </w:p>
    <w:p>
      <w:pPr>
        <w:spacing w:after="0" w:line="162" w:lineRule="exact"/>
        <w:rPr>
          <w:sz w:val="20"/>
          <w:szCs w:val="20"/>
          <w:color w:val="auto"/>
        </w:rPr>
      </w:pPr>
    </w:p>
    <w:p>
      <w:pPr>
        <w:jc w:val="both"/>
        <w:ind w:left="180" w:right="520" w:firstLine="648"/>
        <w:spacing w:after="0" w:line="216" w:lineRule="auto"/>
        <w:rPr>
          <w:sz w:val="20"/>
          <w:szCs w:val="20"/>
          <w:color w:val="auto"/>
        </w:rPr>
      </w:pPr>
      <w:r>
        <w:rPr>
          <w:rFonts w:ascii="Times New Roman" w:cs="Times New Roman" w:eastAsia="Times New Roman" w:hAnsi="Times New Roman"/>
          <w:sz w:val="18"/>
          <w:szCs w:val="18"/>
          <w:color w:val="auto"/>
        </w:rPr>
        <w:t>On November 4, 2020, our Board adopted the Reading International, Inc. 2020 Stock Incentive Plan (as amended the “2020 Stock Incentive Plan”) and recommended to our stockholders the adoption of that plan. The 2020 Stock Incentive Plan was adopted by our stockholders on December 8, 2020. Our Board adopted and recommended the</w:t>
      </w:r>
    </w:p>
    <w:p>
      <w:pPr>
        <w:spacing w:after="0" w:line="1" w:lineRule="exact"/>
        <w:rPr>
          <w:sz w:val="20"/>
          <w:szCs w:val="20"/>
          <w:color w:val="auto"/>
        </w:rPr>
      </w:pPr>
    </w:p>
    <w:p>
      <w:pPr>
        <w:jc w:val="both"/>
        <w:ind w:left="180" w:right="520"/>
        <w:spacing w:after="0" w:line="208" w:lineRule="auto"/>
        <w:rPr>
          <w:sz w:val="20"/>
          <w:szCs w:val="20"/>
          <w:color w:val="auto"/>
        </w:rPr>
      </w:pPr>
      <w:r>
        <w:rPr>
          <w:rFonts w:ascii="Times New Roman" w:cs="Times New Roman" w:eastAsia="Times New Roman" w:hAnsi="Times New Roman"/>
          <w:sz w:val="18"/>
          <w:szCs w:val="18"/>
          <w:color w:val="auto"/>
        </w:rPr>
        <w:t>2020 Stock Incentive Plan to provide a means by which employees, directors and consultants of our Company and its affiliates may be given an opportunity to benefit from increases in value of our Common Stock, to assist in attracting and retaining the services of such persons, to bind the interests of eligible recipients more closely to our own interests</w:t>
      </w:r>
    </w:p>
    <w:p>
      <w:pPr>
        <w:spacing w:after="0" w:line="2" w:lineRule="exact"/>
        <w:rPr>
          <w:sz w:val="20"/>
          <w:szCs w:val="20"/>
          <w:color w:val="auto"/>
        </w:rPr>
      </w:pPr>
    </w:p>
    <w:p>
      <w:pPr>
        <w:jc w:val="both"/>
        <w:ind w:left="180" w:right="520"/>
        <w:spacing w:after="0" w:line="208" w:lineRule="auto"/>
        <w:rPr>
          <w:sz w:val="20"/>
          <w:szCs w:val="20"/>
          <w:color w:val="auto"/>
        </w:rPr>
      </w:pPr>
      <w:r>
        <w:rPr>
          <w:rFonts w:ascii="Times New Roman" w:cs="Times New Roman" w:eastAsia="Times New Roman" w:hAnsi="Times New Roman"/>
          <w:sz w:val="18"/>
          <w:szCs w:val="18"/>
          <w:color w:val="auto"/>
        </w:rPr>
        <w:t>by offering them opportunities to acquire Common Stock and to afford such persons stock-based compensation opportunities that are competitive with those afforded by similar businesses. All of our employees, directors and consultants are eligible to participate in the 2020 Stock Incentive Plan. On October 26, 2023, our Board adopted the</w:t>
      </w:r>
    </w:p>
    <w:p>
      <w:pPr>
        <w:spacing w:after="0" w:line="2" w:lineRule="exact"/>
        <w:rPr>
          <w:sz w:val="20"/>
          <w:szCs w:val="20"/>
          <w:color w:val="auto"/>
        </w:rPr>
      </w:pPr>
    </w:p>
    <w:p>
      <w:pPr>
        <w:jc w:val="both"/>
        <w:ind w:left="180" w:right="520"/>
        <w:spacing w:after="0" w:line="208" w:lineRule="auto"/>
        <w:rPr>
          <w:sz w:val="20"/>
          <w:szCs w:val="20"/>
          <w:color w:val="auto"/>
        </w:rPr>
      </w:pPr>
      <w:r>
        <w:rPr>
          <w:rFonts w:ascii="Times New Roman" w:cs="Times New Roman" w:eastAsia="Times New Roman" w:hAnsi="Times New Roman"/>
          <w:sz w:val="18"/>
          <w:szCs w:val="18"/>
          <w:color w:val="auto"/>
        </w:rPr>
        <w:t>First Amendment to the 2020 Stock Incentive Plan to increase the number of shares available for issuance under our 2020 Stock Incentive Plan by an additional 971,807 shares of Class A Non-Voting Common Stock and recommended to our stockholders the adoption of that amendment. The First Amendment was adopted by our stockholders on</w:t>
      </w:r>
    </w:p>
    <w:p>
      <w:pPr>
        <w:spacing w:after="0" w:line="2" w:lineRule="exact"/>
        <w:rPr>
          <w:sz w:val="20"/>
          <w:szCs w:val="20"/>
          <w:color w:val="auto"/>
        </w:rPr>
      </w:pPr>
    </w:p>
    <w:p>
      <w:pPr>
        <w:jc w:val="both"/>
        <w:ind w:left="180" w:right="520"/>
        <w:spacing w:after="0" w:line="208" w:lineRule="auto"/>
        <w:rPr>
          <w:sz w:val="20"/>
          <w:szCs w:val="20"/>
          <w:color w:val="auto"/>
        </w:rPr>
      </w:pPr>
      <w:r>
        <w:rPr>
          <w:rFonts w:ascii="Times New Roman" w:cs="Times New Roman" w:eastAsia="Times New Roman" w:hAnsi="Times New Roman"/>
          <w:sz w:val="18"/>
          <w:szCs w:val="18"/>
          <w:color w:val="auto"/>
        </w:rPr>
        <w:t>December 7, 2023. As of October 15, 2024, there were 15,048 shares of Class A Non-Voting Common Stock and 200,000 shares of Class B Voting Common Stock available for issuance under our 2020 Stock Incentive Plan. Subject to the approval of stockholders, our Board adopted a further amendment to the 2020 Stock Incentive Plan on October</w:t>
      </w:r>
    </w:p>
    <w:p>
      <w:pPr>
        <w:spacing w:after="0" w:line="2" w:lineRule="exact"/>
        <w:rPr>
          <w:sz w:val="20"/>
          <w:szCs w:val="20"/>
          <w:color w:val="auto"/>
        </w:rPr>
      </w:pPr>
    </w:p>
    <w:p>
      <w:pPr>
        <w:jc w:val="both"/>
        <w:ind w:left="180" w:right="520"/>
        <w:spacing w:after="0" w:line="208" w:lineRule="auto"/>
        <w:rPr>
          <w:sz w:val="20"/>
          <w:szCs w:val="20"/>
          <w:color w:val="auto"/>
        </w:rPr>
      </w:pPr>
      <w:r>
        <w:rPr>
          <w:rFonts w:ascii="Times New Roman" w:cs="Times New Roman" w:eastAsia="Times New Roman" w:hAnsi="Times New Roman"/>
          <w:sz w:val="18"/>
          <w:szCs w:val="18"/>
          <w:color w:val="auto"/>
        </w:rPr>
        <w:t>18, 2024, to increase the number of shares of Class A Stock remaining available for issuance under the 2020 Stock Incentive Plan by 3,500,000 shares of Class A Stock. This amendment is being presented to the holders of our Class B Stock as Proposal 4 to this Proxy Statement. A description of the 2020 Stock Incentive Plan is set forth above in the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discussion of Proposal 4.</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outstanding equity awards held by our NEOs as of December 31, 2023 under our</w:t>
      </w:r>
    </w:p>
    <w:p>
      <w:pPr>
        <w:ind w:left="420"/>
        <w:spacing w:after="0" w:line="232" w:lineRule="auto"/>
        <w:rPr>
          <w:sz w:val="20"/>
          <w:szCs w:val="20"/>
          <w:color w:val="auto"/>
        </w:rPr>
      </w:pPr>
      <w:r>
        <w:rPr>
          <w:rFonts w:ascii="Times New Roman" w:cs="Times New Roman" w:eastAsia="Times New Roman" w:hAnsi="Times New Roman"/>
          <w:sz w:val="18"/>
          <w:szCs w:val="18"/>
          <w:color w:val="auto"/>
        </w:rPr>
        <w:t>2020 Stock Incentive Plan:</w:t>
      </w:r>
    </w:p>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64"/>
        </w:trPr>
        <w:tc>
          <w:tcPr>
            <w:tcW w:w="800" w:type="dxa"/>
            <w:vAlign w:val="bottom"/>
            <w:tcBorders>
              <w:top w:val="single" w:sz="8" w:color="auto"/>
              <w:left w:val="single" w:sz="8" w:color="auto"/>
              <w:right w:val="single" w:sz="8" w:color="auto"/>
            </w:tcBorders>
          </w:tcPr>
          <w:p>
            <w:pPr>
              <w:spacing w:after="0"/>
              <w:rPr>
                <w:sz w:val="22"/>
                <w:szCs w:val="22"/>
                <w:color w:val="auto"/>
              </w:rPr>
            </w:pPr>
          </w:p>
        </w:tc>
        <w:tc>
          <w:tcPr>
            <w:tcW w:w="500" w:type="dxa"/>
            <w:vAlign w:val="bottom"/>
            <w:tcBorders>
              <w:top w:val="single" w:sz="8" w:color="auto"/>
              <w:right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40" w:type="dxa"/>
            <w:vAlign w:val="bottom"/>
            <w:tcBorders>
              <w:top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680" w:type="dxa"/>
            <w:vAlign w:val="bottom"/>
            <w:tcBorders>
              <w:top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500" w:type="dxa"/>
            <w:vAlign w:val="bottom"/>
            <w:tcBorders>
              <w:top w:val="single" w:sz="8" w:color="auto"/>
              <w:right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800" w:type="dxa"/>
            <w:vAlign w:val="bottom"/>
            <w:tcBorders>
              <w:left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No. Of</w:t>
            </w:r>
          </w:p>
        </w:tc>
        <w:tc>
          <w:tcPr>
            <w:tcW w:w="68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 of</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Market 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 of</w:t>
            </w:r>
          </w:p>
        </w:tc>
        <w:tc>
          <w:tcPr>
            <w:tcW w:w="112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4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b w:val="1"/>
                <w:bCs w:val="1"/>
                <w:color w:val="auto"/>
              </w:rPr>
              <w:t>No. of</w:t>
            </w:r>
          </w:p>
        </w:tc>
        <w:tc>
          <w:tcPr>
            <w:tcW w:w="14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gridSpan w:val="2"/>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Payout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Common</w:t>
            </w:r>
          </w:p>
        </w:tc>
        <w:tc>
          <w:tcPr>
            <w:tcW w:w="68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Unearned</w:t>
            </w:r>
          </w:p>
        </w:tc>
        <w:tc>
          <w:tcPr>
            <w:tcW w:w="78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Shares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 of Shares</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Shares</w:t>
            </w:r>
          </w:p>
        </w:tc>
        <w:tc>
          <w:tcPr>
            <w:tcW w:w="68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Shares or</w:t>
            </w:r>
          </w:p>
        </w:tc>
        <w:tc>
          <w:tcPr>
            <w:tcW w:w="80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Shares or</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Common</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8"/>
              </w:rPr>
              <w:t>Value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8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Units of</w:t>
            </w:r>
          </w:p>
        </w:tc>
        <w:tc>
          <w:tcPr>
            <w:tcW w:w="80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Units that</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Shares</w:t>
            </w:r>
          </w:p>
        </w:tc>
        <w:tc>
          <w:tcPr>
            <w:tcW w:w="78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7"/>
                <w:szCs w:val="17"/>
                <w:b w:val="1"/>
                <w:bCs w:val="1"/>
                <w:color w:val="auto"/>
              </w:rPr>
              <w:t>Unearned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Unexercised</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Unexercised</w:t>
            </w:r>
          </w:p>
        </w:tc>
        <w:tc>
          <w:tcPr>
            <w:tcW w:w="68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78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Stock that</w:t>
            </w:r>
          </w:p>
        </w:tc>
        <w:tc>
          <w:tcPr>
            <w:tcW w:w="800" w:type="dxa"/>
            <w:vAlign w:val="bottom"/>
            <w:tcBorders>
              <w:right w:val="single" w:sz="8" w:color="auto"/>
            </w:tcBorders>
            <w:gridSpan w:val="2"/>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Have Not</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That</w:t>
            </w: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Shares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Class</w:t>
            </w:r>
          </w:p>
        </w:tc>
        <w:tc>
          <w:tcPr>
            <w:tcW w:w="9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1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6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8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2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9"/>
                <w:szCs w:val="9"/>
                <w:color w:val="auto"/>
                <w:w w:val="94"/>
              </w:rPr>
              <w:t>(1</w:t>
            </w:r>
            <w:r>
              <w:rPr>
                <w:rFonts w:ascii="Times New Roman" w:cs="Times New Roman" w:eastAsia="Times New Roman" w:hAnsi="Times New Roman"/>
                <w:sz w:val="9"/>
                <w:szCs w:val="9"/>
                <w:b w:val="1"/>
                <w:bCs w:val="1"/>
                <w:color w:val="auto"/>
                <w:w w:val="94"/>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7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That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vMerge w:val="continue"/>
          </w:tcPr>
          <w:p>
            <w:pPr>
              <w:spacing w:after="0"/>
              <w:rPr>
                <w:sz w:val="14"/>
                <w:szCs w:val="14"/>
                <w:color w:val="auto"/>
              </w:rPr>
            </w:pPr>
          </w:p>
        </w:tc>
        <w:tc>
          <w:tcPr>
            <w:tcW w:w="500" w:type="dxa"/>
            <w:vAlign w:val="bottom"/>
            <w:tcBorders>
              <w:right w:val="single" w:sz="8" w:color="auto"/>
            </w:tcBorders>
            <w:vMerge w:val="continue"/>
          </w:tcPr>
          <w:p>
            <w:pPr>
              <w:spacing w:after="0"/>
              <w:rPr>
                <w:sz w:val="14"/>
                <w:szCs w:val="14"/>
                <w:color w:val="auto"/>
              </w:rPr>
            </w:pPr>
          </w:p>
        </w:tc>
        <w:tc>
          <w:tcPr>
            <w:tcW w:w="9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Exercisable</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Options</w:t>
            </w:r>
          </w:p>
        </w:tc>
        <w:tc>
          <w:tcPr>
            <w:tcW w:w="112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Price</w:t>
            </w:r>
          </w:p>
        </w:tc>
        <w:tc>
          <w:tcPr>
            <w:tcW w:w="8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Expiration</w:t>
            </w:r>
          </w:p>
        </w:tc>
        <w:tc>
          <w:tcPr>
            <w:tcW w:w="780" w:type="dxa"/>
            <w:vAlign w:val="bottom"/>
            <w:tcBorders>
              <w:right w:val="single" w:sz="8" w:color="auto"/>
            </w:tcBorders>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Have Not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00" w:type="dxa"/>
            <w:vAlign w:val="bottom"/>
            <w:tcBorders>
              <w:left w:val="single" w:sz="8" w:color="auto"/>
              <w:right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Unexercisable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640" w:type="dxa"/>
            <w:vAlign w:val="bottom"/>
          </w:tcPr>
          <w:p>
            <w:pPr>
              <w:jc w:val="center"/>
              <w:ind w:left="31"/>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40" w:type="dxa"/>
            <w:vAlign w:val="bottom"/>
            <w:tcBorders>
              <w:right w:val="single" w:sz="8" w:color="auto"/>
            </w:tcBorders>
          </w:tcPr>
          <w:p>
            <w:pPr>
              <w:spacing w:after="0"/>
              <w:rPr>
                <w:sz w:val="19"/>
                <w:szCs w:val="19"/>
                <w:color w:val="auto"/>
              </w:rPr>
            </w:pPr>
          </w:p>
        </w:tc>
        <w:tc>
          <w:tcPr>
            <w:tcW w:w="580" w:type="dxa"/>
            <w:vAlign w:val="bottom"/>
          </w:tcPr>
          <w:p>
            <w:pPr>
              <w:jc w:val="center"/>
              <w:ind w:left="131"/>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800" w:type="dxa"/>
            <w:vAlign w:val="bottom"/>
            <w:tcBorders>
              <w:left w:val="single" w:sz="8" w:color="auto"/>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00" w:type="dxa"/>
            <w:vAlign w:val="bottom"/>
            <w:tcBorders>
              <w:left w:val="single" w:sz="8" w:color="auto"/>
              <w:right w:val="single" w:sz="8" w:color="auto"/>
            </w:tcBorders>
            <w:shd w:val="clear" w:color="auto" w:fill="C6E5FE"/>
          </w:tcPr>
          <w:p>
            <w:pPr>
              <w:spacing w:after="0"/>
              <w:rPr>
                <w:sz w:val="18"/>
                <w:szCs w:val="18"/>
                <w:color w:val="auto"/>
              </w:rPr>
            </w:pP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484,499</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6/5/2034</w:t>
            </w:r>
          </w:p>
        </w:tc>
        <w:tc>
          <w:tcPr>
            <w:tcW w:w="640" w:type="dxa"/>
            <w:vAlign w:val="bottom"/>
            <w:shd w:val="clear" w:color="auto" w:fill="C6E5FE"/>
          </w:tcPr>
          <w:p>
            <w:pPr>
              <w:spacing w:after="0"/>
              <w:rPr>
                <w:sz w:val="18"/>
                <w:szCs w:val="18"/>
                <w:color w:val="auto"/>
              </w:rPr>
            </w:pP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80" w:type="dxa"/>
            <w:vAlign w:val="bottom"/>
            <w:shd w:val="clear" w:color="auto" w:fill="C6E5FE"/>
          </w:tcPr>
          <w:p>
            <w:pPr>
              <w:spacing w:after="0"/>
              <w:rPr>
                <w:sz w:val="18"/>
                <w:szCs w:val="18"/>
                <w:color w:val="auto"/>
              </w:rPr>
            </w:pPr>
          </w:p>
        </w:tc>
        <w:tc>
          <w:tcPr>
            <w:tcW w:w="2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00" w:type="dxa"/>
            <w:vAlign w:val="bottom"/>
            <w:tcBorders>
              <w:left w:val="single" w:sz="8" w:color="auto"/>
              <w:right w:val="single" w:sz="8" w:color="auto"/>
            </w:tcBorders>
            <w:vMerge w:val="restart"/>
            <w:shd w:val="clear" w:color="auto" w:fill="C6E5FE"/>
          </w:tcPr>
          <w:p>
            <w:pPr>
              <w:ind w:left="20"/>
              <w:spacing w:after="0"/>
              <w:rPr>
                <w:sz w:val="20"/>
                <w:szCs w:val="20"/>
                <w:color w:val="auto"/>
              </w:rPr>
            </w:pPr>
            <w:r>
              <w:rPr>
                <w:rFonts w:ascii="Times New Roman" w:cs="Times New Roman" w:eastAsia="Times New Roman" w:hAnsi="Times New Roman"/>
                <w:sz w:val="18"/>
                <w:szCs w:val="18"/>
                <w:color w:val="auto"/>
              </w:rPr>
              <w:t>Ellen M.</w:t>
            </w:r>
          </w:p>
        </w:tc>
        <w:tc>
          <w:tcPr>
            <w:tcW w:w="500" w:type="dxa"/>
            <w:vAlign w:val="bottom"/>
            <w:tcBorders>
              <w:right w:val="single" w:sz="8" w:color="auto"/>
            </w:tcBorders>
            <w:shd w:val="clear" w:color="auto" w:fill="C6E5FE"/>
          </w:tcPr>
          <w:p>
            <w:pPr>
              <w:jc w:val="center"/>
              <w:spacing w:after="0" w:line="184" w:lineRule="exact"/>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7,764</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800" w:type="dxa"/>
            <w:vAlign w:val="bottom"/>
            <w:tcBorders>
              <w:right w:val="single" w:sz="8" w:color="auto"/>
            </w:tcBorders>
            <w:gridSpan w:val="2"/>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14,829</w:t>
            </w:r>
          </w:p>
        </w:tc>
        <w:tc>
          <w:tcPr>
            <w:tcW w:w="78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tcBorders>
              <w:left w:val="single" w:sz="8" w:color="auto"/>
              <w:right w:val="single" w:sz="8" w:color="auto"/>
            </w:tcBorders>
            <w:vMerge w:val="continue"/>
            <w:shd w:val="clear" w:color="auto" w:fill="C6E5FE"/>
          </w:tcPr>
          <w:p>
            <w:pPr>
              <w:spacing w:after="0"/>
              <w:rPr>
                <w:sz w:val="16"/>
                <w:szCs w:val="16"/>
                <w:color w:val="auto"/>
              </w:rPr>
            </w:pPr>
          </w:p>
        </w:tc>
        <w:tc>
          <w:tcPr>
            <w:tcW w:w="500" w:type="dxa"/>
            <w:vAlign w:val="bottom"/>
            <w:tcBorders>
              <w:right w:val="single" w:sz="8" w:color="auto"/>
            </w:tcBorders>
            <w:shd w:val="clear" w:color="auto" w:fill="C6E5FE"/>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23,980</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800" w:type="dxa"/>
            <w:vAlign w:val="bottom"/>
            <w:tcBorders>
              <w:right w:val="single" w:sz="8" w:color="auto"/>
            </w:tcBorders>
            <w:gridSpan w:val="2"/>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45,802</w:t>
            </w:r>
          </w:p>
        </w:tc>
        <w:tc>
          <w:tcPr>
            <w:tcW w:w="78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8"/>
                <w:szCs w:val="18"/>
                <w:color w:val="auto"/>
              </w:rPr>
              <w:t>Cotter</w:t>
            </w:r>
          </w:p>
        </w:tc>
        <w:tc>
          <w:tcPr>
            <w:tcW w:w="500" w:type="dxa"/>
            <w:vAlign w:val="bottom"/>
            <w:tcBorders>
              <w:right w:val="single" w:sz="8" w:color="auto"/>
            </w:tcBorders>
            <w:vMerge w:val="restart"/>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vMerge w:val="restart"/>
            <w:shd w:val="clear" w:color="auto" w:fill="C6E5FE"/>
          </w:tcPr>
          <w:p>
            <w:pPr>
              <w:jc w:val="right"/>
              <w:ind w:right="4"/>
              <w:spacing w:after="0"/>
              <w:rPr>
                <w:sz w:val="20"/>
                <w:szCs w:val="20"/>
                <w:color w:val="auto"/>
              </w:rPr>
            </w:pPr>
            <w:r>
              <w:rPr>
                <w:rFonts w:ascii="Times New Roman" w:cs="Times New Roman" w:eastAsia="Times New Roman" w:hAnsi="Times New Roman"/>
                <w:sz w:val="18"/>
                <w:szCs w:val="18"/>
                <w:color w:val="auto"/>
              </w:rPr>
              <w:t xml:space="preserve">47,961 </w:t>
            </w:r>
            <w:r>
              <w:rPr>
                <w:rFonts w:ascii="Times New Roman" w:cs="Times New Roman" w:eastAsia="Times New Roman" w:hAnsi="Times New Roman"/>
                <w:sz w:val="8"/>
                <w:szCs w:val="8"/>
                <w:color w:val="auto"/>
              </w:rPr>
              <w:t>(2)</w:t>
            </w:r>
          </w:p>
        </w:tc>
        <w:tc>
          <w:tcPr>
            <w:tcW w:w="800" w:type="dxa"/>
            <w:vAlign w:val="bottom"/>
            <w:tcBorders>
              <w:right w:val="single" w:sz="8" w:color="auto"/>
            </w:tcBorders>
            <w:gridSpan w:val="2"/>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91,606</w:t>
            </w:r>
          </w:p>
        </w:tc>
        <w:tc>
          <w:tcPr>
            <w:tcW w:w="78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00" w:type="dxa"/>
            <w:vAlign w:val="bottom"/>
            <w:tcBorders>
              <w:left w:val="single" w:sz="8" w:color="auto"/>
              <w:right w:val="single" w:sz="8" w:color="auto"/>
            </w:tcBorders>
            <w:shd w:val="clear" w:color="auto" w:fill="C6E5FE"/>
          </w:tcPr>
          <w:p>
            <w:pPr>
              <w:spacing w:after="0" w:line="20" w:lineRule="exact"/>
              <w:rPr>
                <w:sz w:val="1"/>
                <w:szCs w:val="1"/>
                <w:color w:val="auto"/>
              </w:rPr>
            </w:pPr>
          </w:p>
        </w:tc>
        <w:tc>
          <w:tcPr>
            <w:tcW w:w="500" w:type="dxa"/>
            <w:vAlign w:val="bottom"/>
            <w:tcBorders>
              <w:right w:val="single" w:sz="8" w:color="auto"/>
            </w:tcBorders>
            <w:vMerge w:val="continue"/>
            <w:shd w:val="clear" w:color="auto" w:fill="C6E5FE"/>
          </w:tcPr>
          <w:p>
            <w:pPr>
              <w:spacing w:after="0" w:line="20" w:lineRule="exact"/>
              <w:rPr>
                <w:sz w:val="1"/>
                <w:szCs w:val="1"/>
                <w:color w:val="auto"/>
              </w:rPr>
            </w:pPr>
          </w:p>
        </w:tc>
        <w:tc>
          <w:tcPr>
            <w:tcW w:w="960" w:type="dxa"/>
            <w:vAlign w:val="bottom"/>
            <w:tcBorders>
              <w:right w:val="single" w:sz="8" w:color="auto"/>
            </w:tcBorders>
            <w:vMerge w:val="continue"/>
            <w:shd w:val="clear" w:color="auto" w:fill="C6E5FE"/>
          </w:tcPr>
          <w:p>
            <w:pPr>
              <w:spacing w:after="0" w:line="20" w:lineRule="exact"/>
              <w:rPr>
                <w:sz w:val="1"/>
                <w:szCs w:val="1"/>
                <w:color w:val="auto"/>
              </w:rPr>
            </w:pPr>
          </w:p>
        </w:tc>
        <w:tc>
          <w:tcPr>
            <w:tcW w:w="1120" w:type="dxa"/>
            <w:vAlign w:val="bottom"/>
            <w:tcBorders>
              <w:right w:val="single" w:sz="8" w:color="auto"/>
            </w:tcBorders>
            <w:vMerge w:val="continue"/>
            <w:shd w:val="clear" w:color="auto" w:fill="C6E5FE"/>
          </w:tcPr>
          <w:p>
            <w:pPr>
              <w:spacing w:after="0" w:line="20" w:lineRule="exact"/>
              <w:rPr>
                <w:sz w:val="1"/>
                <w:szCs w:val="1"/>
                <w:color w:val="auto"/>
              </w:rPr>
            </w:pPr>
          </w:p>
        </w:tc>
        <w:tc>
          <w:tcPr>
            <w:tcW w:w="1120" w:type="dxa"/>
            <w:vAlign w:val="bottom"/>
            <w:tcBorders>
              <w:right w:val="single" w:sz="8" w:color="auto"/>
            </w:tcBorders>
            <w:vMerge w:val="continue"/>
            <w:shd w:val="clear" w:color="auto" w:fill="C6E5FE"/>
          </w:tcPr>
          <w:p>
            <w:pPr>
              <w:spacing w:after="0" w:line="20" w:lineRule="exact"/>
              <w:rPr>
                <w:sz w:val="1"/>
                <w:szCs w:val="1"/>
                <w:color w:val="auto"/>
              </w:rPr>
            </w:pPr>
          </w:p>
        </w:tc>
        <w:tc>
          <w:tcPr>
            <w:tcW w:w="680" w:type="dxa"/>
            <w:vAlign w:val="bottom"/>
            <w:tcBorders>
              <w:right w:val="single" w:sz="8" w:color="auto"/>
            </w:tcBorders>
            <w:vMerge w:val="continue"/>
            <w:shd w:val="clear" w:color="auto" w:fill="C6E5FE"/>
          </w:tcPr>
          <w:p>
            <w:pPr>
              <w:spacing w:after="0" w:line="20" w:lineRule="exact"/>
              <w:rPr>
                <w:sz w:val="1"/>
                <w:szCs w:val="1"/>
                <w:color w:val="auto"/>
              </w:rPr>
            </w:pPr>
          </w:p>
        </w:tc>
        <w:tc>
          <w:tcPr>
            <w:tcW w:w="820" w:type="dxa"/>
            <w:vAlign w:val="bottom"/>
            <w:tcBorders>
              <w:right w:val="single" w:sz="8" w:color="auto"/>
            </w:tcBorders>
            <w:vMerge w:val="continue"/>
            <w:shd w:val="clear" w:color="auto" w:fill="C6E5FE"/>
          </w:tcPr>
          <w:p>
            <w:pPr>
              <w:spacing w:after="0" w:line="20" w:lineRule="exact"/>
              <w:rPr>
                <w:sz w:val="1"/>
                <w:szCs w:val="1"/>
                <w:color w:val="auto"/>
              </w:rPr>
            </w:pPr>
          </w:p>
        </w:tc>
        <w:tc>
          <w:tcPr>
            <w:tcW w:w="780" w:type="dxa"/>
            <w:vAlign w:val="bottom"/>
            <w:tcBorders>
              <w:right w:val="single" w:sz="8" w:color="auto"/>
            </w:tcBorders>
            <w:gridSpan w:val="2"/>
            <w:vMerge w:val="continue"/>
            <w:shd w:val="clear" w:color="auto" w:fill="C6E5FE"/>
          </w:tcPr>
          <w:p>
            <w:pPr>
              <w:spacing w:after="0" w:line="20" w:lineRule="exact"/>
              <w:rPr>
                <w:sz w:val="1"/>
                <w:szCs w:val="1"/>
                <w:color w:val="auto"/>
              </w:rPr>
            </w:pPr>
          </w:p>
        </w:tc>
        <w:tc>
          <w:tcPr>
            <w:tcW w:w="800" w:type="dxa"/>
            <w:vAlign w:val="bottom"/>
            <w:tcBorders>
              <w:right w:val="single" w:sz="8" w:color="auto"/>
            </w:tcBorders>
            <w:gridSpan w:val="2"/>
            <w:vMerge w:val="continue"/>
            <w:shd w:val="clear" w:color="auto" w:fill="C6E5FE"/>
          </w:tcPr>
          <w:p>
            <w:pPr>
              <w:spacing w:after="0" w:line="20" w:lineRule="exact"/>
              <w:rPr>
                <w:sz w:val="1"/>
                <w:szCs w:val="1"/>
                <w:color w:val="auto"/>
              </w:rPr>
            </w:pPr>
          </w:p>
        </w:tc>
        <w:tc>
          <w:tcPr>
            <w:tcW w:w="780" w:type="dxa"/>
            <w:vAlign w:val="bottom"/>
            <w:tcBorders>
              <w:right w:val="single" w:sz="8" w:color="auto"/>
            </w:tcBorders>
            <w:vMerge w:val="continue"/>
            <w:shd w:val="clear" w:color="auto" w:fill="C6E5FE"/>
          </w:tcPr>
          <w:p>
            <w:pPr>
              <w:spacing w:after="0" w:line="20" w:lineRule="exact"/>
              <w:rPr>
                <w:sz w:val="1"/>
                <w:szCs w:val="1"/>
                <w:color w:val="auto"/>
              </w:rPr>
            </w:pPr>
          </w:p>
        </w:tc>
        <w:tc>
          <w:tcPr>
            <w:tcW w:w="780" w:type="dxa"/>
            <w:vAlign w:val="bottom"/>
            <w:tcBorders>
              <w:right w:val="single" w:sz="8" w:color="auto"/>
            </w:tcBorders>
            <w:vMerge w:val="continue"/>
            <w:shd w:val="clear" w:color="auto" w:fill="C6E5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tcBorders>
              <w:left w:val="single" w:sz="8" w:color="auto"/>
              <w:right w:val="single" w:sz="8" w:color="auto"/>
            </w:tcBorders>
            <w:shd w:val="clear" w:color="auto" w:fill="C6E5FE"/>
          </w:tcPr>
          <w:p>
            <w:pPr>
              <w:spacing w:after="0"/>
              <w:rPr>
                <w:sz w:val="18"/>
                <w:szCs w:val="18"/>
                <w:color w:val="auto"/>
              </w:rPr>
            </w:pP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46,729</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800" w:type="dxa"/>
            <w:vAlign w:val="bottom"/>
            <w:tcBorders>
              <w:right w:val="single" w:sz="8" w:color="auto"/>
            </w:tcBorders>
            <w:gridSpan w:val="2"/>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89,252</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0" w:type="dxa"/>
            <w:vAlign w:val="bottom"/>
            <w:tcBorders>
              <w:left w:val="single" w:sz="8" w:color="auto"/>
              <w:right w:val="single" w:sz="8" w:color="auto"/>
            </w:tcBorders>
            <w:shd w:val="clear" w:color="auto" w:fill="C6E5FE"/>
          </w:tcPr>
          <w:p>
            <w:pPr>
              <w:spacing w:after="0"/>
              <w:rPr>
                <w:sz w:val="21"/>
                <w:szCs w:val="21"/>
                <w:color w:val="auto"/>
              </w:rPr>
            </w:pP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62,305</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800" w:type="dxa"/>
            <w:vAlign w:val="bottom"/>
            <w:tcBorders>
              <w:right w:val="single" w:sz="8" w:color="auto"/>
            </w:tcBorders>
            <w:gridSpan w:val="2"/>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119,003</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00" w:type="dxa"/>
            <w:vAlign w:val="bottom"/>
            <w:tcBorders>
              <w:left w:val="single" w:sz="8" w:color="auto"/>
              <w:right w:val="single" w:sz="8" w:color="auto"/>
            </w:tcBorders>
          </w:tcPr>
          <w:p>
            <w:pPr>
              <w:spacing w:after="0"/>
              <w:rPr>
                <w:sz w:val="17"/>
                <w:szCs w:val="17"/>
                <w:color w:val="auto"/>
              </w:rPr>
            </w:pPr>
          </w:p>
        </w:tc>
        <w:tc>
          <w:tcPr>
            <w:tcW w:w="5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129,885</w:t>
            </w:r>
          </w:p>
        </w:tc>
        <w:tc>
          <w:tcPr>
            <w:tcW w:w="11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$1.47</w:t>
            </w:r>
          </w:p>
        </w:tc>
        <w:tc>
          <w:tcPr>
            <w:tcW w:w="8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6/5/2034</w:t>
            </w:r>
          </w:p>
        </w:tc>
        <w:tc>
          <w:tcPr>
            <w:tcW w:w="640" w:type="dxa"/>
            <w:vAlign w:val="bottom"/>
          </w:tcPr>
          <w:p>
            <w:pPr>
              <w:spacing w:after="0"/>
              <w:rPr>
                <w:sz w:val="17"/>
                <w:szCs w:val="17"/>
                <w:color w:val="auto"/>
              </w:rPr>
            </w:pPr>
          </w:p>
        </w:tc>
        <w:tc>
          <w:tcPr>
            <w:tcW w:w="14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2"/>
              </w:rPr>
              <w:t>--</w:t>
            </w:r>
          </w:p>
        </w:tc>
        <w:tc>
          <w:tcPr>
            <w:tcW w:w="580" w:type="dxa"/>
            <w:vAlign w:val="bottom"/>
          </w:tcPr>
          <w:p>
            <w:pPr>
              <w:spacing w:after="0"/>
              <w:rPr>
                <w:sz w:val="17"/>
                <w:szCs w:val="17"/>
                <w:color w:val="auto"/>
              </w:rPr>
            </w:pPr>
          </w:p>
        </w:tc>
        <w:tc>
          <w:tcPr>
            <w:tcW w:w="2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Margaret</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 w:type="dxa"/>
            <w:vAlign w:val="bottom"/>
            <w:tcBorders>
              <w:left w:val="single" w:sz="8" w:color="auto"/>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Cotter</w:t>
            </w:r>
          </w:p>
        </w:tc>
        <w:tc>
          <w:tcPr>
            <w:tcW w:w="5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4"/>
              <w:spacing w:after="0" w:line="198" w:lineRule="exact"/>
              <w:rPr>
                <w:sz w:val="20"/>
                <w:szCs w:val="20"/>
                <w:color w:val="auto"/>
              </w:rPr>
            </w:pPr>
            <w:r>
              <w:rPr>
                <w:rFonts w:ascii="Times New Roman" w:cs="Times New Roman" w:eastAsia="Times New Roman" w:hAnsi="Times New Roman"/>
                <w:sz w:val="18"/>
                <w:szCs w:val="18"/>
                <w:color w:val="auto"/>
              </w:rPr>
              <w:t xml:space="preserve">17,536 </w:t>
            </w:r>
            <w:r>
              <w:rPr>
                <w:rFonts w:ascii="Times New Roman" w:cs="Times New Roman" w:eastAsia="Times New Roman" w:hAnsi="Times New Roman"/>
                <w:sz w:val="8"/>
                <w:szCs w:val="8"/>
                <w:color w:val="auto"/>
              </w:rPr>
              <w:t>(3)</w:t>
            </w:r>
          </w:p>
        </w:tc>
        <w:tc>
          <w:tcPr>
            <w:tcW w:w="800" w:type="dxa"/>
            <w:vAlign w:val="bottom"/>
            <w:tcBorders>
              <w:right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33,494</w:t>
            </w:r>
          </w:p>
        </w:tc>
        <w:tc>
          <w:tcPr>
            <w:tcW w:w="7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spacing w:after="0"/>
              <w:rPr>
                <w:sz w:val="17"/>
                <w:szCs w:val="17"/>
                <w:color w:val="auto"/>
              </w:rPr>
            </w:pPr>
          </w:p>
        </w:tc>
        <w:tc>
          <w:tcPr>
            <w:tcW w:w="5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11,691</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800" w:type="dxa"/>
            <w:vAlign w:val="bottom"/>
            <w:tcBorders>
              <w:right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22,330</w:t>
            </w:r>
          </w:p>
        </w:tc>
        <w:tc>
          <w:tcPr>
            <w:tcW w:w="78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65,265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0" w:type="dxa"/>
            <w:vAlign w:val="bottom"/>
            <w:tcBorders>
              <w:left w:val="single" w:sz="8" w:color="auto"/>
              <w:right w:val="single" w:sz="8" w:color="auto"/>
            </w:tcBorders>
          </w:tcPr>
          <w:p>
            <w:pPr>
              <w:spacing w:after="0"/>
              <w:rPr>
                <w:sz w:val="21"/>
                <w:szCs w:val="21"/>
                <w:color w:val="auto"/>
              </w:rPr>
            </w:pP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29,007</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shd w:val="clear" w:color="auto" w:fill="C6E5FE"/>
          </w:tcPr>
          <w:p>
            <w:pPr>
              <w:spacing w:after="0"/>
              <w:rPr>
                <w:sz w:val="18"/>
                <w:szCs w:val="18"/>
                <w:color w:val="auto"/>
              </w:rPr>
            </w:pP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6/5/2034</w:t>
            </w:r>
          </w:p>
        </w:tc>
        <w:tc>
          <w:tcPr>
            <w:tcW w:w="640" w:type="dxa"/>
            <w:vAlign w:val="bottom"/>
            <w:vMerge w:val="restart"/>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w w:val="82"/>
              </w:rPr>
              <w:t>--</w:t>
            </w:r>
          </w:p>
        </w:tc>
        <w:tc>
          <w:tcPr>
            <w:tcW w:w="580" w:type="dxa"/>
            <w:vAlign w:val="bottom"/>
            <w:shd w:val="clear" w:color="auto" w:fill="C6E5FE"/>
          </w:tcPr>
          <w:p>
            <w:pPr>
              <w:spacing w:after="0"/>
              <w:rPr>
                <w:sz w:val="18"/>
                <w:szCs w:val="18"/>
                <w:color w:val="auto"/>
              </w:rPr>
            </w:pPr>
          </w:p>
        </w:tc>
        <w:tc>
          <w:tcPr>
            <w:tcW w:w="2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shd w:val="clear" w:color="auto" w:fill="C6E5FE"/>
          </w:tcPr>
          <w:p>
            <w:pPr>
              <w:spacing w:after="0"/>
              <w:rPr>
                <w:sz w:val="18"/>
                <w:szCs w:val="18"/>
                <w:color w:val="auto"/>
              </w:rPr>
            </w:pP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continue"/>
            <w:shd w:val="clear" w:color="auto" w:fill="C6E5FE"/>
          </w:tcPr>
          <w:p>
            <w:pPr>
              <w:spacing w:after="0"/>
              <w:rPr>
                <w:sz w:val="18"/>
                <w:szCs w:val="18"/>
                <w:color w:val="auto"/>
              </w:rPr>
            </w:pP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800" w:type="dxa"/>
            <w:vAlign w:val="bottom"/>
            <w:tcBorders>
              <w:right w:val="single" w:sz="8" w:color="auto"/>
            </w:tcBorders>
            <w:gridSpan w:val="2"/>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tcBorders>
              <w:left w:val="single" w:sz="8" w:color="auto"/>
              <w:right w:val="single" w:sz="8" w:color="auto"/>
            </w:tcBorders>
            <w:shd w:val="clear" w:color="auto" w:fill="C6E5FE"/>
          </w:tcPr>
          <w:p>
            <w:pPr>
              <w:ind w:left="20"/>
              <w:spacing w:after="0" w:line="176" w:lineRule="exact"/>
              <w:rPr>
                <w:sz w:val="20"/>
                <w:szCs w:val="20"/>
                <w:color w:val="auto"/>
              </w:rPr>
            </w:pPr>
            <w:r>
              <w:rPr>
                <w:rFonts w:ascii="Times New Roman" w:cs="Times New Roman" w:eastAsia="Times New Roman" w:hAnsi="Times New Roman"/>
                <w:sz w:val="18"/>
                <w:szCs w:val="18"/>
                <w:color w:val="auto"/>
              </w:rPr>
              <w:t>S. Craig</w:t>
            </w:r>
          </w:p>
        </w:tc>
        <w:tc>
          <w:tcPr>
            <w:tcW w:w="500" w:type="dxa"/>
            <w:vAlign w:val="bottom"/>
            <w:tcBorders>
              <w:right w:val="single" w:sz="8" w:color="auto"/>
            </w:tcBorders>
            <w:shd w:val="clear" w:color="auto" w:fill="C6E5FE"/>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17,536</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800" w:type="dxa"/>
            <w:vAlign w:val="bottom"/>
            <w:tcBorders>
              <w:right w:val="single" w:sz="8" w:color="auto"/>
            </w:tcBorders>
            <w:gridSpan w:val="2"/>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33,494</w:t>
            </w:r>
          </w:p>
        </w:tc>
        <w:tc>
          <w:tcPr>
            <w:tcW w:w="78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8"/>
                <w:szCs w:val="18"/>
                <w:color w:val="auto"/>
              </w:rPr>
              <w:t>Tompkins</w:t>
            </w: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800" w:type="dxa"/>
            <w:vAlign w:val="bottom"/>
            <w:tcBorders>
              <w:right w:val="single" w:sz="8" w:color="auto"/>
            </w:tcBorders>
            <w:gridSpan w:val="2"/>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shd w:val="clear" w:color="auto" w:fill="C6E5FE"/>
          </w:tcPr>
          <w:p>
            <w:pPr>
              <w:spacing w:after="0"/>
              <w:rPr>
                <w:sz w:val="18"/>
                <w:szCs w:val="18"/>
                <w:color w:val="auto"/>
              </w:rPr>
            </w:pPr>
          </w:p>
        </w:tc>
        <w:tc>
          <w:tcPr>
            <w:tcW w:w="500" w:type="dxa"/>
            <w:vAlign w:val="bottom"/>
            <w:tcBorders>
              <w:right w:val="single" w:sz="8" w:color="auto"/>
            </w:tcBorders>
            <w:shd w:val="clear" w:color="auto" w:fill="C6E5FE"/>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4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800" w:type="dxa"/>
            <w:vAlign w:val="bottom"/>
            <w:tcBorders>
              <w:right w:val="single" w:sz="8" w:color="auto"/>
            </w:tcBorders>
            <w:gridSpan w:val="2"/>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64,463</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shd w:val="clear" w:color="auto" w:fill="C6E5FE"/>
          </w:tcPr>
          <w:p>
            <w:pPr>
              <w:spacing w:after="0"/>
              <w:rPr>
                <w:sz w:val="18"/>
                <w:szCs w:val="18"/>
                <w:color w:val="auto"/>
              </w:rPr>
            </w:pPr>
          </w:p>
        </w:tc>
        <w:tc>
          <w:tcPr>
            <w:tcW w:w="500" w:type="dxa"/>
            <w:vAlign w:val="bottom"/>
            <w:tcBorders>
              <w:bottom w:val="single" w:sz="8" w:color="auto"/>
              <w:right w:val="single" w:sz="8" w:color="auto"/>
            </w:tcBorders>
            <w:shd w:val="clear" w:color="auto" w:fill="C6E5FE"/>
          </w:tcPr>
          <w:p>
            <w:pPr>
              <w:spacing w:after="0"/>
              <w:rPr>
                <w:sz w:val="18"/>
                <w:szCs w:val="18"/>
                <w:color w:val="auto"/>
              </w:rPr>
            </w:pPr>
          </w:p>
        </w:tc>
        <w:tc>
          <w:tcPr>
            <w:tcW w:w="96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800" w:type="dxa"/>
            <w:vAlign w:val="bottom"/>
            <w:tcBorders>
              <w:bottom w:val="single" w:sz="8" w:color="auto"/>
              <w:right w:val="single" w:sz="8" w:color="auto"/>
            </w:tcBorders>
            <w:gridSpan w:val="2"/>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78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77"/>
              </w:rPr>
              <w:t>41</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-38100</wp:posOffset>
            </wp:positionV>
            <wp:extent cx="3365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340"/>
          </w:cols>
          <w:pgMar w:left="1440" w:top="279" w:right="1119" w:bottom="1440" w:gutter="0" w:footer="0" w:header="0"/>
        </w:sectPr>
      </w:pPr>
    </w:p>
    <w:bookmarkStart w:id="46" w:name="page47"/>
    <w:bookmarkEnd w:id="46"/>
    <w:p>
      <w:pPr>
        <w:ind w:left="1240" w:right="200" w:hanging="939"/>
        <w:spacing w:after="0" w:line="242" w:lineRule="auto"/>
        <w:tabs>
          <w:tab w:leader="none" w:pos="12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amount calculated by multiplying the number of unvested restricted shares by the closing price of our Class A Stock as of December 31, 2023 or $1.91.</w:t>
      </w:r>
    </w:p>
    <w:p>
      <w:pPr>
        <w:spacing w:after="0" w:line="316" w:lineRule="exact"/>
        <w:rPr>
          <w:sz w:val="20"/>
          <w:szCs w:val="20"/>
          <w:color w:val="auto"/>
        </w:rPr>
      </w:pPr>
    </w:p>
    <w:p>
      <w:pPr>
        <w:ind w:left="1240" w:hanging="939"/>
        <w:spacing w:after="0"/>
        <w:tabs>
          <w:tab w:leader="none" w:pos="12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7,764 units of RSUs will vest on April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-99695</wp:posOffset>
            </wp:positionV>
            <wp:extent cx="5212080" cy="565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5"/>
          <w:szCs w:val="15"/>
          <w:color w:val="auto"/>
        </w:rPr>
        <w:t>11,990 units of RSUs will vest on April 18, 2025, and April 26, 2026.</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47,961 units of PRSUs will vest on April 18, 2025.</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15,577 units of RSUs will vest April 21, 2025, and 15,576 units of RSUs will vest on April 21, 2026 and April 21, 2027; and</w:t>
      </w:r>
    </w:p>
    <w:p>
      <w:pPr>
        <w:spacing w:after="0" w:line="3" w:lineRule="exact"/>
        <w:rPr>
          <w:sz w:val="20"/>
          <w:szCs w:val="20"/>
          <w:color w:val="auto"/>
        </w:rPr>
      </w:pPr>
    </w:p>
    <w:p>
      <w:pPr>
        <w:ind w:left="300"/>
        <w:spacing w:after="0" w:line="225" w:lineRule="auto"/>
        <w:rPr>
          <w:sz w:val="20"/>
          <w:szCs w:val="20"/>
          <w:color w:val="auto"/>
        </w:rPr>
      </w:pPr>
      <w:r>
        <w:rPr>
          <w:rFonts w:ascii="Times New Roman" w:cs="Times New Roman" w:eastAsia="Times New Roman" w:hAnsi="Times New Roman"/>
          <w:sz w:val="15"/>
          <w:szCs w:val="15"/>
          <w:color w:val="auto"/>
        </w:rPr>
        <w:t>62,305 units of PRSUs will vest on April 21, 2026.</w:t>
      </w:r>
    </w:p>
    <w:p>
      <w:pPr>
        <w:spacing w:after="0" w:line="187" w:lineRule="exact"/>
        <w:rPr>
          <w:sz w:val="20"/>
          <w:szCs w:val="20"/>
          <w:color w:val="auto"/>
        </w:rPr>
      </w:pPr>
    </w:p>
    <w:p>
      <w:pPr>
        <w:ind w:left="1240" w:hanging="939"/>
        <w:spacing w:after="0"/>
        <w:tabs>
          <w:tab w:leader="none" w:pos="12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5,677 units of RSUs will vest on April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-97790</wp:posOffset>
            </wp:positionV>
            <wp:extent cx="5212080"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5"/>
          <w:szCs w:val="15"/>
          <w:color w:val="auto"/>
        </w:rPr>
        <w:t>8,768 units of RSUs will vest on April 18, 2025, and April 26, 2026.</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11,691 units of PRSUs will vest on April 18, 2025.</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11,390 units of RSUs will vest April 21, 2025, April 21, 2026 and April 21, 2027; and</w:t>
      </w:r>
    </w:p>
    <w:p>
      <w:pPr>
        <w:spacing w:after="0" w:line="3" w:lineRule="exact"/>
        <w:rPr>
          <w:sz w:val="20"/>
          <w:szCs w:val="20"/>
          <w:color w:val="auto"/>
        </w:rPr>
      </w:pPr>
    </w:p>
    <w:p>
      <w:pPr>
        <w:ind w:left="300"/>
        <w:spacing w:after="0" w:line="225" w:lineRule="auto"/>
        <w:rPr>
          <w:sz w:val="20"/>
          <w:szCs w:val="20"/>
          <w:color w:val="auto"/>
        </w:rPr>
      </w:pPr>
      <w:r>
        <w:rPr>
          <w:rFonts w:ascii="Times New Roman" w:cs="Times New Roman" w:eastAsia="Times New Roman" w:hAnsi="Times New Roman"/>
          <w:sz w:val="15"/>
          <w:szCs w:val="15"/>
          <w:color w:val="auto"/>
        </w:rPr>
        <w:t>15,187 units of PRSUs will vest on April 21, 2026.</w:t>
      </w:r>
    </w:p>
    <w:p>
      <w:pPr>
        <w:spacing w:after="0" w:line="187" w:lineRule="exact"/>
        <w:rPr>
          <w:sz w:val="20"/>
          <w:szCs w:val="20"/>
          <w:color w:val="auto"/>
        </w:rPr>
      </w:pPr>
    </w:p>
    <w:p>
      <w:pPr>
        <w:ind w:left="1240" w:hanging="939"/>
        <w:spacing w:after="0"/>
        <w:tabs>
          <w:tab w:leader="none" w:pos="12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5,677 units of RSUs will vest on April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-97790</wp:posOffset>
            </wp:positionV>
            <wp:extent cx="521208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5"/>
          <w:szCs w:val="15"/>
          <w:color w:val="auto"/>
        </w:rPr>
        <w:t>8,768 units of RSUs will vest on April 18, 2025, and April 26, 2026.</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11,691 units of PRSUs will vest on April 18, 2025.</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11,250 units of RSUs will vest April 11, 2025, April 11, 2026 and April 11, 2027; and</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15,000 units of PRSUs will vest on April 11, 2026.</w:t>
      </w: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2" w:lineRule="exact"/>
        <w:rPr>
          <w:sz w:val="20"/>
          <w:szCs w:val="20"/>
          <w:color w:val="auto"/>
        </w:rPr>
      </w:pPr>
    </w:p>
    <w:p>
      <w:pPr>
        <w:ind w:left="180" w:right="76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sets forth, as of December 31, 2023, a summary of certain information related to our equity incentive plans under which our equity securities are authorized for issuance:</w:t>
      </w:r>
    </w:p>
    <w:p>
      <w:pPr>
        <w:spacing w:after="0" w:line="332" w:lineRule="exact"/>
        <w:rPr>
          <w:sz w:val="20"/>
          <w:szCs w:val="20"/>
          <w:color w:val="auto"/>
        </w:rPr>
      </w:pPr>
    </w:p>
    <w:tbl>
      <w:tblPr>
        <w:tblLayout w:type="fixed"/>
        <w:tblInd w:w="190" w:type="dxa"/>
        <w:tblCellMar>
          <w:top w:w="0" w:type="dxa"/>
          <w:left w:w="0" w:type="dxa"/>
          <w:bottom w:w="0" w:type="dxa"/>
          <w:right w:w="0" w:type="dxa"/>
        </w:tblCellMar>
      </w:tblPr>
      <w:tr>
        <w:trPr>
          <w:trHeight w:val="162"/>
        </w:trPr>
        <w:tc>
          <w:tcPr>
            <w:tcW w:w="2860" w:type="dxa"/>
            <w:vAlign w:val="bottom"/>
            <w:tcBorders>
              <w:top w:val="single" w:sz="8" w:color="auto"/>
              <w:left w:val="single" w:sz="8" w:color="auto"/>
              <w:right w:val="single" w:sz="8" w:color="auto"/>
            </w:tcBorders>
            <w:vMerge w:val="restart"/>
          </w:tcPr>
          <w:p>
            <w:pPr>
              <w:spacing w:after="0"/>
              <w:rPr>
                <w:sz w:val="14"/>
                <w:szCs w:val="14"/>
                <w:color w:val="auto"/>
              </w:rPr>
            </w:pPr>
          </w:p>
        </w:tc>
        <w:tc>
          <w:tcPr>
            <w:tcW w:w="214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4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right w:val="single" w:sz="8" w:color="auto"/>
            </w:tcBorders>
            <w:vMerge w:val="continue"/>
          </w:tcPr>
          <w:p>
            <w:pPr>
              <w:spacing w:after="0"/>
              <w:rPr>
                <w:sz w:val="11"/>
                <w:szCs w:val="11"/>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7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40"/>
        </w:trPr>
        <w:tc>
          <w:tcPr>
            <w:tcW w:w="2860" w:type="dxa"/>
            <w:vAlign w:val="bottom"/>
            <w:tcBorders>
              <w:left w:val="single" w:sz="8" w:color="auto"/>
              <w:right w:val="single" w:sz="8" w:color="auto"/>
            </w:tcBorders>
          </w:tcPr>
          <w:p>
            <w:pPr>
              <w:spacing w:after="0"/>
              <w:rPr>
                <w:sz w:val="3"/>
                <w:szCs w:val="3"/>
                <w:color w:val="auto"/>
              </w:rPr>
            </w:pPr>
          </w:p>
        </w:tc>
        <w:tc>
          <w:tcPr>
            <w:tcW w:w="2140" w:type="dxa"/>
            <w:vAlign w:val="bottom"/>
            <w:tcBorders>
              <w:right w:val="single" w:sz="8" w:color="auto"/>
            </w:tcBorders>
            <w:vMerge w:val="continue"/>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24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860" w:type="dxa"/>
            <w:vAlign w:val="bottom"/>
            <w:tcBorders>
              <w:left w:val="single" w:sz="8" w:color="auto"/>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860" w:type="dxa"/>
            <w:vAlign w:val="bottom"/>
            <w:tcBorders>
              <w:left w:val="single" w:sz="8" w:color="auto"/>
              <w:right w:val="single" w:sz="8" w:color="auto"/>
            </w:tcBorders>
          </w:tcPr>
          <w:p>
            <w:pPr>
              <w:spacing w:after="0"/>
              <w:rPr>
                <w:sz w:val="8"/>
                <w:szCs w:val="8"/>
                <w:color w:val="auto"/>
              </w:rPr>
            </w:pPr>
          </w:p>
        </w:tc>
        <w:tc>
          <w:tcPr>
            <w:tcW w:w="21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700" w:type="dxa"/>
            <w:vAlign w:val="bottom"/>
            <w:tcBorders>
              <w:right w:val="single" w:sz="8" w:color="auto"/>
            </w:tcBorders>
            <w:vMerge w:val="continue"/>
          </w:tcPr>
          <w:p>
            <w:pPr>
              <w:spacing w:after="0"/>
              <w:rPr>
                <w:sz w:val="8"/>
                <w:szCs w:val="8"/>
                <w:color w:val="auto"/>
              </w:rPr>
            </w:pPr>
          </w:p>
        </w:tc>
        <w:tc>
          <w:tcPr>
            <w:tcW w:w="24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81"/>
        </w:trPr>
        <w:tc>
          <w:tcPr>
            <w:tcW w:w="2860" w:type="dxa"/>
            <w:vAlign w:val="bottom"/>
            <w:tcBorders>
              <w:left w:val="single" w:sz="8" w:color="auto"/>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 warrants</w:t>
            </w: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860" w:type="dxa"/>
            <w:vAlign w:val="bottom"/>
            <w:tcBorders>
              <w:left w:val="single" w:sz="8" w:color="auto"/>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214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1700" w:type="dxa"/>
            <w:vAlign w:val="bottom"/>
            <w:tcBorders>
              <w:right w:val="single" w:sz="8" w:color="auto"/>
            </w:tcBorders>
            <w:vMerge w:val="continue"/>
          </w:tcPr>
          <w:p>
            <w:pPr>
              <w:spacing w:after="0"/>
              <w:rPr>
                <w:sz w:val="8"/>
                <w:szCs w:val="8"/>
                <w:color w:val="auto"/>
              </w:rPr>
            </w:pPr>
          </w:p>
        </w:tc>
        <w:tc>
          <w:tcPr>
            <w:tcW w:w="244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future issuance under equity</w:t>
            </w:r>
          </w:p>
        </w:tc>
        <w:tc>
          <w:tcPr>
            <w:tcW w:w="0" w:type="dxa"/>
            <w:vAlign w:val="bottom"/>
          </w:tcPr>
          <w:p>
            <w:pPr>
              <w:spacing w:after="0"/>
              <w:rPr>
                <w:sz w:val="1"/>
                <w:szCs w:val="1"/>
                <w:color w:val="auto"/>
              </w:rPr>
            </w:pPr>
          </w:p>
        </w:tc>
      </w:tr>
      <w:tr>
        <w:trPr>
          <w:trHeight w:val="81"/>
        </w:trPr>
        <w:tc>
          <w:tcPr>
            <w:tcW w:w="2860" w:type="dxa"/>
            <w:vAlign w:val="bottom"/>
            <w:tcBorders>
              <w:left w:val="single" w:sz="8" w:color="auto"/>
              <w:right w:val="single" w:sz="8" w:color="auto"/>
            </w:tcBorders>
            <w:vMerge w:val="continue"/>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860" w:type="dxa"/>
            <w:vAlign w:val="bottom"/>
            <w:tcBorders>
              <w:left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approved by security holders </w:t>
            </w:r>
            <w:r>
              <w:rPr>
                <w:rFonts w:ascii="Times New Roman" w:cs="Times New Roman" w:eastAsia="Times New Roman" w:hAnsi="Times New Roman"/>
                <w:sz w:val="8"/>
                <w:szCs w:val="8"/>
                <w:b w:val="1"/>
                <w:bCs w:val="1"/>
                <w:color w:val="auto"/>
              </w:rPr>
              <w:t>(1)</w:t>
            </w:r>
          </w:p>
        </w:tc>
        <w:tc>
          <w:tcPr>
            <w:tcW w:w="21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warrants and rights</w:t>
            </w:r>
          </w:p>
        </w:tc>
        <w:tc>
          <w:tcPr>
            <w:tcW w:w="1700" w:type="dxa"/>
            <w:vAlign w:val="bottom"/>
            <w:tcBorders>
              <w:right w:val="single" w:sz="8" w:color="auto"/>
            </w:tcBorders>
            <w:vMerge w:val="continue"/>
          </w:tcPr>
          <w:p>
            <w:pPr>
              <w:spacing w:after="0"/>
              <w:rPr>
                <w:sz w:val="15"/>
                <w:szCs w:val="15"/>
                <w:color w:val="auto"/>
              </w:rPr>
            </w:pPr>
          </w:p>
        </w:tc>
        <w:tc>
          <w:tcPr>
            <w:tcW w:w="24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w:t>
            </w:r>
          </w:p>
        </w:tc>
        <w:tc>
          <w:tcPr>
            <w:tcW w:w="2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860" w:type="dxa"/>
            <w:vAlign w:val="bottom"/>
            <w:tcBorders>
              <w:left w:val="single" w:sz="8" w:color="auto"/>
              <w:right w:val="single" w:sz="8" w:color="auto"/>
            </w:tcBorders>
            <w:shd w:val="clear" w:color="auto" w:fill="BCDAFC"/>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140" w:type="dxa"/>
            <w:vAlign w:val="bottom"/>
            <w:tcBorders>
              <w:right w:val="single" w:sz="8" w:color="auto"/>
            </w:tcBorders>
            <w:shd w:val="clear" w:color="auto" w:fill="BCDAFC"/>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412,779 </w:t>
            </w:r>
            <w:r>
              <w:rPr>
                <w:rFonts w:ascii="Times New Roman" w:cs="Times New Roman" w:eastAsia="Times New Roman" w:hAnsi="Times New Roman"/>
                <w:sz w:val="8"/>
                <w:szCs w:val="8"/>
                <w:color w:val="auto"/>
              </w:rPr>
              <w:t>(2)</w:t>
            </w:r>
          </w:p>
        </w:tc>
        <w:tc>
          <w:tcPr>
            <w:tcW w:w="1700" w:type="dxa"/>
            <w:vAlign w:val="bottom"/>
            <w:tcBorders>
              <w:right w:val="single" w:sz="8" w:color="auto"/>
            </w:tcBorders>
            <w:shd w:val="clear" w:color="auto" w:fill="BCDA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40" w:type="dxa"/>
            <w:vAlign w:val="bottom"/>
            <w:tcBorders>
              <w:right w:val="single" w:sz="8" w:color="auto"/>
            </w:tcBorders>
            <w:shd w:val="clear" w:color="auto" w:fill="BCDA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4"/>
        </w:trPr>
        <w:tc>
          <w:tcPr>
            <w:tcW w:w="2860" w:type="dxa"/>
            <w:vAlign w:val="bottom"/>
            <w:tcBorders>
              <w:left w:val="single" w:sz="8" w:color="auto"/>
              <w:bottom w:val="single" w:sz="8" w:color="auto"/>
              <w:right w:val="single" w:sz="8" w:color="auto"/>
            </w:tcBorders>
            <w:shd w:val="clear" w:color="auto" w:fill="BCDAFC"/>
          </w:tcPr>
          <w:p>
            <w:pPr>
              <w:spacing w:after="0"/>
              <w:rPr>
                <w:sz w:val="12"/>
                <w:szCs w:val="12"/>
                <w:color w:val="auto"/>
              </w:rPr>
            </w:pPr>
          </w:p>
        </w:tc>
        <w:tc>
          <w:tcPr>
            <w:tcW w:w="2140" w:type="dxa"/>
            <w:vAlign w:val="bottom"/>
            <w:tcBorders>
              <w:bottom w:val="single" w:sz="8" w:color="auto"/>
              <w:right w:val="single" w:sz="8" w:color="auto"/>
            </w:tcBorders>
            <w:shd w:val="clear" w:color="auto" w:fill="BCDAFC"/>
          </w:tcPr>
          <w:p>
            <w:pPr>
              <w:spacing w:after="0"/>
              <w:rPr>
                <w:sz w:val="12"/>
                <w:szCs w:val="12"/>
                <w:color w:val="auto"/>
              </w:rPr>
            </w:pPr>
          </w:p>
        </w:tc>
        <w:tc>
          <w:tcPr>
            <w:tcW w:w="1700" w:type="dxa"/>
            <w:vAlign w:val="bottom"/>
            <w:tcBorders>
              <w:bottom w:val="single" w:sz="8" w:color="auto"/>
              <w:right w:val="single" w:sz="8" w:color="auto"/>
            </w:tcBorders>
            <w:shd w:val="clear" w:color="auto" w:fill="BCDAFC"/>
          </w:tcPr>
          <w:p>
            <w:pPr>
              <w:spacing w:after="0"/>
              <w:rPr>
                <w:sz w:val="12"/>
                <w:szCs w:val="12"/>
                <w:color w:val="auto"/>
              </w:rPr>
            </w:pPr>
          </w:p>
        </w:tc>
        <w:tc>
          <w:tcPr>
            <w:tcW w:w="2440" w:type="dxa"/>
            <w:vAlign w:val="bottom"/>
            <w:tcBorders>
              <w:bottom w:val="single" w:sz="8" w:color="auto"/>
              <w:right w:val="single" w:sz="8" w:color="auto"/>
            </w:tcBorders>
            <w:shd w:val="clear" w:color="auto" w:fill="BCDAFC"/>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8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1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1,487,308</w:t>
            </w: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44"/>
        </w:trPr>
        <w:tc>
          <w:tcPr>
            <w:tcW w:w="286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860" w:type="dxa"/>
            <w:vAlign w:val="bottom"/>
            <w:tcBorders>
              <w:left w:val="single" w:sz="8" w:color="auto"/>
              <w:right w:val="single" w:sz="8" w:color="auto"/>
            </w:tcBorders>
            <w:shd w:val="clear" w:color="auto" w:fill="BCDA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right w:val="single" w:sz="8" w:color="auto"/>
            </w:tcBorders>
            <w:shd w:val="clear" w:color="auto" w:fill="BCDAFC"/>
          </w:tcPr>
          <w:p>
            <w:pPr>
              <w:jc w:val="right"/>
              <w:spacing w:after="0"/>
              <w:rPr>
                <w:sz w:val="20"/>
                <w:szCs w:val="20"/>
                <w:color w:val="auto"/>
              </w:rPr>
            </w:pPr>
            <w:r>
              <w:rPr>
                <w:rFonts w:ascii="Times New Roman" w:cs="Times New Roman" w:eastAsia="Times New Roman" w:hAnsi="Times New Roman"/>
                <w:sz w:val="18"/>
                <w:szCs w:val="18"/>
                <w:color w:val="auto"/>
              </w:rPr>
              <w:t>412,779</w:t>
            </w:r>
          </w:p>
        </w:tc>
        <w:tc>
          <w:tcPr>
            <w:tcW w:w="1700" w:type="dxa"/>
            <w:vAlign w:val="bottom"/>
            <w:tcBorders>
              <w:right w:val="single" w:sz="8" w:color="auto"/>
            </w:tcBorders>
            <w:shd w:val="clear" w:color="auto" w:fill="BCDA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40" w:type="dxa"/>
            <w:vAlign w:val="bottom"/>
            <w:tcBorders>
              <w:right w:val="single" w:sz="8" w:color="auto"/>
            </w:tcBorders>
            <w:shd w:val="clear" w:color="auto" w:fill="BCDAFC"/>
          </w:tcPr>
          <w:p>
            <w:pPr>
              <w:jc w:val="right"/>
              <w:spacing w:after="0"/>
              <w:rPr>
                <w:sz w:val="20"/>
                <w:szCs w:val="20"/>
                <w:color w:val="auto"/>
              </w:rPr>
            </w:pPr>
            <w:r>
              <w:rPr>
                <w:rFonts w:ascii="Times New Roman" w:cs="Times New Roman" w:eastAsia="Times New Roman" w:hAnsi="Times New Roman"/>
                <w:sz w:val="18"/>
                <w:szCs w:val="18"/>
                <w:color w:val="auto"/>
              </w:rPr>
              <w:t>1,487,308</w:t>
            </w:r>
          </w:p>
        </w:tc>
        <w:tc>
          <w:tcPr>
            <w:tcW w:w="0" w:type="dxa"/>
            <w:vAlign w:val="bottom"/>
          </w:tcPr>
          <w:p>
            <w:pPr>
              <w:spacing w:after="0"/>
              <w:rPr>
                <w:sz w:val="1"/>
                <w:szCs w:val="1"/>
                <w:color w:val="auto"/>
              </w:rPr>
            </w:pPr>
          </w:p>
        </w:tc>
      </w:tr>
      <w:tr>
        <w:trPr>
          <w:trHeight w:val="144"/>
        </w:trPr>
        <w:tc>
          <w:tcPr>
            <w:tcW w:w="2860" w:type="dxa"/>
            <w:vAlign w:val="bottom"/>
            <w:tcBorders>
              <w:left w:val="single" w:sz="8" w:color="auto"/>
              <w:bottom w:val="single" w:sz="8" w:color="auto"/>
              <w:right w:val="single" w:sz="8" w:color="auto"/>
            </w:tcBorders>
            <w:shd w:val="clear" w:color="auto" w:fill="BCDAFC"/>
          </w:tcPr>
          <w:p>
            <w:pPr>
              <w:spacing w:after="0"/>
              <w:rPr>
                <w:sz w:val="12"/>
                <w:szCs w:val="12"/>
                <w:color w:val="auto"/>
              </w:rPr>
            </w:pPr>
          </w:p>
        </w:tc>
        <w:tc>
          <w:tcPr>
            <w:tcW w:w="2140" w:type="dxa"/>
            <w:vAlign w:val="bottom"/>
            <w:tcBorders>
              <w:bottom w:val="single" w:sz="8" w:color="auto"/>
              <w:right w:val="single" w:sz="8" w:color="auto"/>
            </w:tcBorders>
            <w:shd w:val="clear" w:color="auto" w:fill="BCDAFC"/>
          </w:tcPr>
          <w:p>
            <w:pPr>
              <w:spacing w:after="0"/>
              <w:rPr>
                <w:sz w:val="12"/>
                <w:szCs w:val="12"/>
                <w:color w:val="auto"/>
              </w:rPr>
            </w:pPr>
          </w:p>
        </w:tc>
        <w:tc>
          <w:tcPr>
            <w:tcW w:w="1700" w:type="dxa"/>
            <w:vAlign w:val="bottom"/>
            <w:tcBorders>
              <w:bottom w:val="single" w:sz="8" w:color="auto"/>
              <w:right w:val="single" w:sz="8" w:color="auto"/>
            </w:tcBorders>
            <w:shd w:val="clear" w:color="auto" w:fill="BCDAFC"/>
          </w:tcPr>
          <w:p>
            <w:pPr>
              <w:spacing w:after="0"/>
              <w:rPr>
                <w:sz w:val="12"/>
                <w:szCs w:val="12"/>
                <w:color w:val="auto"/>
              </w:rPr>
            </w:pPr>
          </w:p>
        </w:tc>
        <w:tc>
          <w:tcPr>
            <w:tcW w:w="2440" w:type="dxa"/>
            <w:vAlign w:val="bottom"/>
            <w:tcBorders>
              <w:bottom w:val="single" w:sz="8" w:color="auto"/>
              <w:right w:val="single" w:sz="8" w:color="auto"/>
            </w:tcBorders>
            <w:shd w:val="clear" w:color="auto" w:fill="BCDAFC"/>
          </w:tcPr>
          <w:p>
            <w:pPr>
              <w:spacing w:after="0"/>
              <w:rPr>
                <w:sz w:val="12"/>
                <w:szCs w:val="1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60" w:hanging="352"/>
        <w:spacing w:after="0"/>
        <w:tabs>
          <w:tab w:leader="none" w:pos="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Stock Incentive Plan.</w:t>
      </w:r>
    </w:p>
    <w:p>
      <w:pPr>
        <w:spacing w:after="0" w:line="41" w:lineRule="exact"/>
        <w:rPr>
          <w:rFonts w:ascii="Times New Roman" w:cs="Times New Roman" w:eastAsia="Times New Roman" w:hAnsi="Times New Roman"/>
          <w:sz w:val="14"/>
          <w:szCs w:val="14"/>
          <w:color w:val="auto"/>
        </w:rPr>
      </w:pPr>
    </w:p>
    <w:p>
      <w:pPr>
        <w:ind w:left="860" w:hanging="352"/>
        <w:spacing w:after="0"/>
        <w:tabs>
          <w:tab w:leader="none" w:pos="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stock option awards only.</w:t>
      </w:r>
    </w:p>
    <w:p>
      <w:pPr>
        <w:spacing w:after="0" w:line="28" w:lineRule="exact"/>
        <w:rPr>
          <w:rFonts w:ascii="Times New Roman" w:cs="Times New Roman" w:eastAsia="Times New Roman" w:hAnsi="Times New Roman"/>
          <w:sz w:val="14"/>
          <w:szCs w:val="14"/>
          <w:color w:val="auto"/>
        </w:rPr>
      </w:pPr>
    </w:p>
    <w:p>
      <w:pPr>
        <w:ind w:left="840" w:right="620" w:hanging="332"/>
        <w:spacing w:after="0" w:line="241" w:lineRule="auto"/>
        <w:tabs>
          <w:tab w:leader="none" w:pos="87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Stock Incentive Plan permits the award of incentive stock options, nonstatutory stock options, stock bonuses, rights to acquire restricted stock, stock appreciation rights (“SARs”), RSUs and PRSUs. This number represents the total number of shares available for all such awards.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paragraphs provide information regarding potential payments to each of our NEOs in</w:t>
      </w:r>
    </w:p>
    <w:p>
      <w:pPr>
        <w:ind w:left="180"/>
        <w:spacing w:after="0" w:line="205" w:lineRule="auto"/>
        <w:rPr>
          <w:sz w:val="20"/>
          <w:szCs w:val="20"/>
          <w:color w:val="auto"/>
        </w:rPr>
      </w:pPr>
      <w:r>
        <w:rPr>
          <w:rFonts w:ascii="Times New Roman" w:cs="Times New Roman" w:eastAsia="Times New Roman" w:hAnsi="Times New Roman"/>
          <w:sz w:val="18"/>
          <w:szCs w:val="18"/>
          <w:color w:val="auto"/>
        </w:rPr>
        <w:t>connection with certain termination events, including a termination related to a change of control of the Company, as of</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38" w:lineRule="exact"/>
        <w:rPr>
          <w:sz w:val="20"/>
          <w:szCs w:val="20"/>
          <w:color w:val="auto"/>
        </w:rPr>
      </w:pPr>
    </w:p>
    <w:p>
      <w:pPr>
        <w:jc w:val="both"/>
        <w:ind w:left="180" w:right="500" w:firstLine="648"/>
        <w:spacing w:after="0" w:line="216" w:lineRule="auto"/>
        <w:rPr>
          <w:sz w:val="20"/>
          <w:szCs w:val="20"/>
          <w:color w:val="auto"/>
        </w:rPr>
      </w:pPr>
      <w:r>
        <w:rPr>
          <w:rFonts w:ascii="Times New Roman" w:cs="Times New Roman" w:eastAsia="Times New Roman" w:hAnsi="Times New Roman"/>
          <w:sz w:val="18"/>
          <w:szCs w:val="18"/>
          <w:u w:val="single" w:color="auto"/>
          <w:color w:val="auto"/>
        </w:rPr>
        <w:t>Certain Retirement Benefits</w:t>
      </w:r>
      <w:r>
        <w:rPr>
          <w:rFonts w:ascii="Times New Roman" w:cs="Times New Roman" w:eastAsia="Times New Roman" w:hAnsi="Times New Roman"/>
          <w:sz w:val="18"/>
          <w:szCs w:val="18"/>
          <w:color w:val="auto"/>
        </w:rPr>
        <w:t>. On August 29, 2017, our Compensation Committee approved a one-time retirement benefit for Craig Tompkins, Executive Vice President and General Counsel, incident to his retention as our General Counsel. The retirement benefit is a single year benefit in an amount equal to the average of the two (2)</w:t>
      </w:r>
    </w:p>
    <w:p>
      <w:pPr>
        <w:spacing w:after="0" w:line="1" w:lineRule="exact"/>
        <w:rPr>
          <w:sz w:val="20"/>
          <w:szCs w:val="20"/>
          <w:color w:val="auto"/>
        </w:rPr>
      </w:pPr>
    </w:p>
    <w:p>
      <w:pPr>
        <w:jc w:val="both"/>
        <w:ind w:left="180" w:right="500"/>
        <w:spacing w:after="0" w:line="208" w:lineRule="auto"/>
        <w:rPr>
          <w:sz w:val="20"/>
          <w:szCs w:val="20"/>
          <w:color w:val="auto"/>
        </w:rPr>
      </w:pPr>
      <w:r>
        <w:rPr>
          <w:rFonts w:ascii="Times New Roman" w:cs="Times New Roman" w:eastAsia="Times New Roman" w:hAnsi="Times New Roman"/>
          <w:sz w:val="18"/>
          <w:szCs w:val="18"/>
          <w:color w:val="auto"/>
        </w:rPr>
        <w:t>highest total cash compensation (base salary plus cash bonus) years paid to Mr. Tompkins in the then most recently completed five-year period, less the amount of $197,060, accrued to Mr. Tompkins under a separate vested benefit program established by one of the two companies acquired by our Company as a part of the consolidation transaction in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2000.</w:t>
      </w: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83755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320"/>
          </w:cols>
          <w:pgMar w:left="1440" w:top="298" w:right="1139" w:bottom="1440" w:gutter="0" w:footer="0" w:header="0"/>
        </w:sectPr>
      </w:pPr>
    </w:p>
    <w:bookmarkStart w:id="47" w:name="page48"/>
    <w:bookmarkEnd w:id="47"/>
    <w:p>
      <w:pPr>
        <w:ind w:left="840"/>
        <w:spacing w:after="0"/>
        <w:rPr>
          <w:sz w:val="20"/>
          <w:szCs w:val="20"/>
          <w:color w:val="auto"/>
        </w:rPr>
      </w:pPr>
      <w:r>
        <w:rPr>
          <w:rFonts w:ascii="Times New Roman" w:cs="Times New Roman" w:eastAsia="Times New Roman" w:hAnsi="Times New Roman"/>
          <w:sz w:val="18"/>
          <w:szCs w:val="18"/>
          <w:u w:val="single" w:color="auto"/>
          <w:color w:val="auto"/>
        </w:rPr>
        <w:t>Option and RSU and PRSU Grants</w:t>
      </w:r>
      <w:r>
        <w:rPr>
          <w:rFonts w:ascii="Times New Roman" w:cs="Times New Roman" w:eastAsia="Times New Roman" w:hAnsi="Times New Roman"/>
          <w:sz w:val="18"/>
          <w:szCs w:val="18"/>
          <w:color w:val="auto"/>
        </w:rPr>
        <w:t>. All long-term incentive awards are subject to other terms and conditions</w:t>
      </w:r>
    </w:p>
    <w:p>
      <w:pPr>
        <w:spacing w:after="0" w:line="2" w:lineRule="exact"/>
        <w:rPr>
          <w:sz w:val="20"/>
          <w:szCs w:val="20"/>
          <w:color w:val="auto"/>
        </w:rPr>
      </w:pPr>
    </w:p>
    <w:p>
      <w:pPr>
        <w:jc w:val="both"/>
        <w:ind w:left="180" w:right="500"/>
        <w:spacing w:after="0" w:line="208" w:lineRule="auto"/>
        <w:rPr>
          <w:sz w:val="20"/>
          <w:szCs w:val="20"/>
          <w:color w:val="auto"/>
        </w:rPr>
      </w:pPr>
      <w:r>
        <w:rPr>
          <w:rFonts w:ascii="Times New Roman" w:cs="Times New Roman" w:eastAsia="Times New Roman" w:hAnsi="Times New Roman"/>
          <w:sz w:val="18"/>
          <w:szCs w:val="18"/>
          <w:color w:val="auto"/>
        </w:rPr>
        <w:t>set forth in our 2020 Stock Incentive Plan and award grants.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w:t>
      </w:r>
    </w:p>
    <w:p>
      <w:pPr>
        <w:spacing w:after="0" w:line="2" w:lineRule="exact"/>
        <w:rPr>
          <w:sz w:val="20"/>
          <w:szCs w:val="20"/>
          <w:color w:val="auto"/>
        </w:rPr>
      </w:pPr>
    </w:p>
    <w:p>
      <w:pPr>
        <w:jc w:val="both"/>
        <w:ind w:left="180" w:right="500"/>
        <w:spacing w:after="0" w:line="218" w:lineRule="auto"/>
        <w:rPr>
          <w:sz w:val="20"/>
          <w:szCs w:val="20"/>
          <w:color w:val="auto"/>
        </w:rPr>
      </w:pPr>
      <w:r>
        <w:rPr>
          <w:rFonts w:ascii="Times New Roman" w:cs="Times New Roman" w:eastAsia="Times New Roman" w:hAnsi="Times New Roman"/>
          <w:sz w:val="18"/>
          <w:szCs w:val="18"/>
          <w:color w:val="auto"/>
        </w:rPr>
        <w:t>awards, or (iii) upon termination without cause or for “good reason” within twenty-four months of a change of control, or a corporate transaction where equivalent awards have not been substituted. RSUs issued to our non-employee Directors provide for acceleration immediately upon a change of control.</w:t>
      </w:r>
    </w:p>
    <w:p>
      <w:pPr>
        <w:spacing w:after="0" w:line="131" w:lineRule="exact"/>
        <w:rPr>
          <w:sz w:val="20"/>
          <w:szCs w:val="20"/>
          <w:color w:val="auto"/>
        </w:rPr>
      </w:pPr>
    </w:p>
    <w:p>
      <w:pPr>
        <w:jc w:val="both"/>
        <w:ind w:left="180" w:right="500" w:firstLine="648"/>
        <w:spacing w:after="0" w:line="222" w:lineRule="auto"/>
        <w:rPr>
          <w:sz w:val="20"/>
          <w:szCs w:val="20"/>
          <w:color w:val="auto"/>
        </w:rPr>
      </w:pPr>
      <w:r>
        <w:rPr>
          <w:rFonts w:ascii="Times New Roman" w:cs="Times New Roman" w:eastAsia="Times New Roman" w:hAnsi="Times New Roman"/>
          <w:sz w:val="18"/>
          <w:szCs w:val="18"/>
          <w:color w:val="auto"/>
        </w:rPr>
        <w:t>Except as described above, no other NEOs currently have employment agreements or other arrangements providing benefits upon termination or a change of control. The table below shows the maximum benefits that would</w:t>
      </w:r>
    </w:p>
    <w:p>
      <w:pPr>
        <w:spacing w:after="0" w:line="2" w:lineRule="exact"/>
        <w:rPr>
          <w:sz w:val="20"/>
          <w:szCs w:val="20"/>
          <w:color w:val="auto"/>
        </w:rPr>
      </w:pPr>
    </w:p>
    <w:p>
      <w:pPr>
        <w:jc w:val="both"/>
        <w:ind w:left="180" w:right="500"/>
        <w:spacing w:after="0" w:line="208" w:lineRule="auto"/>
        <w:rPr>
          <w:sz w:val="20"/>
          <w:szCs w:val="20"/>
          <w:color w:val="auto"/>
        </w:rPr>
      </w:pPr>
      <w:r>
        <w:rPr>
          <w:rFonts w:ascii="Times New Roman" w:cs="Times New Roman" w:eastAsia="Times New Roman" w:hAnsi="Times New Roman"/>
          <w:sz w:val="18"/>
          <w:szCs w:val="18"/>
          <w:color w:val="auto"/>
        </w:rPr>
        <w:t>be payable to each person listed above in the event of such person’s termination without cause or termination in connection with a change in control, if such events occurred on December 31, 2023, assuming the transaction took place on December 31, 2023, at a price equal to the closing price of the Class A Non-Voting Common Stock, which</w:t>
      </w:r>
    </w:p>
    <w:p>
      <w:pPr>
        <w:ind w:left="180"/>
        <w:spacing w:after="0" w:line="235" w:lineRule="auto"/>
        <w:rPr>
          <w:sz w:val="20"/>
          <w:szCs w:val="20"/>
          <w:color w:val="auto"/>
        </w:rPr>
      </w:pPr>
      <w:r>
        <w:rPr>
          <w:rFonts w:ascii="Times New Roman" w:cs="Times New Roman" w:eastAsia="Times New Roman" w:hAnsi="Times New Roman"/>
          <w:sz w:val="18"/>
          <w:szCs w:val="18"/>
          <w:color w:val="auto"/>
        </w:rPr>
        <w:t>was $1.91.</w:t>
      </w:r>
    </w:p>
    <w:tbl>
      <w:tblPr>
        <w:tblLayout w:type="fixed"/>
        <w:tblInd w:w="190" w:type="dxa"/>
        <w:tblCellMar>
          <w:top w:w="0" w:type="dxa"/>
          <w:left w:w="0" w:type="dxa"/>
          <w:bottom w:w="0" w:type="dxa"/>
          <w:right w:w="0" w:type="dxa"/>
        </w:tblCellMar>
      </w:tblPr>
      <w:tr>
        <w:trPr>
          <w:trHeight w:val="439"/>
        </w:trPr>
        <w:tc>
          <w:tcPr>
            <w:tcW w:w="1120" w:type="dxa"/>
            <w:vAlign w:val="bottom"/>
            <w:tcBorders>
              <w:right w:val="single" w:sz="8" w:color="auto"/>
            </w:tcBorders>
            <w:vMerge w:val="restart"/>
          </w:tcPr>
          <w:p>
            <w:pPr>
              <w:spacing w:after="0"/>
              <w:rPr>
                <w:sz w:val="24"/>
                <w:szCs w:val="24"/>
                <w:color w:val="auto"/>
              </w:rPr>
            </w:pPr>
          </w:p>
        </w:tc>
        <w:tc>
          <w:tcPr>
            <w:tcW w:w="3520" w:type="dxa"/>
            <w:vAlign w:val="bottom"/>
            <w:tcBorders>
              <w:top w:val="single" w:sz="8" w:color="auto"/>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w w:val="99"/>
              </w:rPr>
              <w:t>Payable on upon Termination without Cause ($)</w:t>
            </w:r>
          </w:p>
        </w:tc>
        <w:tc>
          <w:tcPr>
            <w:tcW w:w="314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Payable on upon Termination in</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Payable upon</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right w:val="single" w:sz="8" w:color="auto"/>
            </w:tcBorders>
            <w:vMerge w:val="continue"/>
          </w:tcPr>
          <w:p>
            <w:pPr>
              <w:spacing w:after="0"/>
              <w:rPr>
                <w:sz w:val="16"/>
                <w:szCs w:val="16"/>
                <w:color w:val="auto"/>
              </w:rPr>
            </w:pPr>
          </w:p>
        </w:tc>
        <w:tc>
          <w:tcPr>
            <w:tcW w:w="3520" w:type="dxa"/>
            <w:vAlign w:val="bottom"/>
            <w:tcBorders>
              <w:bottom w:val="single" w:sz="8" w:color="auto"/>
              <w:right w:val="single" w:sz="8" w:color="auto"/>
            </w:tcBorders>
            <w:gridSpan w:val="4"/>
            <w:vMerge w:val="continue"/>
          </w:tcPr>
          <w:p>
            <w:pPr>
              <w:spacing w:after="0"/>
              <w:rPr>
                <w:sz w:val="16"/>
                <w:szCs w:val="16"/>
                <w:color w:val="auto"/>
              </w:rPr>
            </w:pPr>
          </w:p>
        </w:tc>
        <w:tc>
          <w:tcPr>
            <w:tcW w:w="3140" w:type="dxa"/>
            <w:vAlign w:val="bottom"/>
            <w:tcBorders>
              <w:bottom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Connection with a Change in Control ($)</w:t>
            </w:r>
          </w:p>
        </w:tc>
        <w:tc>
          <w:tcPr>
            <w:tcW w:w="13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Retirement ($)</w:t>
            </w:r>
          </w:p>
        </w:tc>
        <w:tc>
          <w:tcPr>
            <w:tcW w:w="0" w:type="dxa"/>
            <w:vAlign w:val="bottom"/>
          </w:tcPr>
          <w:p>
            <w:pPr>
              <w:spacing w:after="0"/>
              <w:rPr>
                <w:sz w:val="1"/>
                <w:szCs w:val="1"/>
                <w:color w:val="auto"/>
              </w:rPr>
            </w:pPr>
          </w:p>
        </w:tc>
      </w:tr>
      <w:tr>
        <w:trPr>
          <w:trHeight w:val="426"/>
        </w:trPr>
        <w:tc>
          <w:tcPr>
            <w:tcW w:w="11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9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Benefits Payable</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Vested</w:t>
            </w:r>
          </w:p>
        </w:tc>
        <w:tc>
          <w:tcPr>
            <w:tcW w:w="86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Severance</w:t>
            </w:r>
          </w:p>
        </w:tc>
        <w:tc>
          <w:tcPr>
            <w:tcW w:w="10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Borders>
              <w:right w:val="single" w:sz="8" w:color="auto"/>
            </w:tcBorders>
            <w:gridSpan w:val="2"/>
          </w:tcPr>
          <w:p>
            <w:pPr>
              <w:ind w:left="40"/>
              <w:spacing w:after="0" w:line="162" w:lineRule="exact"/>
              <w:rPr>
                <w:sz w:val="20"/>
                <w:szCs w:val="20"/>
                <w:color w:val="auto"/>
              </w:rPr>
            </w:pPr>
            <w:r>
              <w:rPr>
                <w:rFonts w:ascii="Times New Roman" w:cs="Times New Roman" w:eastAsia="Times New Roman" w:hAnsi="Times New Roman"/>
                <w:sz w:val="17"/>
                <w:szCs w:val="17"/>
                <w:b w:val="1"/>
                <w:bCs w:val="1"/>
                <w:color w:val="auto"/>
              </w:rPr>
              <w:t>Severance Vested Stock</w:t>
            </w:r>
          </w:p>
        </w:tc>
        <w:tc>
          <w:tcPr>
            <w:tcW w:w="8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Option</w:t>
            </w:r>
          </w:p>
        </w:tc>
        <w:tc>
          <w:tcPr>
            <w:tcW w:w="8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Health</w:t>
            </w:r>
          </w:p>
        </w:tc>
        <w:tc>
          <w:tcPr>
            <w:tcW w:w="9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Vested Stock</w:t>
            </w: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Vested Stock</w:t>
            </w:r>
          </w:p>
        </w:tc>
        <w:tc>
          <w:tcPr>
            <w:tcW w:w="13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under Retirement</w:t>
            </w:r>
          </w:p>
        </w:tc>
        <w:tc>
          <w:tcPr>
            <w:tcW w:w="0" w:type="dxa"/>
            <w:vAlign w:val="bottom"/>
          </w:tcPr>
          <w:p>
            <w:pPr>
              <w:spacing w:after="0"/>
              <w:rPr>
                <w:sz w:val="1"/>
                <w:szCs w:val="1"/>
                <w:color w:val="auto"/>
              </w:rPr>
            </w:pPr>
          </w:p>
        </w:tc>
      </w:tr>
      <w:tr>
        <w:trPr>
          <w:trHeight w:val="189"/>
        </w:trPr>
        <w:tc>
          <w:tcPr>
            <w:tcW w:w="11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Payments</w:t>
            </w:r>
          </w:p>
        </w:tc>
        <w:tc>
          <w:tcPr>
            <w:tcW w:w="9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8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8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Benefits</w:t>
            </w:r>
          </w:p>
        </w:tc>
        <w:tc>
          <w:tcPr>
            <w:tcW w:w="9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Payments</w:t>
            </w:r>
          </w:p>
        </w:tc>
        <w:tc>
          <w:tcPr>
            <w:tcW w:w="10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10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Options</w:t>
            </w:r>
          </w:p>
        </w:tc>
        <w:tc>
          <w:tcPr>
            <w:tcW w:w="13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Plans</w:t>
            </w:r>
          </w:p>
        </w:tc>
        <w:tc>
          <w:tcPr>
            <w:tcW w:w="0" w:type="dxa"/>
            <w:vAlign w:val="bottom"/>
          </w:tcPr>
          <w:p>
            <w:pPr>
              <w:spacing w:after="0"/>
              <w:rPr>
                <w:sz w:val="1"/>
                <w:szCs w:val="1"/>
                <w:color w:val="auto"/>
              </w:rPr>
            </w:pPr>
          </w:p>
        </w:tc>
      </w:tr>
      <w:tr>
        <w:trPr>
          <w:trHeight w:val="142"/>
        </w:trPr>
        <w:tc>
          <w:tcPr>
            <w:tcW w:w="1120" w:type="dxa"/>
            <w:vAlign w:val="bottom"/>
            <w:tcBorders>
              <w:left w:val="single" w:sz="8" w:color="auto"/>
              <w:right w:val="single" w:sz="8" w:color="auto"/>
            </w:tcBorders>
            <w:shd w:val="clear" w:color="auto" w:fill="C6E5FE"/>
          </w:tcPr>
          <w:p>
            <w:pPr>
              <w:ind w:left="20"/>
              <w:spacing w:after="0" w:line="142" w:lineRule="exact"/>
              <w:rPr>
                <w:sz w:val="20"/>
                <w:szCs w:val="20"/>
                <w:color w:val="auto"/>
              </w:rPr>
            </w:pPr>
            <w:r>
              <w:rPr>
                <w:rFonts w:ascii="Times New Roman" w:cs="Times New Roman" w:eastAsia="Times New Roman" w:hAnsi="Times New Roman"/>
                <w:sz w:val="16"/>
                <w:szCs w:val="16"/>
                <w:color w:val="auto"/>
              </w:rPr>
              <w:t>Ellen M.</w:t>
            </w:r>
          </w:p>
        </w:tc>
        <w:tc>
          <w:tcPr>
            <w:tcW w:w="84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shd w:val="clear" w:color="auto" w:fill="C6E5FE"/>
          </w:tcPr>
          <w:p>
            <w:pPr>
              <w:jc w:val="right"/>
              <w:spacing w:after="0" w:line="142" w:lineRule="exact"/>
              <w:rPr>
                <w:sz w:val="20"/>
                <w:szCs w:val="20"/>
                <w:color w:val="auto"/>
              </w:rPr>
            </w:pPr>
            <w:r>
              <w:rPr>
                <w:rFonts w:ascii="Times New Roman" w:cs="Times New Roman" w:eastAsia="Times New Roman" w:hAnsi="Times New Roman"/>
                <w:sz w:val="16"/>
                <w:szCs w:val="16"/>
                <w:color w:val="auto"/>
              </w:rPr>
              <w:t>360,491</w:t>
            </w:r>
          </w:p>
        </w:tc>
        <w:tc>
          <w:tcPr>
            <w:tcW w:w="108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6E5FE"/>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1120" w:type="dxa"/>
            <w:vAlign w:val="bottom"/>
            <w:tcBorders>
              <w:left w:val="single" w:sz="8" w:color="auto"/>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8"/>
                <w:szCs w:val="18"/>
                <w:color w:val="auto"/>
              </w:rPr>
              <w:t>Cotter</w:t>
            </w:r>
          </w:p>
        </w:tc>
        <w:tc>
          <w:tcPr>
            <w:tcW w:w="840" w:type="dxa"/>
            <w:vAlign w:val="bottom"/>
            <w:tcBorders>
              <w:right w:val="single" w:sz="8" w:color="auto"/>
            </w:tcBorders>
            <w:shd w:val="clear" w:color="auto" w:fill="C6E5FE"/>
          </w:tcPr>
          <w:p>
            <w:pPr>
              <w:spacing w:after="0"/>
              <w:rPr>
                <w:sz w:val="20"/>
                <w:szCs w:val="20"/>
                <w:color w:val="auto"/>
              </w:rPr>
            </w:pPr>
          </w:p>
        </w:tc>
        <w:tc>
          <w:tcPr>
            <w:tcW w:w="960" w:type="dxa"/>
            <w:vAlign w:val="bottom"/>
            <w:tcBorders>
              <w:right w:val="single" w:sz="8" w:color="auto"/>
            </w:tcBorders>
            <w:shd w:val="clear" w:color="auto" w:fill="C6E5FE"/>
          </w:tcPr>
          <w:p>
            <w:pPr>
              <w:spacing w:after="0"/>
              <w:rPr>
                <w:sz w:val="20"/>
                <w:szCs w:val="20"/>
                <w:color w:val="auto"/>
              </w:rPr>
            </w:pPr>
          </w:p>
        </w:tc>
        <w:tc>
          <w:tcPr>
            <w:tcW w:w="860" w:type="dxa"/>
            <w:vAlign w:val="bottom"/>
            <w:tcBorders>
              <w:right w:val="single" w:sz="8" w:color="auto"/>
            </w:tcBorders>
            <w:shd w:val="clear" w:color="auto" w:fill="C6E5FE"/>
          </w:tcPr>
          <w:p>
            <w:pPr>
              <w:spacing w:after="0"/>
              <w:rPr>
                <w:sz w:val="20"/>
                <w:szCs w:val="20"/>
                <w:color w:val="auto"/>
              </w:rPr>
            </w:pPr>
          </w:p>
        </w:tc>
        <w:tc>
          <w:tcPr>
            <w:tcW w:w="860" w:type="dxa"/>
            <w:vAlign w:val="bottom"/>
            <w:tcBorders>
              <w:right w:val="single" w:sz="8" w:color="auto"/>
            </w:tcBorders>
            <w:shd w:val="clear" w:color="auto" w:fill="C6E5FE"/>
          </w:tcPr>
          <w:p>
            <w:pPr>
              <w:spacing w:after="0"/>
              <w:rPr>
                <w:sz w:val="20"/>
                <w:szCs w:val="20"/>
                <w:color w:val="auto"/>
              </w:rPr>
            </w:pPr>
          </w:p>
        </w:tc>
        <w:tc>
          <w:tcPr>
            <w:tcW w:w="9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360" w:type="dxa"/>
            <w:vAlign w:val="bottom"/>
            <w:tcBorders>
              <w:right w:val="single" w:sz="8" w:color="auto"/>
            </w:tcBorders>
            <w:shd w:val="clear" w:color="auto" w:fill="C6E5F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20" w:type="dxa"/>
            <w:vAlign w:val="bottom"/>
            <w:tcBorders>
              <w:left w:val="single" w:sz="8" w:color="auto"/>
              <w:bottom w:val="single" w:sz="8" w:color="auto"/>
              <w:right w:val="single" w:sz="8" w:color="auto"/>
            </w:tcBorders>
            <w:shd w:val="clear" w:color="auto" w:fill="C6E5FE"/>
          </w:tcPr>
          <w:p>
            <w:pPr>
              <w:spacing w:after="0"/>
              <w:rPr>
                <w:sz w:val="21"/>
                <w:szCs w:val="21"/>
                <w:color w:val="auto"/>
              </w:rPr>
            </w:pPr>
          </w:p>
        </w:tc>
        <w:tc>
          <w:tcPr>
            <w:tcW w:w="840" w:type="dxa"/>
            <w:vAlign w:val="bottom"/>
            <w:tcBorders>
              <w:bottom w:val="single" w:sz="8" w:color="auto"/>
              <w:right w:val="single" w:sz="8" w:color="auto"/>
            </w:tcBorders>
            <w:shd w:val="clear" w:color="auto" w:fill="C6E5FE"/>
          </w:tcPr>
          <w:p>
            <w:pPr>
              <w:spacing w:after="0"/>
              <w:rPr>
                <w:sz w:val="21"/>
                <w:szCs w:val="21"/>
                <w:color w:val="auto"/>
              </w:rPr>
            </w:pPr>
          </w:p>
        </w:tc>
        <w:tc>
          <w:tcPr>
            <w:tcW w:w="960" w:type="dxa"/>
            <w:vAlign w:val="bottom"/>
            <w:tcBorders>
              <w:bottom w:val="single" w:sz="8" w:color="auto"/>
              <w:right w:val="single" w:sz="8" w:color="auto"/>
            </w:tcBorders>
            <w:shd w:val="clear" w:color="auto" w:fill="C6E5FE"/>
          </w:tcPr>
          <w:p>
            <w:pPr>
              <w:spacing w:after="0"/>
              <w:rPr>
                <w:sz w:val="21"/>
                <w:szCs w:val="21"/>
                <w:color w:val="auto"/>
              </w:rPr>
            </w:pPr>
          </w:p>
        </w:tc>
        <w:tc>
          <w:tcPr>
            <w:tcW w:w="860" w:type="dxa"/>
            <w:vAlign w:val="bottom"/>
            <w:tcBorders>
              <w:bottom w:val="single" w:sz="8" w:color="auto"/>
              <w:right w:val="single" w:sz="8" w:color="auto"/>
            </w:tcBorders>
            <w:shd w:val="clear" w:color="auto" w:fill="C6E5FE"/>
          </w:tcPr>
          <w:p>
            <w:pPr>
              <w:spacing w:after="0"/>
              <w:rPr>
                <w:sz w:val="21"/>
                <w:szCs w:val="21"/>
                <w:color w:val="auto"/>
              </w:rPr>
            </w:pPr>
          </w:p>
        </w:tc>
        <w:tc>
          <w:tcPr>
            <w:tcW w:w="860" w:type="dxa"/>
            <w:vAlign w:val="bottom"/>
            <w:tcBorders>
              <w:bottom w:val="single" w:sz="8" w:color="auto"/>
              <w:right w:val="single" w:sz="8" w:color="auto"/>
            </w:tcBorders>
            <w:shd w:val="clear" w:color="auto" w:fill="C6E5FE"/>
          </w:tcPr>
          <w:p>
            <w:pPr>
              <w:spacing w:after="0"/>
              <w:rPr>
                <w:sz w:val="21"/>
                <w:szCs w:val="21"/>
                <w:color w:val="auto"/>
              </w:rPr>
            </w:pPr>
          </w:p>
        </w:tc>
        <w:tc>
          <w:tcPr>
            <w:tcW w:w="980" w:type="dxa"/>
            <w:vAlign w:val="bottom"/>
            <w:tcBorders>
              <w:bottom w:val="single" w:sz="8" w:color="auto"/>
              <w:right w:val="single" w:sz="8" w:color="auto"/>
            </w:tcBorders>
            <w:shd w:val="clear" w:color="auto" w:fill="C6E5FE"/>
          </w:tcPr>
          <w:p>
            <w:pPr>
              <w:spacing w:after="0"/>
              <w:rPr>
                <w:sz w:val="21"/>
                <w:szCs w:val="21"/>
                <w:color w:val="auto"/>
              </w:rPr>
            </w:pPr>
          </w:p>
        </w:tc>
        <w:tc>
          <w:tcPr>
            <w:tcW w:w="1080" w:type="dxa"/>
            <w:vAlign w:val="bottom"/>
            <w:tcBorders>
              <w:bottom w:val="single" w:sz="8" w:color="auto"/>
              <w:right w:val="single" w:sz="8" w:color="auto"/>
            </w:tcBorders>
            <w:shd w:val="clear" w:color="auto" w:fill="C6E5FE"/>
          </w:tcPr>
          <w:p>
            <w:pPr>
              <w:spacing w:after="0"/>
              <w:rPr>
                <w:sz w:val="21"/>
                <w:szCs w:val="21"/>
                <w:color w:val="auto"/>
              </w:rPr>
            </w:pPr>
          </w:p>
        </w:tc>
        <w:tc>
          <w:tcPr>
            <w:tcW w:w="1080" w:type="dxa"/>
            <w:vAlign w:val="bottom"/>
            <w:tcBorders>
              <w:bottom w:val="single" w:sz="8" w:color="auto"/>
              <w:right w:val="single" w:sz="8" w:color="auto"/>
            </w:tcBorders>
            <w:shd w:val="clear" w:color="auto" w:fill="C6E5FE"/>
          </w:tcPr>
          <w:p>
            <w:pPr>
              <w:spacing w:after="0"/>
              <w:rPr>
                <w:sz w:val="21"/>
                <w:szCs w:val="21"/>
                <w:color w:val="auto"/>
              </w:rPr>
            </w:pPr>
          </w:p>
        </w:tc>
        <w:tc>
          <w:tcPr>
            <w:tcW w:w="1360" w:type="dxa"/>
            <w:vAlign w:val="bottom"/>
            <w:tcBorders>
              <w:bottom w:val="single" w:sz="8" w:color="auto"/>
              <w:right w:val="single" w:sz="8" w:color="auto"/>
            </w:tcBorders>
            <w:shd w:val="clear" w:color="auto" w:fill="C6E5F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Margaret</w:t>
            </w:r>
          </w:p>
        </w:tc>
        <w:tc>
          <w:tcPr>
            <w:tcW w:w="8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160,939</w:t>
            </w:r>
          </w:p>
        </w:tc>
        <w:tc>
          <w:tcPr>
            <w:tcW w:w="10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1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Cotter</w:t>
            </w:r>
          </w:p>
        </w:tc>
        <w:tc>
          <w:tcPr>
            <w:tcW w:w="8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auto"/>
              <w:right w:val="single" w:sz="8" w:color="auto"/>
            </w:tcBorders>
            <w:shd w:val="clear" w:color="auto" w:fill="C6E5FE"/>
          </w:tcPr>
          <w:p>
            <w:pPr>
              <w:ind w:left="20"/>
              <w:spacing w:after="0" w:line="142" w:lineRule="exact"/>
              <w:rPr>
                <w:sz w:val="20"/>
                <w:szCs w:val="20"/>
                <w:color w:val="auto"/>
              </w:rPr>
            </w:pPr>
            <w:r>
              <w:rPr>
                <w:rFonts w:ascii="Times New Roman" w:cs="Times New Roman" w:eastAsia="Times New Roman" w:hAnsi="Times New Roman"/>
                <w:sz w:val="16"/>
                <w:szCs w:val="16"/>
                <w:color w:val="auto"/>
              </w:rPr>
              <w:t>S. Craig</w:t>
            </w:r>
          </w:p>
        </w:tc>
        <w:tc>
          <w:tcPr>
            <w:tcW w:w="84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auto"/>
            </w:tcBorders>
            <w:shd w:val="clear" w:color="auto" w:fill="C6E5FE"/>
          </w:tcPr>
          <w:p>
            <w:pPr>
              <w:jc w:val="right"/>
              <w:spacing w:after="0" w:line="142" w:lineRule="exact"/>
              <w:rPr>
                <w:sz w:val="20"/>
                <w:szCs w:val="20"/>
                <w:color w:val="auto"/>
              </w:rPr>
            </w:pPr>
            <w:r>
              <w:rPr>
                <w:rFonts w:ascii="Times New Roman" w:cs="Times New Roman" w:eastAsia="Times New Roman" w:hAnsi="Times New Roman"/>
                <w:sz w:val="16"/>
                <w:szCs w:val="16"/>
                <w:color w:val="auto"/>
              </w:rPr>
              <w:t>159,779</w:t>
            </w:r>
          </w:p>
        </w:tc>
        <w:tc>
          <w:tcPr>
            <w:tcW w:w="1080" w:type="dxa"/>
            <w:vAlign w:val="bottom"/>
            <w:tcBorders>
              <w:right w:val="single" w:sz="8" w:color="auto"/>
            </w:tcBorders>
            <w:shd w:val="clear" w:color="auto" w:fill="C6E5FE"/>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6E5FE"/>
          </w:tcPr>
          <w:p>
            <w:pPr>
              <w:jc w:val="right"/>
              <w:spacing w:after="0" w:line="142" w:lineRule="exact"/>
              <w:rPr>
                <w:sz w:val="20"/>
                <w:szCs w:val="20"/>
                <w:color w:val="auto"/>
              </w:rPr>
            </w:pPr>
            <w:r>
              <w:rPr>
                <w:rFonts w:ascii="Times New Roman" w:cs="Times New Roman" w:eastAsia="Times New Roman" w:hAnsi="Times New Roman"/>
                <w:sz w:val="16"/>
                <w:szCs w:val="16"/>
                <w:color w:val="auto"/>
              </w:rPr>
              <w:t>285,560</w:t>
            </w:r>
            <w:r>
              <w:rPr>
                <w:rFonts w:ascii="Times New Roman" w:cs="Times New Roman" w:eastAsia="Times New Roman" w:hAnsi="Times New Roman"/>
                <w:sz w:val="7"/>
                <w:szCs w:val="7"/>
                <w:color w:val="auto"/>
              </w:rPr>
              <w:t>(1)</w:t>
            </w:r>
          </w:p>
        </w:tc>
        <w:tc>
          <w:tcPr>
            <w:tcW w:w="0" w:type="dxa"/>
            <w:vAlign w:val="bottom"/>
          </w:tcPr>
          <w:p>
            <w:pPr>
              <w:spacing w:after="0"/>
              <w:rPr>
                <w:sz w:val="1"/>
                <w:szCs w:val="1"/>
                <w:color w:val="auto"/>
              </w:rPr>
            </w:pPr>
          </w:p>
        </w:tc>
      </w:tr>
      <w:tr>
        <w:trPr>
          <w:trHeight w:val="234"/>
        </w:trPr>
        <w:tc>
          <w:tcPr>
            <w:tcW w:w="1120" w:type="dxa"/>
            <w:vAlign w:val="bottom"/>
            <w:tcBorders>
              <w:left w:val="single" w:sz="8" w:color="auto"/>
              <w:right w:val="single" w:sz="8" w:color="auto"/>
            </w:tcBorders>
            <w:shd w:val="clear" w:color="auto" w:fill="C6E5FE"/>
          </w:tcPr>
          <w:p>
            <w:pPr>
              <w:ind w:left="20"/>
              <w:spacing w:after="0"/>
              <w:rPr>
                <w:sz w:val="20"/>
                <w:szCs w:val="20"/>
                <w:color w:val="auto"/>
              </w:rPr>
            </w:pPr>
            <w:r>
              <w:rPr>
                <w:rFonts w:ascii="Times New Roman" w:cs="Times New Roman" w:eastAsia="Times New Roman" w:hAnsi="Times New Roman"/>
                <w:sz w:val="18"/>
                <w:szCs w:val="18"/>
                <w:color w:val="auto"/>
              </w:rPr>
              <w:t>Tompkins</w:t>
            </w:r>
          </w:p>
        </w:tc>
        <w:tc>
          <w:tcPr>
            <w:tcW w:w="840" w:type="dxa"/>
            <w:vAlign w:val="bottom"/>
            <w:tcBorders>
              <w:right w:val="single" w:sz="8" w:color="auto"/>
            </w:tcBorders>
            <w:shd w:val="clear" w:color="auto" w:fill="C6E5FE"/>
          </w:tcPr>
          <w:p>
            <w:pPr>
              <w:spacing w:after="0"/>
              <w:rPr>
                <w:sz w:val="20"/>
                <w:szCs w:val="20"/>
                <w:color w:val="auto"/>
              </w:rPr>
            </w:pPr>
          </w:p>
        </w:tc>
        <w:tc>
          <w:tcPr>
            <w:tcW w:w="960" w:type="dxa"/>
            <w:vAlign w:val="bottom"/>
            <w:tcBorders>
              <w:right w:val="single" w:sz="8" w:color="auto"/>
            </w:tcBorders>
            <w:shd w:val="clear" w:color="auto" w:fill="C6E5FE"/>
          </w:tcPr>
          <w:p>
            <w:pPr>
              <w:spacing w:after="0"/>
              <w:rPr>
                <w:sz w:val="20"/>
                <w:szCs w:val="20"/>
                <w:color w:val="auto"/>
              </w:rPr>
            </w:pPr>
          </w:p>
        </w:tc>
        <w:tc>
          <w:tcPr>
            <w:tcW w:w="860" w:type="dxa"/>
            <w:vAlign w:val="bottom"/>
            <w:tcBorders>
              <w:right w:val="single" w:sz="8" w:color="auto"/>
            </w:tcBorders>
            <w:shd w:val="clear" w:color="auto" w:fill="C6E5FE"/>
          </w:tcPr>
          <w:p>
            <w:pPr>
              <w:spacing w:after="0"/>
              <w:rPr>
                <w:sz w:val="20"/>
                <w:szCs w:val="20"/>
                <w:color w:val="auto"/>
              </w:rPr>
            </w:pPr>
          </w:p>
        </w:tc>
        <w:tc>
          <w:tcPr>
            <w:tcW w:w="860" w:type="dxa"/>
            <w:vAlign w:val="bottom"/>
            <w:tcBorders>
              <w:right w:val="single" w:sz="8" w:color="auto"/>
            </w:tcBorders>
            <w:shd w:val="clear" w:color="auto" w:fill="C6E5FE"/>
          </w:tcPr>
          <w:p>
            <w:pPr>
              <w:spacing w:after="0"/>
              <w:rPr>
                <w:sz w:val="20"/>
                <w:szCs w:val="20"/>
                <w:color w:val="auto"/>
              </w:rPr>
            </w:pPr>
          </w:p>
        </w:tc>
        <w:tc>
          <w:tcPr>
            <w:tcW w:w="9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360" w:type="dxa"/>
            <w:vAlign w:val="bottom"/>
            <w:tcBorders>
              <w:right w:val="single" w:sz="8" w:color="auto"/>
            </w:tcBorders>
            <w:shd w:val="clear" w:color="auto" w:fill="C6E5F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20" w:type="dxa"/>
            <w:vAlign w:val="bottom"/>
            <w:tcBorders>
              <w:left w:val="single" w:sz="8" w:color="auto"/>
              <w:bottom w:val="single" w:sz="8" w:color="auto"/>
              <w:right w:val="single" w:sz="8" w:color="auto"/>
            </w:tcBorders>
            <w:shd w:val="clear" w:color="auto" w:fill="C6E5FE"/>
          </w:tcPr>
          <w:p>
            <w:pPr>
              <w:spacing w:after="0"/>
              <w:rPr>
                <w:sz w:val="21"/>
                <w:szCs w:val="21"/>
                <w:color w:val="auto"/>
              </w:rPr>
            </w:pPr>
          </w:p>
        </w:tc>
        <w:tc>
          <w:tcPr>
            <w:tcW w:w="840" w:type="dxa"/>
            <w:vAlign w:val="bottom"/>
            <w:tcBorders>
              <w:bottom w:val="single" w:sz="8" w:color="auto"/>
              <w:right w:val="single" w:sz="8" w:color="auto"/>
            </w:tcBorders>
            <w:shd w:val="clear" w:color="auto" w:fill="C6E5FE"/>
          </w:tcPr>
          <w:p>
            <w:pPr>
              <w:spacing w:after="0"/>
              <w:rPr>
                <w:sz w:val="21"/>
                <w:szCs w:val="21"/>
                <w:color w:val="auto"/>
              </w:rPr>
            </w:pPr>
          </w:p>
        </w:tc>
        <w:tc>
          <w:tcPr>
            <w:tcW w:w="960" w:type="dxa"/>
            <w:vAlign w:val="bottom"/>
            <w:tcBorders>
              <w:bottom w:val="single" w:sz="8" w:color="auto"/>
              <w:right w:val="single" w:sz="8" w:color="auto"/>
            </w:tcBorders>
            <w:shd w:val="clear" w:color="auto" w:fill="C6E5FE"/>
          </w:tcPr>
          <w:p>
            <w:pPr>
              <w:spacing w:after="0"/>
              <w:rPr>
                <w:sz w:val="21"/>
                <w:szCs w:val="21"/>
                <w:color w:val="auto"/>
              </w:rPr>
            </w:pPr>
          </w:p>
        </w:tc>
        <w:tc>
          <w:tcPr>
            <w:tcW w:w="860" w:type="dxa"/>
            <w:vAlign w:val="bottom"/>
            <w:tcBorders>
              <w:bottom w:val="single" w:sz="8" w:color="auto"/>
              <w:right w:val="single" w:sz="8" w:color="auto"/>
            </w:tcBorders>
            <w:shd w:val="clear" w:color="auto" w:fill="C6E5FE"/>
          </w:tcPr>
          <w:p>
            <w:pPr>
              <w:spacing w:after="0"/>
              <w:rPr>
                <w:sz w:val="21"/>
                <w:szCs w:val="21"/>
                <w:color w:val="auto"/>
              </w:rPr>
            </w:pPr>
          </w:p>
        </w:tc>
        <w:tc>
          <w:tcPr>
            <w:tcW w:w="860" w:type="dxa"/>
            <w:vAlign w:val="bottom"/>
            <w:tcBorders>
              <w:bottom w:val="single" w:sz="8" w:color="auto"/>
              <w:right w:val="single" w:sz="8" w:color="auto"/>
            </w:tcBorders>
            <w:shd w:val="clear" w:color="auto" w:fill="C6E5FE"/>
          </w:tcPr>
          <w:p>
            <w:pPr>
              <w:spacing w:after="0"/>
              <w:rPr>
                <w:sz w:val="21"/>
                <w:szCs w:val="21"/>
                <w:color w:val="auto"/>
              </w:rPr>
            </w:pPr>
          </w:p>
        </w:tc>
        <w:tc>
          <w:tcPr>
            <w:tcW w:w="980" w:type="dxa"/>
            <w:vAlign w:val="bottom"/>
            <w:tcBorders>
              <w:bottom w:val="single" w:sz="8" w:color="auto"/>
              <w:right w:val="single" w:sz="8" w:color="auto"/>
            </w:tcBorders>
            <w:shd w:val="clear" w:color="auto" w:fill="C6E5FE"/>
          </w:tcPr>
          <w:p>
            <w:pPr>
              <w:spacing w:after="0"/>
              <w:rPr>
                <w:sz w:val="21"/>
                <w:szCs w:val="21"/>
                <w:color w:val="auto"/>
              </w:rPr>
            </w:pPr>
          </w:p>
        </w:tc>
        <w:tc>
          <w:tcPr>
            <w:tcW w:w="1080" w:type="dxa"/>
            <w:vAlign w:val="bottom"/>
            <w:tcBorders>
              <w:bottom w:val="single" w:sz="8" w:color="auto"/>
              <w:right w:val="single" w:sz="8" w:color="auto"/>
            </w:tcBorders>
            <w:shd w:val="clear" w:color="auto" w:fill="C6E5FE"/>
          </w:tcPr>
          <w:p>
            <w:pPr>
              <w:spacing w:after="0"/>
              <w:rPr>
                <w:sz w:val="21"/>
                <w:szCs w:val="21"/>
                <w:color w:val="auto"/>
              </w:rPr>
            </w:pPr>
          </w:p>
        </w:tc>
        <w:tc>
          <w:tcPr>
            <w:tcW w:w="1080" w:type="dxa"/>
            <w:vAlign w:val="bottom"/>
            <w:tcBorders>
              <w:bottom w:val="single" w:sz="8" w:color="auto"/>
              <w:right w:val="single" w:sz="8" w:color="auto"/>
            </w:tcBorders>
            <w:shd w:val="clear" w:color="auto" w:fill="C6E5FE"/>
          </w:tcPr>
          <w:p>
            <w:pPr>
              <w:spacing w:after="0"/>
              <w:rPr>
                <w:sz w:val="21"/>
                <w:szCs w:val="21"/>
                <w:color w:val="auto"/>
              </w:rPr>
            </w:pPr>
          </w:p>
        </w:tc>
        <w:tc>
          <w:tcPr>
            <w:tcW w:w="1360" w:type="dxa"/>
            <w:vAlign w:val="bottom"/>
            <w:tcBorders>
              <w:bottom w:val="single" w:sz="8" w:color="auto"/>
              <w:right w:val="single" w:sz="8" w:color="auto"/>
            </w:tcBorders>
            <w:shd w:val="clear" w:color="auto" w:fill="C6E5FE"/>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840" w:right="740" w:hanging="332"/>
        <w:spacing w:after="0" w:line="223" w:lineRule="auto"/>
        <w:tabs>
          <w:tab w:leader="none" w:pos="8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2021 and 2023.</w:t>
      </w:r>
    </w:p>
    <w:p>
      <w:pPr>
        <w:spacing w:after="0" w:line="2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December 31, 2023, our NEOs had no employment agreements in place.</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320"/>
          </w:cols>
          <w:pgMar w:left="1440" w:top="283" w:right="1139" w:bottom="1440" w:gutter="0" w:footer="0" w:header="0"/>
        </w:sectPr>
      </w:pPr>
    </w:p>
    <w:bookmarkStart w:id="48" w:name="page49"/>
    <w:bookmarkEnd w:id="48"/>
    <w:p>
      <w:pPr>
        <w:ind w:left="1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members of our Audit Committee are Directors Douglas McEachern, who serves as Chairperson, Guy</w:t>
      </w:r>
    </w:p>
    <w:p>
      <w:pPr>
        <w:spacing w:after="0" w:line="2"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Adams and Dr. Judy Codding.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question participate in the determination of whether the transaction may proceed. See the discussion entitled “</w:t>
      </w:r>
      <w:r>
        <w:rPr>
          <w:rFonts w:ascii="Times New Roman" w:cs="Times New Roman" w:eastAsia="Times New Roman" w:hAnsi="Times New Roman"/>
          <w:sz w:val="18"/>
          <w:szCs w:val="18"/>
          <w:i w:val="1"/>
          <w:iCs w:val="1"/>
          <w:color w:val="auto"/>
        </w:rPr>
        <w:t>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or Ratification of Transactions with Related Persons</w:t>
      </w:r>
      <w:r>
        <w:rPr>
          <w:rFonts w:ascii="Times New Roman" w:cs="Times New Roman" w:eastAsia="Times New Roman" w:hAnsi="Times New Roman"/>
          <w:sz w:val="18"/>
          <w:szCs w:val="18"/>
          <w:color w:val="auto"/>
        </w:rPr>
        <w:t>” for additional information regarding the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Sutton Hill Capital</w:t>
      </w:r>
    </w:p>
    <w:p>
      <w:pPr>
        <w:spacing w:after="0" w:line="189" w:lineRule="exact"/>
        <w:rPr>
          <w:sz w:val="20"/>
          <w:szCs w:val="20"/>
          <w:color w:val="auto"/>
        </w:rPr>
      </w:pPr>
    </w:p>
    <w:p>
      <w:pPr>
        <w:jc w:val="both"/>
        <w:ind w:left="180" w:right="199" w:firstLine="648"/>
        <w:spacing w:after="0" w:line="226" w:lineRule="auto"/>
        <w:rPr>
          <w:sz w:val="20"/>
          <w:szCs w:val="20"/>
          <w:color w:val="auto"/>
        </w:rPr>
      </w:pPr>
      <w:r>
        <w:rPr>
          <w:rFonts w:ascii="Times New Roman" w:cs="Times New Roman" w:eastAsia="Times New Roman" w:hAnsi="Times New Roman"/>
          <w:sz w:val="18"/>
          <w:szCs w:val="18"/>
          <w:color w:val="auto"/>
        </w:rPr>
        <w:t>In 2001, we entered into a transaction with Sutton Hill Capital, LLC ("SHC") regarding the master leasing, with certain options to purchase the underlying ground lease interests, of four cinemas located in Manhattan including our current Village East and Cinemas 1, 2, 3 theatres.</w:t>
      </w:r>
    </w:p>
    <w:p>
      <w:pPr>
        <w:spacing w:after="0" w:line="131" w:lineRule="exact"/>
        <w:rPr>
          <w:sz w:val="20"/>
          <w:szCs w:val="20"/>
          <w:color w:val="auto"/>
        </w:rPr>
      </w:pPr>
    </w:p>
    <w:p>
      <w:pPr>
        <w:jc w:val="both"/>
        <w:ind w:left="180" w:right="199" w:firstLine="648"/>
        <w:spacing w:after="0" w:line="216" w:lineRule="auto"/>
        <w:rPr>
          <w:sz w:val="20"/>
          <w:szCs w:val="20"/>
          <w:color w:val="auto"/>
        </w:rPr>
      </w:pPr>
      <w:r>
        <w:rPr>
          <w:rFonts w:ascii="Times New Roman" w:cs="Times New Roman" w:eastAsia="Times New Roman" w:hAnsi="Times New Roman"/>
          <w:sz w:val="18"/>
          <w:szCs w:val="18"/>
          <w:color w:val="auto"/>
        </w:rPr>
        <w:t>Over the years, we sold our interests in two of the cinemas subject to that master lease to third parties and acquired the fee interest in the land underlying the Cinemas 1, 2, 3. Accordingly, the Village East is the only cinema that remains subject to the master lease. As the land underlying the Village East is owned by a third party, our</w:t>
      </w:r>
    </w:p>
    <w:p>
      <w:pPr>
        <w:spacing w:after="0" w:line="1" w:lineRule="exact"/>
        <w:rPr>
          <w:sz w:val="20"/>
          <w:szCs w:val="20"/>
          <w:color w:val="auto"/>
        </w:rPr>
      </w:pPr>
    </w:p>
    <w:p>
      <w:pPr>
        <w:jc w:val="both"/>
        <w:ind w:left="180" w:right="199"/>
        <w:spacing w:after="0" w:line="208" w:lineRule="auto"/>
        <w:rPr>
          <w:sz w:val="20"/>
          <w:szCs w:val="20"/>
          <w:color w:val="auto"/>
        </w:rPr>
      </w:pPr>
      <w:r>
        <w:rPr>
          <w:rFonts w:ascii="Times New Roman" w:cs="Times New Roman" w:eastAsia="Times New Roman" w:hAnsi="Times New Roman"/>
          <w:sz w:val="18"/>
          <w:szCs w:val="18"/>
          <w:color w:val="auto"/>
        </w:rPr>
        <w:t>relationship with SHC is that of a subtenant. Our rent paid to SHC for that cinema has been fixed at $590,000 for each of the past three years. However, due to the COVID-19 pandemic, the Village East was closed for most of 2020, and the rent commencing in April 2020 was deferred with respect to the remainder of 2020 and for the first quarter of</w:t>
      </w:r>
    </w:p>
    <w:p>
      <w:pPr>
        <w:spacing w:after="0" w:line="2" w:lineRule="exact"/>
        <w:rPr>
          <w:sz w:val="20"/>
          <w:szCs w:val="20"/>
          <w:color w:val="auto"/>
        </w:rPr>
      </w:pPr>
    </w:p>
    <w:p>
      <w:pPr>
        <w:jc w:val="both"/>
        <w:ind w:left="180" w:right="199"/>
        <w:spacing w:after="0" w:line="218" w:lineRule="auto"/>
        <w:rPr>
          <w:sz w:val="20"/>
          <w:szCs w:val="20"/>
          <w:color w:val="auto"/>
        </w:rPr>
      </w:pPr>
      <w:r>
        <w:rPr>
          <w:rFonts w:ascii="Times New Roman" w:cs="Times New Roman" w:eastAsia="Times New Roman" w:hAnsi="Times New Roman"/>
          <w:sz w:val="18"/>
          <w:szCs w:val="18"/>
          <w:color w:val="auto"/>
        </w:rPr>
        <w:t>2021. Following a mutual agreement, we paid this deferred amount to SHC on July 1, 2021. In light of the challenges to the motion picture exhibition industry, SHC has permitted us to defer on our Village East cinema since October 2023. As of September 30, 2024, we have accrued $590,000 in rent with respect to the Village East cinema.</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In 2005, we acquired (i) from a third party, the fee interest in the land underlying the Cinemas 1, 2, 3 and (ii) from SHC, its interest in the ground lease estate underlying and the improvements constituting the Cinemas 1, 2,</w:t>
      </w:r>
    </w:p>
    <w:p>
      <w:pPr>
        <w:spacing w:after="0" w:line="2" w:lineRule="exact"/>
        <w:rPr>
          <w:sz w:val="20"/>
          <w:szCs w:val="20"/>
          <w:color w:val="auto"/>
        </w:rPr>
      </w:pPr>
    </w:p>
    <w:p>
      <w:pPr>
        <w:jc w:val="both"/>
        <w:ind w:left="180" w:right="439" w:firstLine="4"/>
        <w:spacing w:after="0" w:line="214" w:lineRule="auto"/>
        <w:tabs>
          <w:tab w:leader="none" w:pos="4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that transaction, we granted to SHC an option to acquire at our cost a 25% interest in the special purpose entity, Sutton Hill Properties, LLC ("SHP"), formed to acquire these fee, leasehold and improvements interests. On June 28, 2007, SHC exercised this option, paying $3.0 million and assuming a proportionate share of SHP's liabilities. Since the acquisition by SHC of its 25% interest, SHP has covered its operating costs and debt service through (i) cash flow from the Cinemas 1, 2, 3, (ii) borrowings from third parties, and (iii) pro-rata contributions from the members. We manage the Cinemas 1, 2, 3, pursuant to a management agreement described below.</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master lease of the Village East has been extended from time to time, and now terminates on</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September 1, 2025. On August 28, 2019, we exercised our option under the master lease to acquire SHC’s interest in the ground lease underlying that master lease for $5.9 million. That option was originally scheduled to close on May 31, 2021, but has been extended from time to time, and is now scheduled to close on November 30, 2024. We</w:t>
      </w:r>
    </w:p>
    <w:p>
      <w:pPr>
        <w:spacing w:after="0" w:line="2" w:lineRule="exact"/>
        <w:rPr>
          <w:sz w:val="20"/>
          <w:szCs w:val="20"/>
          <w:color w:val="auto"/>
        </w:rPr>
      </w:pPr>
    </w:p>
    <w:p>
      <w:pPr>
        <w:jc w:val="both"/>
        <w:ind w:left="180" w:right="439"/>
        <w:spacing w:after="0" w:line="218" w:lineRule="auto"/>
        <w:rPr>
          <w:sz w:val="20"/>
          <w:szCs w:val="20"/>
          <w:color w:val="auto"/>
        </w:rPr>
      </w:pPr>
      <w:r>
        <w:rPr>
          <w:rFonts w:ascii="Times New Roman" w:cs="Times New Roman" w:eastAsia="Times New Roman" w:hAnsi="Times New Roman"/>
          <w:sz w:val="18"/>
          <w:szCs w:val="18"/>
          <w:color w:val="auto"/>
        </w:rPr>
        <w:t>recorded the Village East Cinema building as a property asset of $4.7 million on our balance sheet based on the cost carry-over basis from an entity under common control with a corresponding capital lease liability of $5.9 million presented under other liabilities.</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On August 31, 2016, we secured a three-year, $20.0 million mortgage loan with Valley National Bank. On March 13, 2020, we refinanced the loan to $25.0 million to mature on April 1, 2022, with two six-month options to</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extend through April 1, 2023. We executed the first extension option on April 1, 2023, taking the maturity to July 3, 2023, and executed the second extension option on June 28, 2023, taking the maturity to October 3, 2023. On September 29, 2023, we further extended the loan taking the maturity to October 1, 2024, and are currently</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documenting with Valley National Bank a further extension of that loan. The Valley National Loan has been guaranteed by our Company and an environmental indemnity has been provided by our Company. SHC has agreed to indemnify our Company to the extent of 25% of any loss incurred by our Company with respect to any such</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guarantee and/or indemnity (a percentage reflecting SHC's membership interest in SHP).</w:t>
      </w:r>
    </w:p>
    <w:p>
      <w:pPr>
        <w:spacing w:after="0" w:line="124" w:lineRule="exact"/>
        <w:rPr>
          <w:sz w:val="20"/>
          <w:szCs w:val="20"/>
          <w:color w:val="auto"/>
        </w:rPr>
      </w:pPr>
    </w:p>
    <w:p>
      <w:pPr>
        <w:jc w:val="both"/>
        <w:ind w:left="180" w:right="459" w:firstLine="648"/>
        <w:spacing w:after="0" w:line="250" w:lineRule="auto"/>
        <w:rPr>
          <w:sz w:val="20"/>
          <w:szCs w:val="20"/>
          <w:color w:val="auto"/>
        </w:rPr>
      </w:pPr>
      <w:r>
        <w:rPr>
          <w:rFonts w:ascii="Times New Roman" w:cs="Times New Roman" w:eastAsia="Times New Roman" w:hAnsi="Times New Roman"/>
          <w:sz w:val="18"/>
          <w:szCs w:val="18"/>
          <w:color w:val="auto"/>
        </w:rPr>
        <w:t>During the period March 1, 2021, to March 5, 2021, SHP loaned our Company the amount of $2.0 million, which has been fully repaid together with interest of $1,181 (representing an interest rate of 4.5%).</w:t>
      </w:r>
    </w:p>
    <w:p>
      <w:pPr>
        <w:spacing w:after="0" w:line="109" w:lineRule="exact"/>
        <w:rPr>
          <w:sz w:val="20"/>
          <w:szCs w:val="20"/>
          <w:color w:val="auto"/>
        </w:rPr>
      </w:pPr>
    </w:p>
    <w:p>
      <w:pPr>
        <w:jc w:val="both"/>
        <w:ind w:left="180" w:right="439" w:firstLine="648"/>
        <w:spacing w:after="0" w:line="250" w:lineRule="auto"/>
        <w:rPr>
          <w:sz w:val="20"/>
          <w:szCs w:val="20"/>
          <w:color w:val="auto"/>
        </w:rPr>
      </w:pPr>
      <w:r>
        <w:rPr>
          <w:rFonts w:ascii="Times New Roman" w:cs="Times New Roman" w:eastAsia="Times New Roman" w:hAnsi="Times New Roman"/>
          <w:sz w:val="18"/>
          <w:szCs w:val="18"/>
          <w:color w:val="auto"/>
        </w:rPr>
        <w:t>In 2022 we extended a working capital loan to SHP, the balance of which was $5.1 million at December 31, 2023, and $7.2 million at September 30, 2024. The interest rate is determined by reference to the interest we</w:t>
      </w:r>
    </w:p>
    <w:p>
      <w:pPr>
        <w:spacing w:after="0" w:line="1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428" w:right="1440" w:bottom="1440" w:gutter="0" w:footer="0" w:header="0"/>
        </w:sectPr>
      </w:pPr>
    </w:p>
    <w:bookmarkStart w:id="49" w:name="page50"/>
    <w:bookmarkEnd w:id="49"/>
    <w:p>
      <w:pPr>
        <w:jc w:val="both"/>
        <w:ind w:left="180" w:right="439"/>
        <w:spacing w:after="0" w:line="250" w:lineRule="auto"/>
        <w:rPr>
          <w:sz w:val="20"/>
          <w:szCs w:val="20"/>
          <w:color w:val="auto"/>
        </w:rPr>
      </w:pPr>
      <w:r>
        <w:rPr>
          <w:rFonts w:ascii="Times New Roman" w:cs="Times New Roman" w:eastAsia="Times New Roman" w:hAnsi="Times New Roman"/>
          <w:sz w:val="18"/>
          <w:szCs w:val="18"/>
          <w:color w:val="auto"/>
        </w:rPr>
        <w:t>are paying on our Bank of America facility (which is currently 10.5% per annum). The loan has been approved by the Audit and Conflicts Committee of our Board of Directors.</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Live Theater Play Investment</w:t>
      </w:r>
    </w:p>
    <w:p>
      <w:pPr>
        <w:spacing w:after="0" w:line="162"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 xml:space="preserve">From time to time, our officers and Directors may invest in plays that license our live theatres. The play </w:t>
      </w:r>
      <w:r>
        <w:rPr>
          <w:rFonts w:ascii="Times New Roman" w:cs="Times New Roman" w:eastAsia="Times New Roman" w:hAnsi="Times New Roman"/>
          <w:sz w:val="18"/>
          <w:szCs w:val="18"/>
          <w:i w:val="1"/>
          <w:iCs w:val="1"/>
          <w:color w:val="auto"/>
        </w:rPr>
        <w:t>STOMP</w:t>
      </w:r>
      <w:r>
        <w:rPr>
          <w:rFonts w:ascii="Times New Roman" w:cs="Times New Roman" w:eastAsia="Times New Roman" w:hAnsi="Times New Roman"/>
          <w:sz w:val="18"/>
          <w:szCs w:val="18"/>
          <w:color w:val="auto"/>
        </w:rPr>
        <w:t>, played in our Orpheum Theatre since prior to the time we acquired the theatre in 2001, until its final show</w:t>
      </w:r>
    </w:p>
    <w:p>
      <w:pPr>
        <w:spacing w:after="0" w:line="2"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on January 8, 2023. The Cotter Estate and a third party together own an approximately 5% interest in that play, an interest that they have held since prior to our acquisition of the theatre.</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Our Audit Committee has adopted a written charter, which includes responsibility for approval of "Related</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Party Transactions." Under its charter, our Audit Committee performs the functions of the "Conflicts Committee" of our Board and is delegated responsibility and authority by our Board to review, consider and negotiate, and to approve or disapprove on behalf of our Company the terms and conditions of any and all Related Party Transactions</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(defined below) with the same effect as though such actions had been taken by our full Board. Any such matter requires no further action by our Board in order to be binding upon our Company, except in the case of matters that, under applicable Nevada law, cannot be delegated to a committee of our Board and must be determined by our full</w:t>
      </w:r>
    </w:p>
    <w:p>
      <w:pPr>
        <w:spacing w:after="0" w:line="2"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Board. In those cases where the authority of our Board cannot be delegated, the Audit Committee nevertheless provides its recommendation to our full Board.</w:t>
      </w:r>
    </w:p>
    <w:p>
      <w:pPr>
        <w:spacing w:after="0" w:line="130" w:lineRule="exact"/>
        <w:rPr>
          <w:sz w:val="20"/>
          <w:szCs w:val="20"/>
          <w:color w:val="auto"/>
        </w:rPr>
      </w:pPr>
    </w:p>
    <w:p>
      <w:pPr>
        <w:jc w:val="both"/>
        <w:ind w:left="180" w:right="439" w:firstLine="648"/>
        <w:spacing w:after="0" w:line="216" w:lineRule="auto"/>
        <w:rPr>
          <w:sz w:val="20"/>
          <w:szCs w:val="20"/>
          <w:color w:val="auto"/>
        </w:rPr>
      </w:pPr>
      <w:r>
        <w:rPr>
          <w:rFonts w:ascii="Times New Roman" w:cs="Times New Roman" w:eastAsia="Times New Roman" w:hAnsi="Times New Roman"/>
          <w:sz w:val="18"/>
          <w:szCs w:val="18"/>
          <w:color w:val="auto"/>
        </w:rPr>
        <w:t>As used in our Audit Committee's Charter, the term "Related Party Transaction" means any transaction or arrangement between our Company on one hand, and on the other hand (i) any one or more directors, executive officers or stockholders holding more than 5% of the voting power of our Company (or any spouse, parent, sibling</w:t>
      </w:r>
    </w:p>
    <w:p>
      <w:pPr>
        <w:spacing w:after="0" w:line="1" w:lineRule="exact"/>
        <w:rPr>
          <w:sz w:val="20"/>
          <w:szCs w:val="20"/>
          <w:color w:val="auto"/>
        </w:rPr>
      </w:pPr>
    </w:p>
    <w:p>
      <w:pPr>
        <w:jc w:val="both"/>
        <w:ind w:left="180" w:right="439"/>
        <w:spacing w:after="0" w:line="218" w:lineRule="auto"/>
        <w:rPr>
          <w:sz w:val="20"/>
          <w:szCs w:val="20"/>
          <w:color w:val="auto"/>
        </w:rPr>
      </w:pPr>
      <w:r>
        <w:rPr>
          <w:rFonts w:ascii="Times New Roman" w:cs="Times New Roman" w:eastAsia="Times New Roman" w:hAnsi="Times New Roman"/>
          <w:sz w:val="18"/>
          <w:szCs w:val="18"/>
          <w:color w:val="auto"/>
        </w:rPr>
        <w:t>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The charter provides that our Audit Committee review transactions subject to the policy and determines whether or not to approve or ratify those transactions. In doing so, our Audit Committee takes into account, among</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factors it deems appropriate:</w:t>
      </w:r>
    </w:p>
    <w:p>
      <w:pPr>
        <w:spacing w:after="0" w:line="124" w:lineRule="exact"/>
        <w:rPr>
          <w:sz w:val="20"/>
          <w:szCs w:val="20"/>
          <w:color w:val="auto"/>
        </w:rPr>
      </w:pPr>
    </w:p>
    <w:p>
      <w:pPr>
        <w:ind w:left="1480" w:right="439" w:hanging="324"/>
        <w:spacing w:after="0" w:line="222"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 and whether the transaction is material to us;</w:t>
      </w:r>
    </w:p>
    <w:p>
      <w:pPr>
        <w:spacing w:after="0" w:line="1" w:lineRule="exact"/>
        <w:rPr>
          <w:rFonts w:ascii="Times New Roman" w:cs="Times New Roman" w:eastAsia="Times New Roman" w:hAnsi="Times New Roman"/>
          <w:sz w:val="18"/>
          <w:szCs w:val="18"/>
          <w:color w:val="auto"/>
        </w:rPr>
      </w:pPr>
    </w:p>
    <w:p>
      <w:pPr>
        <w:ind w:left="1480" w:right="439" w:hanging="324"/>
        <w:spacing w:after="0" w:line="211"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are fair to us, have resulted from arm's length negotiations and are on terms at least as favorable as would apply if the transaction did not involve a related person;</w:t>
      </w:r>
    </w:p>
    <w:p>
      <w:pPr>
        <w:ind w:left="1480" w:hanging="324"/>
        <w:spacing w:after="0" w:line="203"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w:t>
      </w:r>
    </w:p>
    <w:p>
      <w:pPr>
        <w:ind w:left="1480" w:hanging="324"/>
        <w:spacing w:after="0" w:line="203"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our ordinary course of business;</w:t>
      </w:r>
    </w:p>
    <w:p>
      <w:pPr>
        <w:jc w:val="both"/>
        <w:ind w:left="1480" w:right="439" w:hanging="324"/>
        <w:spacing w:after="0" w:line="208"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 including the approximate dollar value of the amount of the related person's interest in the transaction without regard to the amount of any profit or loss;</w:t>
      </w:r>
    </w:p>
    <w:p>
      <w:pPr>
        <w:spacing w:after="0" w:line="1" w:lineRule="exact"/>
        <w:rPr>
          <w:rFonts w:ascii="Times New Roman" w:cs="Times New Roman" w:eastAsia="Times New Roman" w:hAnsi="Times New Roman"/>
          <w:sz w:val="18"/>
          <w:szCs w:val="18"/>
          <w:color w:val="auto"/>
        </w:rPr>
      </w:pPr>
    </w:p>
    <w:p>
      <w:pPr>
        <w:ind w:left="1480" w:hanging="324"/>
        <w:spacing w:after="0" w:line="203"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if any; and</w:t>
      </w:r>
    </w:p>
    <w:p>
      <w:pPr>
        <w:jc w:val="both"/>
        <w:ind w:left="1480" w:right="439" w:hanging="324"/>
        <w:spacing w:after="0" w:line="223" w:lineRule="auto"/>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Summary of Principal Accounting Fees for Professional Services Rendered</w:t>
      </w:r>
    </w:p>
    <w:p>
      <w:pPr>
        <w:spacing w:after="0" w:line="162" w:lineRule="exact"/>
        <w:rPr>
          <w:sz w:val="20"/>
          <w:szCs w:val="20"/>
          <w:color w:val="auto"/>
        </w:rPr>
      </w:pPr>
    </w:p>
    <w:p>
      <w:pPr>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Our independent public accountants, Grant Thornton LLP, have audited our financial statements for the fiscal year ended December 31, 2023, and are expected to have a representative present at the 2024 Annual Meeting</w:t>
      </w:r>
    </w:p>
    <w:p>
      <w:pPr>
        <w:spacing w:after="0" w:line="2" w:lineRule="exact"/>
        <w:rPr>
          <w:sz w:val="20"/>
          <w:szCs w:val="20"/>
          <w:color w:val="auto"/>
        </w:rPr>
      </w:pPr>
    </w:p>
    <w:p>
      <w:pPr>
        <w:ind w:left="180" w:right="439"/>
        <w:spacing w:after="0" w:line="226" w:lineRule="auto"/>
        <w:rPr>
          <w:sz w:val="20"/>
          <w:szCs w:val="20"/>
          <w:color w:val="auto"/>
        </w:rPr>
      </w:pPr>
      <w:r>
        <w:rPr>
          <w:rFonts w:ascii="Times New Roman" w:cs="Times New Roman" w:eastAsia="Times New Roman" w:hAnsi="Times New Roman"/>
          <w:sz w:val="18"/>
          <w:szCs w:val="18"/>
          <w:color w:val="auto"/>
        </w:rPr>
        <w:t>of stockholders, who will have the opportunity to make a statement if he or she desires to do so and is expected to be available to respond to appropriate questions.</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48" w:lineRule="exact"/>
        <w:rPr>
          <w:sz w:val="20"/>
          <w:szCs w:val="20"/>
          <w:color w:val="auto"/>
        </w:rPr>
      </w:pPr>
    </w:p>
    <w:p>
      <w:pPr>
        <w:ind w:left="180" w:right="439" w:firstLine="648"/>
        <w:spacing w:after="0" w:line="250" w:lineRule="auto"/>
        <w:rPr>
          <w:sz w:val="20"/>
          <w:szCs w:val="20"/>
          <w:color w:val="auto"/>
        </w:rPr>
      </w:pPr>
      <w:r>
        <w:rPr>
          <w:rFonts w:ascii="Times New Roman" w:cs="Times New Roman" w:eastAsia="Times New Roman" w:hAnsi="Times New Roman"/>
          <w:sz w:val="18"/>
          <w:szCs w:val="18"/>
          <w:color w:val="auto"/>
        </w:rPr>
        <w:t>The aggregate fees for professional services for the audit of our financial statements, audit of internal controls related to the Sarbanes-Oxley Act, and the reviews of the financial statements included in our Form 10-K</w:t>
      </w:r>
    </w:p>
    <w:p>
      <w:pPr>
        <w:spacing w:after="0" w:line="1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0" w:name="page51"/>
    <w:bookmarkEnd w:id="50"/>
    <w:p>
      <w:pPr>
        <w:jc w:val="both"/>
        <w:ind w:left="180" w:right="439"/>
        <w:spacing w:after="0" w:line="250" w:lineRule="auto"/>
        <w:rPr>
          <w:sz w:val="20"/>
          <w:szCs w:val="20"/>
          <w:color w:val="auto"/>
        </w:rPr>
      </w:pPr>
      <w:r>
        <w:rPr>
          <w:rFonts w:ascii="Times New Roman" w:cs="Times New Roman" w:eastAsia="Times New Roman" w:hAnsi="Times New Roman"/>
          <w:sz w:val="18"/>
          <w:szCs w:val="18"/>
          <w:color w:val="auto"/>
        </w:rPr>
        <w:t>and Forms 10-Q provided by Grant Thornton LLP for 2023 and 2022, was approximately $1,327,000 and $1,247,000, respectively.</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Grant Thornton LLP did not provide us any audit related services for 2023 and 2022.</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jc w:val="both"/>
        <w:ind w:left="180" w:right="439" w:firstLine="648"/>
        <w:spacing w:after="0" w:line="250" w:lineRule="auto"/>
        <w:rPr>
          <w:sz w:val="20"/>
          <w:szCs w:val="20"/>
          <w:color w:val="auto"/>
        </w:rPr>
      </w:pPr>
      <w:r>
        <w:rPr>
          <w:rFonts w:ascii="Times New Roman" w:cs="Times New Roman" w:eastAsia="Times New Roman" w:hAnsi="Times New Roman"/>
          <w:sz w:val="18"/>
          <w:szCs w:val="18"/>
          <w:color w:val="auto"/>
        </w:rPr>
        <w:t>Grant Thornton LLP did not provide us any professional services for tax compliance, tax advice, or tax planning in 2023 or 2022.</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Grant Thornton LLP did not provide us any services for 2023 or 2022, other than as set forth above.</w:t>
      </w: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62" w:lineRule="exact"/>
        <w:rPr>
          <w:sz w:val="20"/>
          <w:szCs w:val="20"/>
          <w:color w:val="auto"/>
        </w:rPr>
      </w:pPr>
    </w:p>
    <w:p>
      <w:pPr>
        <w:jc w:val="both"/>
        <w:ind w:left="180" w:right="439" w:firstLine="648"/>
        <w:spacing w:after="0" w:line="213" w:lineRule="auto"/>
        <w:rPr>
          <w:sz w:val="20"/>
          <w:szCs w:val="20"/>
          <w:color w:val="auto"/>
        </w:rPr>
      </w:pPr>
      <w:r>
        <w:rPr>
          <w:rFonts w:ascii="Times New Roman" w:cs="Times New Roman" w:eastAsia="Times New Roman" w:hAnsi="Times New Roman"/>
          <w:sz w:val="18"/>
          <w:szCs w:val="18"/>
          <w:color w:val="auto"/>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w:t>
      </w:r>
    </w:p>
    <w:p>
      <w:pPr>
        <w:spacing w:after="0" w:line="1"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w:t>
      </w:r>
    </w:p>
    <w:p>
      <w:pPr>
        <w:spacing w:after="0" w:line="2"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authority to give such approval. Our Audit Committee pre-approved all services provided to us by Grant Thornton LLP for 2023 and 2022</w:t>
      </w:r>
    </w:p>
    <w:p>
      <w:pPr>
        <w:spacing w:after="0" w:line="121" w:lineRule="exact"/>
        <w:rPr>
          <w:sz w:val="20"/>
          <w:szCs w:val="20"/>
          <w:color w:val="auto"/>
        </w:rPr>
      </w:pPr>
    </w:p>
    <w:p>
      <w:pPr>
        <w:ind w:left="3480"/>
        <w:spacing w:after="0"/>
        <w:rPr>
          <w:sz w:val="20"/>
          <w:szCs w:val="20"/>
          <w:color w:val="auto"/>
        </w:rPr>
      </w:pPr>
      <w:r>
        <w:rPr>
          <w:rFonts w:ascii="Calibri" w:cs="Calibri" w:eastAsia="Calibri" w:hAnsi="Calibri"/>
          <w:sz w:val="18"/>
          <w:szCs w:val="18"/>
          <w:b w:val="1"/>
          <w:bCs w:val="1"/>
          <w:color w:val="auto"/>
        </w:rPr>
        <w:t>STOCKHOLDER COMMUNICATIONS</w:t>
      </w:r>
    </w:p>
    <w:p>
      <w:pPr>
        <w:spacing w:after="0" w:line="118"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Annual Report</w:t>
      </w:r>
    </w:p>
    <w:p>
      <w:pPr>
        <w:spacing w:after="0" w:line="127" w:lineRule="exact"/>
        <w:rPr>
          <w:sz w:val="20"/>
          <w:szCs w:val="20"/>
          <w:color w:val="auto"/>
        </w:rPr>
      </w:pPr>
    </w:p>
    <w:p>
      <w:pPr>
        <w:jc w:val="both"/>
        <w:ind w:left="180" w:right="519"/>
        <w:spacing w:after="0" w:line="216"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2023, including Amendment No. 1 on Form 10-K/A to our Annual Report on Form 10-K for the fiscal year ended December 31, 2023 are both available free of charge at www.investor.readingrdi.com/financial-information/annual-reports and at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www.envisionreports.com/RDI.</w:t>
      </w:r>
    </w:p>
    <w:p>
      <w:pPr>
        <w:spacing w:after="0" w:line="115"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Stockholder Communicatons with Directors</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It is the policy of our Board that any communications sent to the attention of any one or more of our</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one or more of our Directors (including call-back number, if any) will be promptly forwarded to that Director.</w:t>
      </w:r>
    </w:p>
    <w:p>
      <w:pPr>
        <w:spacing w:after="0" w:line="115" w:lineRule="exact"/>
        <w:rPr>
          <w:sz w:val="20"/>
          <w:szCs w:val="20"/>
          <w:color w:val="auto"/>
        </w:rPr>
      </w:pPr>
    </w:p>
    <w:p>
      <w:pPr>
        <w:ind w:left="180"/>
        <w:spacing w:after="0"/>
        <w:rPr>
          <w:sz w:val="20"/>
          <w:szCs w:val="20"/>
          <w:color w:val="auto"/>
        </w:rPr>
      </w:pPr>
      <w:r>
        <w:rPr>
          <w:rFonts w:ascii="Calibri" w:cs="Calibri" w:eastAsia="Calibri" w:hAnsi="Calibri"/>
          <w:sz w:val="18"/>
          <w:szCs w:val="18"/>
          <w:b w:val="1"/>
          <w:bCs w:val="1"/>
          <w:color w:val="auto"/>
        </w:rPr>
        <w:t>Stockholder Proposals and Director Nominatons</w:t>
      </w:r>
    </w:p>
    <w:p>
      <w:pPr>
        <w:spacing w:after="0" w:line="127"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Any stockholder who, in accordance with and subject to the provisions of the proxy rules of the SEC, wishes to submit a proposal for inclusion in our Proxy Statement for our 2025 annual meeting of stockholders, must</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deliver such proposal in writing to the Annual Meeting Secretary at the address of our Company’s principal executive offices at 189 Second Avenue, Suite 2S, New York, New York 10003. Unless we change the date of our 2025 annual meeting by more than 30 days from the anniversary of our 2024 Annual Meeting, such written proposal</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must be delivered to us no later than July 7, 2025, to be considered timely. If our 2025 annual meeting is not held within 30 days of the anniversary of our 2024 Annual Meeting, to be considered timely, stockholder proposals must be received no later than ten days after the earlier of (a) the date on which notice of the 2025 annual meeting is</w:t>
      </w:r>
    </w:p>
    <w:p>
      <w:pPr>
        <w:spacing w:after="0" w:line="2" w:lineRule="exact"/>
        <w:rPr>
          <w:sz w:val="20"/>
          <w:szCs w:val="20"/>
          <w:color w:val="auto"/>
        </w:rPr>
      </w:pPr>
    </w:p>
    <w:p>
      <w:pPr>
        <w:jc w:val="both"/>
        <w:ind w:left="180" w:right="459"/>
        <w:spacing w:after="0" w:line="226" w:lineRule="auto"/>
        <w:rPr>
          <w:sz w:val="20"/>
          <w:szCs w:val="20"/>
          <w:color w:val="auto"/>
        </w:rPr>
      </w:pPr>
      <w:r>
        <w:rPr>
          <w:rFonts w:ascii="Times New Roman" w:cs="Times New Roman" w:eastAsia="Times New Roman" w:hAnsi="Times New Roman"/>
          <w:sz w:val="18"/>
          <w:szCs w:val="18"/>
          <w:color w:val="auto"/>
        </w:rPr>
        <w:t>mailed, or (b) the date on which the Company publicly discloses the date of the 2025 annual meeting, including disclosure in an SEC filing or through a press release.</w:t>
      </w:r>
    </w:p>
    <w:p>
      <w:pPr>
        <w:spacing w:after="0" w:line="1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83755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1" w:name="page52"/>
    <w:bookmarkEnd w:id="51"/>
    <w:p>
      <w:pPr>
        <w:ind w:left="840"/>
        <w:spacing w:after="0"/>
        <w:rPr>
          <w:sz w:val="20"/>
          <w:szCs w:val="20"/>
          <w:color w:val="auto"/>
        </w:rPr>
      </w:pPr>
      <w:r>
        <w:rPr>
          <w:rFonts w:ascii="Times New Roman" w:cs="Times New Roman" w:eastAsia="Times New Roman" w:hAnsi="Times New Roman"/>
          <w:sz w:val="18"/>
          <w:szCs w:val="18"/>
          <w:color w:val="auto"/>
        </w:rPr>
        <w:t>Under our governing documents and applicable Nevada law, our Class B stockholders may also directly</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submit a proposal or nominate a director candidate from the floor at any meeting of our stockholders held at which Directors are to be elected. Such floor proposal or nomination may be made at our virtual 2025 annual meeting by any of our Class B stockholders using the Meeting Text Function. See the discussion above under the Caption:</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“How will the meeting be conducted and how do I participate?”</w:t>
      </w:r>
    </w:p>
    <w:p>
      <w:pPr>
        <w:spacing w:after="0" w:line="250" w:lineRule="exact"/>
        <w:rPr>
          <w:sz w:val="20"/>
          <w:szCs w:val="20"/>
          <w:color w:val="auto"/>
        </w:rPr>
      </w:pPr>
    </w:p>
    <w:p>
      <w:pPr>
        <w:jc w:val="center"/>
        <w:ind w:right="-480"/>
        <w:spacing w:after="0"/>
        <w:rPr>
          <w:sz w:val="20"/>
          <w:szCs w:val="20"/>
          <w:color w:val="auto"/>
        </w:rPr>
      </w:pPr>
      <w:r>
        <w:rPr>
          <w:rFonts w:ascii="Calibri" w:cs="Calibri" w:eastAsia="Calibri" w:hAnsi="Calibri"/>
          <w:sz w:val="18"/>
          <w:szCs w:val="18"/>
          <w:b w:val="1"/>
          <w:bCs w:val="1"/>
          <w:color w:val="auto"/>
        </w:rPr>
        <w:t>OTHER MATTERS</w:t>
      </w:r>
    </w:p>
    <w:p>
      <w:pPr>
        <w:spacing w:after="0" w:line="127" w:lineRule="exact"/>
        <w:rPr>
          <w:sz w:val="20"/>
          <w:szCs w:val="20"/>
          <w:color w:val="auto"/>
        </w:rPr>
      </w:pPr>
    </w:p>
    <w:p>
      <w:pPr>
        <w:jc w:val="both"/>
        <w:ind w:left="180" w:right="439" w:firstLine="648"/>
        <w:spacing w:after="0" w:line="226" w:lineRule="auto"/>
        <w:rPr>
          <w:sz w:val="20"/>
          <w:szCs w:val="20"/>
          <w:color w:val="auto"/>
        </w:rPr>
      </w:pPr>
      <w:r>
        <w:rPr>
          <w:rFonts w:ascii="Times New Roman" w:cs="Times New Roman" w:eastAsia="Times New Roman" w:hAnsi="Times New Roman"/>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324" w:lineRule="exact"/>
        <w:rPr>
          <w:sz w:val="20"/>
          <w:szCs w:val="20"/>
          <w:color w:val="auto"/>
        </w:rPr>
      </w:pPr>
    </w:p>
    <w:p>
      <w:pPr>
        <w:jc w:val="center"/>
        <w:ind w:right="-480"/>
        <w:spacing w:after="0"/>
        <w:rPr>
          <w:sz w:val="20"/>
          <w:szCs w:val="20"/>
          <w:color w:val="auto"/>
        </w:rPr>
      </w:pPr>
      <w:r>
        <w:rPr>
          <w:rFonts w:ascii="Calibri" w:cs="Calibri" w:eastAsia="Calibri" w:hAnsi="Calibri"/>
          <w:sz w:val="18"/>
          <w:szCs w:val="18"/>
          <w:b w:val="1"/>
          <w:bCs w:val="1"/>
          <w:color w:val="auto"/>
        </w:rPr>
        <w:t>DELIVERY OF PROXY MATERIALS TO HOUSEHOLDS</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As permitted by the Exchange, under a procedure called “householding”, only one copy of the notice of</w:t>
      </w:r>
    </w:p>
    <w:p>
      <w:pPr>
        <w:spacing w:after="0" w:line="2" w:lineRule="exact"/>
        <w:rPr>
          <w:sz w:val="20"/>
          <w:szCs w:val="20"/>
          <w:color w:val="auto"/>
        </w:rPr>
      </w:pPr>
    </w:p>
    <w:p>
      <w:pPr>
        <w:jc w:val="both"/>
        <w:ind w:left="180" w:right="439"/>
        <w:spacing w:after="0" w:line="218" w:lineRule="auto"/>
        <w:rPr>
          <w:sz w:val="20"/>
          <w:szCs w:val="20"/>
          <w:color w:val="auto"/>
        </w:rPr>
      </w:pPr>
      <w:r>
        <w:rPr>
          <w:rFonts w:ascii="Times New Roman" w:cs="Times New Roman" w:eastAsia="Times New Roman" w:hAnsi="Times New Roman"/>
          <w:sz w:val="18"/>
          <w:szCs w:val="18"/>
          <w:color w:val="auto"/>
        </w:rPr>
        <w:t>internet availability or proxy materials is being delivered to our stockholders residing at the same address, unless such stockholders have notified us of their desire to receive multiple copies of the notice of internet availability or proxy materials.</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We will promptly deliver without charge, upon oral or written request, a separate copy of the notice of internet availability or proxy materials to any stockholder residing at an address to which only one copy was</w:t>
      </w:r>
    </w:p>
    <w:p>
      <w:pPr>
        <w:spacing w:after="0" w:line="2" w:lineRule="exact"/>
        <w:rPr>
          <w:sz w:val="20"/>
          <w:szCs w:val="20"/>
          <w:color w:val="auto"/>
        </w:rPr>
      </w:pPr>
    </w:p>
    <w:p>
      <w:pPr>
        <w:jc w:val="both"/>
        <w:ind w:left="180" w:right="439"/>
        <w:spacing w:after="0" w:line="218" w:lineRule="auto"/>
        <w:rPr>
          <w:sz w:val="20"/>
          <w:szCs w:val="20"/>
          <w:color w:val="auto"/>
        </w:rPr>
      </w:pPr>
      <w:r>
        <w:rPr>
          <w:rFonts w:ascii="Times New Roman" w:cs="Times New Roman" w:eastAsia="Times New Roman" w:hAnsi="Times New Roman"/>
          <w:sz w:val="18"/>
          <w:szCs w:val="18"/>
          <w:color w:val="auto"/>
        </w:rPr>
        <w:t>mailed. Requests for additional copies should be directed to our Corporate Secretary by telephone at (212) 871-6840 or by mail to Corporate Secretary, Reading International, Inc., 189 Second Avenue, Suite 2S, New York, New York 10003. Questions may also be submitted to us in advance via email at 2024AnnualMeeting@readingrdi.com.</w:t>
      </w:r>
    </w:p>
    <w:p>
      <w:pPr>
        <w:spacing w:after="0" w:line="131" w:lineRule="exact"/>
        <w:rPr>
          <w:sz w:val="20"/>
          <w:szCs w:val="20"/>
          <w:color w:val="auto"/>
        </w:rPr>
      </w:pPr>
    </w:p>
    <w:p>
      <w:pPr>
        <w:jc w:val="both"/>
        <w:ind w:left="180" w:right="439" w:firstLine="648"/>
        <w:spacing w:after="0" w:line="222" w:lineRule="auto"/>
        <w:rPr>
          <w:sz w:val="20"/>
          <w:szCs w:val="20"/>
          <w:color w:val="auto"/>
        </w:rPr>
      </w:pPr>
      <w:r>
        <w:rPr>
          <w:rFonts w:ascii="Times New Roman" w:cs="Times New Roman" w:eastAsia="Times New Roman" w:hAnsi="Times New Roman"/>
          <w:sz w:val="18"/>
          <w:szCs w:val="18"/>
          <w:color w:val="auto"/>
        </w:rPr>
        <w:t>If you are eligible for householding, but you and other stockholders of record with whom you share an address currently receive multiple copies of the notice of internet availability or proxy materials, or if you hold</w:t>
      </w:r>
    </w:p>
    <w:p>
      <w:pPr>
        <w:spacing w:after="0" w:line="2" w:lineRule="exact"/>
        <w:rPr>
          <w:sz w:val="20"/>
          <w:szCs w:val="20"/>
          <w:color w:val="auto"/>
        </w:rPr>
      </w:pPr>
    </w:p>
    <w:p>
      <w:pPr>
        <w:jc w:val="both"/>
        <w:ind w:left="180" w:right="439"/>
        <w:spacing w:after="0" w:line="208" w:lineRule="auto"/>
        <w:rPr>
          <w:sz w:val="20"/>
          <w:szCs w:val="20"/>
          <w:color w:val="auto"/>
        </w:rPr>
      </w:pPr>
      <w:r>
        <w:rPr>
          <w:rFonts w:ascii="Times New Roman" w:cs="Times New Roman" w:eastAsia="Times New Roman" w:hAnsi="Times New Roman"/>
          <w:sz w:val="18"/>
          <w:szCs w:val="18"/>
          <w:color w:val="auto"/>
        </w:rPr>
        <w:t>stock in more than one account, and in either case you wish to receive only a single copy of the notice of internet availability or proxy materials for your household, please contact the Corporate Secretary as described above. Stockholders residing at the same address and currently receiving only one copy of the notice of internet availability</w:t>
      </w:r>
    </w:p>
    <w:p>
      <w:pPr>
        <w:spacing w:after="0" w:line="2" w:lineRule="exact"/>
        <w:rPr>
          <w:sz w:val="20"/>
          <w:szCs w:val="20"/>
          <w:color w:val="auto"/>
        </w:rPr>
      </w:pPr>
    </w:p>
    <w:p>
      <w:pPr>
        <w:jc w:val="both"/>
        <w:ind w:left="180" w:right="439"/>
        <w:spacing w:after="0" w:line="226" w:lineRule="auto"/>
        <w:rPr>
          <w:sz w:val="20"/>
          <w:szCs w:val="20"/>
          <w:color w:val="auto"/>
        </w:rPr>
      </w:pPr>
      <w:r>
        <w:rPr>
          <w:rFonts w:ascii="Times New Roman" w:cs="Times New Roman" w:eastAsia="Times New Roman" w:hAnsi="Times New Roman"/>
          <w:sz w:val="18"/>
          <w:szCs w:val="18"/>
          <w:color w:val="auto"/>
        </w:rPr>
        <w:t>or proxy materials may contact the Corporate Secretary as described above to request multiple copies of the notice of internet availability or proxy materials in the future.</w:t>
      </w:r>
    </w:p>
    <w:p>
      <w:pPr>
        <w:spacing w:after="0" w:line="2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111760</wp:posOffset>
            </wp:positionV>
            <wp:extent cx="1739900" cy="608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399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Margaret Cotter</w:t>
      </w:r>
    </w:p>
    <w:p>
      <w:pPr>
        <w:ind w:left="760"/>
        <w:spacing w:after="0" w:line="219" w:lineRule="auto"/>
        <w:rPr>
          <w:sz w:val="20"/>
          <w:szCs w:val="20"/>
          <w:color w:val="auto"/>
        </w:rPr>
      </w:pPr>
      <w:r>
        <w:rPr>
          <w:rFonts w:ascii="Times New Roman" w:cs="Times New Roman" w:eastAsia="Times New Roman" w:hAnsi="Times New Roman"/>
          <w:sz w:val="18"/>
          <w:szCs w:val="18"/>
          <w:i w:val="1"/>
          <w:iCs w:val="1"/>
          <w:color w:val="auto"/>
        </w:rPr>
        <w:t>Chair of the Board</w:t>
      </w:r>
    </w:p>
    <w:p>
      <w:pPr>
        <w:ind w:left="760"/>
        <w:spacing w:after="0"/>
        <w:rPr>
          <w:sz w:val="20"/>
          <w:szCs w:val="20"/>
          <w:color w:val="auto"/>
        </w:rPr>
      </w:pPr>
      <w:r>
        <w:rPr>
          <w:rFonts w:ascii="Times New Roman" w:cs="Times New Roman" w:eastAsia="Times New Roman" w:hAnsi="Times New Roman"/>
          <w:sz w:val="18"/>
          <w:szCs w:val="18"/>
          <w:color w:val="auto"/>
        </w:rPr>
        <w:t>October 25, 2024</w:t>
      </w:r>
    </w:p>
    <w:p>
      <w:pPr>
        <w:spacing w:after="0" w:line="3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55880</wp:posOffset>
            </wp:positionV>
            <wp:extent cx="583755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2" w:name="page53"/>
    <w:bookmarkEnd w:id="52"/>
    <w:p>
      <w:pPr>
        <w:ind w:left="4300"/>
        <w:spacing w:after="0"/>
        <w:rPr>
          <w:sz w:val="20"/>
          <w:szCs w:val="20"/>
          <w:color w:val="auto"/>
        </w:rPr>
      </w:pPr>
      <w:r>
        <w:rPr>
          <w:rFonts w:ascii="Calibri" w:cs="Calibri" w:eastAsia="Calibri" w:hAnsi="Calibri"/>
          <w:sz w:val="18"/>
          <w:szCs w:val="18"/>
          <w:b w:val="1"/>
          <w:bCs w:val="1"/>
          <w:color w:val="auto"/>
        </w:rPr>
        <w:t>APPENDIX A</w:t>
      </w:r>
    </w:p>
    <w:p>
      <w:pPr>
        <w:spacing w:after="0" w:line="200" w:lineRule="exact"/>
        <w:rPr>
          <w:sz w:val="20"/>
          <w:szCs w:val="20"/>
          <w:color w:val="auto"/>
        </w:rPr>
      </w:pPr>
    </w:p>
    <w:p>
      <w:pPr>
        <w:spacing w:after="0" w:line="2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SECOND AMENDMENT</w:t>
      </w:r>
    </w:p>
    <w:p>
      <w:pPr>
        <w:jc w:val="center"/>
        <w:ind w:right="-460"/>
        <w:spacing w:after="0" w:line="203" w:lineRule="auto"/>
        <w:rPr>
          <w:sz w:val="20"/>
          <w:szCs w:val="20"/>
          <w:color w:val="auto"/>
        </w:rPr>
      </w:pPr>
      <w:r>
        <w:rPr>
          <w:rFonts w:ascii="Times New Roman" w:cs="Times New Roman" w:eastAsia="Times New Roman" w:hAnsi="Times New Roman"/>
          <w:sz w:val="18"/>
          <w:szCs w:val="18"/>
          <w:b w:val="1"/>
          <w:bCs w:val="1"/>
          <w:color w:val="auto"/>
        </w:rPr>
        <w:t>TO THE</w:t>
      </w:r>
    </w:p>
    <w:p>
      <w:pPr>
        <w:jc w:val="center"/>
        <w:ind w:right="-460"/>
        <w:spacing w:after="0" w:line="219" w:lineRule="auto"/>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2020 STOCK INCENTIVE PLAN</w:t>
      </w:r>
    </w:p>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This Second Amendment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Reading International, Inc. 2020 Stock Incentive Plan (as</w:t>
      </w:r>
    </w:p>
    <w:p>
      <w:pPr>
        <w:spacing w:after="0" w:line="6"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b w:val="1"/>
          <w:bCs w:val="1"/>
          <w:color w:val="auto"/>
        </w:rPr>
        <w:t>2020 Stock Plan</w:t>
      </w:r>
      <w:r>
        <w:rPr>
          <w:rFonts w:ascii="Times New Roman" w:cs="Times New Roman" w:eastAsia="Times New Roman" w:hAnsi="Times New Roman"/>
          <w:sz w:val="18"/>
          <w:szCs w:val="18"/>
          <w:color w:val="auto"/>
        </w:rPr>
        <w:t>”), is made and adopted by Reading International,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80" w:right="199"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adopted the 2020 Stock Plan on November 4, 2020, as amended by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Amendment to the Reading International, Inc. 2020 Stock Incentive Plan adopted by the Company on December 4, 2023;</w:t>
      </w:r>
    </w:p>
    <w:p>
      <w:pPr>
        <w:spacing w:after="0" w:line="128" w:lineRule="exact"/>
        <w:rPr>
          <w:sz w:val="20"/>
          <w:szCs w:val="20"/>
          <w:color w:val="auto"/>
        </w:rPr>
      </w:pPr>
    </w:p>
    <w:p>
      <w:pPr>
        <w:jc w:val="both"/>
        <w:ind w:left="180" w:right="199"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Section 12(a) of the 2020 Stock Plan provides that the Company’s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may amend the 2020 Stock Plan from time to time, provided that no amendment shall be effective unless approved by the stockholders of the Company to the extent stockholder approval is necessary to satisfy the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requirements of Section 422 of the Code, Rule 16b-3 or any securities exchange listing requirements; and</w:t>
      </w:r>
    </w:p>
    <w:p>
      <w:pPr>
        <w:spacing w:after="0" w:line="1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desires to amend the 2020 Stock Plan to increase the number of shares of Class A</w:t>
      </w:r>
    </w:p>
    <w:p>
      <w:pPr>
        <w:spacing w:after="0" w:line="6" w:lineRule="exact"/>
        <w:rPr>
          <w:sz w:val="20"/>
          <w:szCs w:val="20"/>
          <w:color w:val="auto"/>
        </w:rPr>
      </w:pPr>
    </w:p>
    <w:p>
      <w:pPr>
        <w:jc w:val="both"/>
        <w:ind w:left="180" w:right="199"/>
        <w:spacing w:after="0" w:line="226" w:lineRule="auto"/>
        <w:rPr>
          <w:sz w:val="20"/>
          <w:szCs w:val="20"/>
          <w:color w:val="auto"/>
        </w:rPr>
      </w:pPr>
      <w:r>
        <w:rPr>
          <w:rFonts w:ascii="Times New Roman" w:cs="Times New Roman" w:eastAsia="Times New Roman" w:hAnsi="Times New Roman"/>
          <w:sz w:val="18"/>
          <w:szCs w:val="18"/>
          <w:color w:val="auto"/>
        </w:rPr>
        <w:t>Stock reserved for issuance under the 2020 Stock Plan by 3,500,000 shares of Class A Stock from 2,221,807 shares to 5,721,807 shares, subject to approval by the Class B stockholders of the Company.</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2020 Stock Plan is hereby amended as follows:</w:t>
      </w:r>
    </w:p>
    <w:p>
      <w:pPr>
        <w:spacing w:after="0" w:line="148" w:lineRule="exact"/>
        <w:rPr>
          <w:sz w:val="20"/>
          <w:szCs w:val="20"/>
          <w:color w:val="auto"/>
        </w:rPr>
      </w:pPr>
    </w:p>
    <w:p>
      <w:pPr>
        <w:ind w:left="1340" w:hanging="832"/>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 of the 2020 Stock Plan is hereby amended and restated in its entirety as follows:</w:t>
      </w:r>
    </w:p>
    <w:p>
      <w:pPr>
        <w:spacing w:after="0" w:line="154" w:lineRule="exact"/>
        <w:rPr>
          <w:sz w:val="20"/>
          <w:szCs w:val="20"/>
          <w:color w:val="auto"/>
        </w:rPr>
      </w:pPr>
    </w:p>
    <w:p>
      <w:pPr>
        <w:jc w:val="both"/>
        <w:ind w:left="840" w:right="199"/>
        <w:spacing w:after="0" w:line="21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Subject to the provisions of subsection 11(a) relating to adjustments upon changes in Common Stock, the number of shares of Common Stock that may be issued pursuant to, or that may be subject to, Stock Awards shall not exceed in the aggregate (x) 5,721,807 shares of Class A Stock plus</w:t>
      </w:r>
    </w:p>
    <w:p>
      <w:pPr>
        <w:spacing w:after="0" w:line="3" w:lineRule="exact"/>
        <w:rPr>
          <w:sz w:val="20"/>
          <w:szCs w:val="20"/>
          <w:color w:val="auto"/>
        </w:rPr>
      </w:pPr>
    </w:p>
    <w:p>
      <w:pPr>
        <w:jc w:val="both"/>
        <w:ind w:left="840" w:right="199"/>
        <w:spacing w:after="0" w:line="208" w:lineRule="auto"/>
        <w:rPr>
          <w:sz w:val="20"/>
          <w:szCs w:val="20"/>
          <w:color w:val="auto"/>
        </w:rPr>
      </w:pPr>
      <w:r>
        <w:rPr>
          <w:rFonts w:ascii="Times New Roman" w:cs="Times New Roman" w:eastAsia="Times New Roman" w:hAnsi="Times New Roman"/>
          <w:sz w:val="18"/>
          <w:szCs w:val="18"/>
          <w:color w:val="auto"/>
        </w:rPr>
        <w:t>any shares of Class A Stock subject to Prior Plan Awards which, on or after the Board Approval Date, become available for Awards pursuant to subsection 4(b) and (y) 200,000 shares of Class B Stock. Subject to the provisions of subsection 11(a) relating to adjustments upon changes in Common Stock, if all Prior Plan</w:t>
      </w:r>
    </w:p>
    <w:p>
      <w:pPr>
        <w:spacing w:after="0" w:line="2" w:lineRule="exact"/>
        <w:rPr>
          <w:sz w:val="20"/>
          <w:szCs w:val="20"/>
          <w:color w:val="auto"/>
        </w:rPr>
      </w:pPr>
    </w:p>
    <w:p>
      <w:pPr>
        <w:jc w:val="both"/>
        <w:ind w:left="840" w:right="199"/>
        <w:spacing w:after="0" w:line="208" w:lineRule="auto"/>
        <w:rPr>
          <w:sz w:val="20"/>
          <w:szCs w:val="20"/>
          <w:color w:val="auto"/>
        </w:rPr>
      </w:pPr>
      <w:r>
        <w:rPr>
          <w:rFonts w:ascii="Times New Roman" w:cs="Times New Roman" w:eastAsia="Times New Roman" w:hAnsi="Times New Roman"/>
          <w:sz w:val="18"/>
          <w:szCs w:val="18"/>
          <w:color w:val="auto"/>
        </w:rPr>
        <w:t>Awards were forfeited, the number of shares of Common Stock that may be issued pursuant to, or that may be subject to, Stock Awards, shall not exceed 6,556,053 shares of Class A Stock and 200,000 shares of Class B Stock. Subject to subsection 4(b), the number of shares available for issuance under the Plan shall be reduced</w:t>
      </w:r>
    </w:p>
    <w:p>
      <w:pPr>
        <w:spacing w:after="0" w:line="2" w:lineRule="exact"/>
        <w:rPr>
          <w:sz w:val="20"/>
          <w:szCs w:val="20"/>
          <w:color w:val="auto"/>
        </w:rPr>
      </w:pPr>
    </w:p>
    <w:p>
      <w:pPr>
        <w:jc w:val="both"/>
        <w:ind w:left="840" w:right="199"/>
        <w:spacing w:after="0" w:line="208" w:lineRule="auto"/>
        <w:rPr>
          <w:sz w:val="20"/>
          <w:szCs w:val="20"/>
          <w:color w:val="auto"/>
        </w:rPr>
      </w:pPr>
      <w:r>
        <w:rPr>
          <w:rFonts w:ascii="Times New Roman" w:cs="Times New Roman" w:eastAsia="Times New Roman" w:hAnsi="Times New Roman"/>
          <w:sz w:val="18"/>
          <w:szCs w:val="18"/>
          <w:color w:val="auto"/>
        </w:rPr>
        <w:t>by (i) one share for each share of Common Stock issued pursuant to a Stock Award granted under Section 6 or Section 7 and (ii) one share for each Common Stock equivalent subject to a stock appreciation right granted under subsection 7(c). Each Stock Award shall be denominated in either Class A Stock or Class B Stock as the</w:t>
      </w:r>
    </w:p>
    <w:p>
      <w:pPr>
        <w:spacing w:after="0" w:line="2" w:lineRule="exact"/>
        <w:rPr>
          <w:sz w:val="20"/>
          <w:szCs w:val="20"/>
          <w:color w:val="auto"/>
        </w:rPr>
      </w:pPr>
    </w:p>
    <w:p>
      <w:pPr>
        <w:jc w:val="both"/>
        <w:ind w:left="840" w:right="199"/>
        <w:spacing w:after="0" w:line="208" w:lineRule="auto"/>
        <w:rPr>
          <w:sz w:val="20"/>
          <w:szCs w:val="20"/>
          <w:color w:val="auto"/>
        </w:rPr>
      </w:pPr>
      <w:r>
        <w:rPr>
          <w:rFonts w:ascii="Times New Roman" w:cs="Times New Roman" w:eastAsia="Times New Roman" w:hAnsi="Times New Roman"/>
          <w:sz w:val="18"/>
          <w:szCs w:val="18"/>
          <w:color w:val="auto"/>
        </w:rPr>
        <w:t>Board shall determine at the time of grant. For the avoidance of doubt, the number of shares of Class B Stock that may be issued under this Plan shall not exceed in the aggregate more than five percent (5%) of the shares of Class B Stock outstanding as of the Board Approval Date, unless such greater number of shares of Class B</w:t>
      </w:r>
    </w:p>
    <w:p>
      <w:pPr>
        <w:spacing w:after="0" w:line="2" w:lineRule="exact"/>
        <w:rPr>
          <w:sz w:val="20"/>
          <w:szCs w:val="20"/>
          <w:color w:val="auto"/>
        </w:rPr>
      </w:pPr>
    </w:p>
    <w:p>
      <w:pPr>
        <w:jc w:val="both"/>
        <w:ind w:left="840" w:right="199"/>
        <w:spacing w:after="0" w:line="208" w:lineRule="auto"/>
        <w:rPr>
          <w:sz w:val="20"/>
          <w:szCs w:val="20"/>
          <w:color w:val="auto"/>
        </w:rPr>
      </w:pPr>
      <w:r>
        <w:rPr>
          <w:rFonts w:ascii="Times New Roman" w:cs="Times New Roman" w:eastAsia="Times New Roman" w:hAnsi="Times New Roman"/>
          <w:sz w:val="18"/>
          <w:szCs w:val="18"/>
          <w:color w:val="auto"/>
        </w:rPr>
        <w:t>Stock is approved for issuance pursuant to Stock Awards by the holders of a majority of the outstanding shares of Class B Stock. Subject to the provisions of subsection 11(a) relating to adjustments upon change in Common Stock, the maximum number of shares of Common Stock that may be issued upon the exercise of</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Incentive Stock Options is 6,556,053 shares of Class A Stock and 200,000 shares of Class B Stock.”</w:t>
      </w:r>
    </w:p>
    <w:p>
      <w:pPr>
        <w:spacing w:after="0" w:line="120" w:lineRule="exact"/>
        <w:rPr>
          <w:sz w:val="20"/>
          <w:szCs w:val="20"/>
          <w:color w:val="auto"/>
        </w:rPr>
      </w:pPr>
    </w:p>
    <w:p>
      <w:pPr>
        <w:ind w:left="840" w:hanging="332"/>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as of December 5,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80" w:right="199" w:firstLine="328"/>
        <w:spacing w:after="0" w:line="226" w:lineRule="auto"/>
        <w:tabs>
          <w:tab w:leader="none" w:pos="13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herein, all other provisions of the 2020 Stock Plan remain unchanged and in full force and effect. In the event of any inconsistency between the provisions of the 2020 Stock Plan and this Amendment, the terms of this Amendment shall control.</w:t>
      </w:r>
    </w:p>
    <w:p>
      <w:pPr>
        <w:spacing w:after="0" w:line="130" w:lineRule="exact"/>
        <w:rPr>
          <w:rFonts w:ascii="Times New Roman" w:cs="Times New Roman" w:eastAsia="Times New Roman" w:hAnsi="Times New Roman"/>
          <w:sz w:val="18"/>
          <w:szCs w:val="18"/>
          <w:color w:val="auto"/>
        </w:rPr>
      </w:pPr>
    </w:p>
    <w:p>
      <w:pPr>
        <w:ind w:left="180" w:right="199" w:firstLine="328"/>
        <w:spacing w:after="0" w:line="237" w:lineRule="auto"/>
        <w:tabs>
          <w:tab w:leader="none" w:pos="13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otherwise defined herein shall have the respective meanings ascribed thereto in the 2020 Stock Plan.</w:t>
      </w:r>
    </w:p>
    <w:p>
      <w:pPr>
        <w:spacing w:after="0" w:line="3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64770</wp:posOffset>
            </wp:positionV>
            <wp:extent cx="583755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sectPr>
      <w:pgSz w:w="11900" w:h="16838" w:orient="portrait"/>
      <w:cols w:equalWidth="0" w:num="1">
        <w:col w:w="9019"/>
      </w:cols>
      <w:pgMar w:left="1440" w:top="4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lvl w:ilvl="1">
      <w:lvlJc w:val="left"/>
      <w:lvlText w:val="(%2)"/>
      <w:numFmt w:val="decimal"/>
      <w:start w:val="1"/>
    </w:lvl>
  </w:abstractNum>
  <w:abstractNum w:abstractNumId="4">
    <w:nsid w:val="8EDBDAB"/>
    <w:multiLevelType w:val="hybridMultilevel"/>
    <w:lvl w:ilvl="0">
      <w:lvlJc w:val="left"/>
      <w:lvlText w:val="☐"/>
      <w:numFmt w:val="bullet"/>
      <w:start w:val="1"/>
    </w:lvl>
    <w:lvl w:ilvl="1">
      <w:lvlJc w:val="left"/>
      <w:lvlText w:val="☐"/>
      <w:numFmt w:val="bullet"/>
      <w:start w:val="1"/>
    </w:lvl>
    <w:lvl w:ilvl="2">
      <w:lvlJc w:val="left"/>
      <w:lvlText w:val="(%3)"/>
      <w:numFmt w:val="decimal"/>
      <w:start w:val="4"/>
    </w:lvl>
  </w:abstractNum>
  <w:abstractNum w:abstractNumId="5">
    <w:nsid w:val="79838CB2"/>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o"/>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o"/>
      <w:numFmt w:val="bullet"/>
      <w:start w:val="1"/>
    </w:lvl>
  </w:abstractNum>
  <w:abstractNum w:abstractNumId="18">
    <w:nsid w:val="737B8DDC"/>
    <w:multiLevelType w:val="hybridMultilevel"/>
    <w:lvl w:ilvl="0">
      <w:lvlJc w:val="left"/>
      <w:lvlText w:val="2"/>
      <w:numFmt w:val="bullet"/>
      <w:start w:val="1"/>
    </w:lvl>
  </w:abstractNum>
  <w:abstractNum w:abstractNumId="19">
    <w:nsid w:val="6CEAF087"/>
    <w:multiLevelType w:val="hybridMultilevel"/>
    <w:lvl w:ilvl="0">
      <w:lvlJc w:val="left"/>
      <w:lvlText w:val="o"/>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3"/>
    </w:lvl>
  </w:abstractNum>
  <w:abstractNum w:abstractNumId="23">
    <w:nsid w:val="614FD4A1"/>
    <w:multiLevelType w:val="hybridMultilevel"/>
    <w:lvl w:ilvl="0">
      <w:lvlJc w:val="left"/>
      <w:lvlText w:val="%1"/>
      <w:numFmt w:val="decimal"/>
      <w:start w:val="1"/>
    </w:lvl>
    <w:lvl w:ilvl="1">
      <w:lvlJc w:val="left"/>
      <w:lvlText w:val="(%2)"/>
      <w:numFmt w:val="decimal"/>
      <w:start w:val="4"/>
    </w:lvl>
  </w:abstractNum>
  <w:abstractNum w:abstractNumId="24">
    <w:nsid w:val="419AC241"/>
    <w:multiLevelType w:val="hybridMultilevel"/>
    <w:lvl w:ilvl="0">
      <w:lvlJc w:val="left"/>
      <w:lvlText w:val="(%1)"/>
      <w:numFmt w:val="decimal"/>
      <w:start w:val="6"/>
    </w:lvl>
    <w:lvl w:ilvl="1">
      <w:lvlJc w:val="left"/>
      <w:lvlText w:val="%2"/>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3"/>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3"/>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 "/>
      <w:numFmt w:val="bullet"/>
      <w:start w:val="1"/>
    </w:lvl>
  </w:abstractNum>
  <w:abstractNum w:abstractNumId="34">
    <w:nsid w:val="51EAD36B"/>
    <w:multiLevelType w:val="hybridMultilevel"/>
    <w:lvl w:ilvl="0">
      <w:lvlJc w:val="left"/>
      <w:lvlText w:val="(%1)"/>
      <w:numFmt w:val="decimal"/>
      <w:start w:val="3"/>
    </w:lvl>
  </w:abstractNum>
  <w:abstractNum w:abstractNumId="35">
    <w:nsid w:val="2D517796"/>
    <w:multiLevelType w:val="hybridMultilevel"/>
    <w:lvl w:ilvl="0">
      <w:lvlJc w:val="left"/>
      <w:lvlText w:val=" "/>
      <w:numFmt w:val="bullet"/>
      <w:start w:val="1"/>
    </w:lvl>
  </w:abstractNum>
  <w:abstractNum w:abstractNumId="36">
    <w:nsid w:val="580BD78F"/>
    <w:multiLevelType w:val="hybridMultilevel"/>
    <w:lvl w:ilvl="0">
      <w:lvlJc w:val="left"/>
      <w:lvlText w:val="(%1)"/>
      <w:numFmt w:val="decimal"/>
      <w:start w:val="4"/>
    </w:lvl>
  </w:abstractNum>
  <w:abstractNum w:abstractNumId="37">
    <w:nsid w:val="153EA438"/>
    <w:multiLevelType w:val="hybridMultilevel"/>
    <w:lvl w:ilvl="0">
      <w:lvlJc w:val="left"/>
      <w:lvlText w:val=" "/>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3"/>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2024-10-25T16:00:57Z</dcterms:created>
  <dcterms:modified xsi:type="dcterms:W3CDTF">2024-10-25T16:00:57Z</dcterms:modified>
</cp:coreProperties>
</file>